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1-2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部门整体支出绩效自评表</w:t>
      </w:r>
    </w:p>
    <w:bookmarkEnd w:id="0"/>
    <w:p>
      <w:pPr>
        <w:spacing w:line="320" w:lineRule="exact"/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（</w:t>
      </w:r>
      <w:r>
        <w:rPr>
          <w:rFonts w:ascii="方正小标宋_GBK" w:eastAsia="方正小标宋_GBK"/>
          <w:sz w:val="28"/>
          <w:szCs w:val="28"/>
        </w:rPr>
        <w:t xml:space="preserve">  </w:t>
      </w:r>
      <w:r>
        <w:rPr>
          <w:rFonts w:hint="eastAsia" w:ascii="方正小标宋_GBK" w:eastAsia="方正小标宋_GBK"/>
          <w:sz w:val="28"/>
          <w:szCs w:val="28"/>
          <w:lang w:val="en-US" w:eastAsia="zh-CN"/>
        </w:rPr>
        <w:t>2020</w:t>
      </w:r>
      <w:r>
        <w:rPr>
          <w:rFonts w:ascii="方正小标宋_GBK" w:eastAsia="方正小标宋_GBK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年度</w:t>
      </w:r>
      <w:r>
        <w:rPr>
          <w:rFonts w:hint="eastAsia" w:ascii="方正小标宋_GBK" w:eastAsia="方正小标宋_GBK"/>
          <w:sz w:val="28"/>
          <w:szCs w:val="28"/>
        </w:rPr>
        <w:t>）</w:t>
      </w:r>
    </w:p>
    <w:p>
      <w:pPr>
        <w:spacing w:line="300" w:lineRule="exact"/>
        <w:rPr>
          <w:rFonts w:hint="eastAsia" w:ascii="宋体" w:eastAsia="宋体"/>
          <w:sz w:val="24"/>
          <w:lang w:val="en-US" w:eastAsia="zh-CN"/>
        </w:rPr>
      </w:pPr>
      <w:r>
        <w:rPr>
          <w:rFonts w:hint="eastAsia" w:ascii="宋体"/>
          <w:sz w:val="24"/>
        </w:rPr>
        <w:t>填报单位（盖章）：</w:t>
      </w:r>
      <w:r>
        <w:rPr>
          <w:rFonts w:hint="eastAsia" w:ascii="宋体"/>
          <w:sz w:val="24"/>
          <w:lang w:eastAsia="zh-CN"/>
        </w:rPr>
        <w:t>衡阳县人大常委会办公室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填报时间：</w:t>
      </w:r>
      <w:r>
        <w:rPr>
          <w:rFonts w:hint="eastAsia" w:ascii="宋体"/>
          <w:sz w:val="24"/>
          <w:lang w:val="en-US" w:eastAsia="zh-CN"/>
        </w:rPr>
        <w:t>2021.6.8</w:t>
      </w:r>
    </w:p>
    <w:tbl>
      <w:tblPr>
        <w:tblStyle w:val="5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04"/>
        <w:gridCol w:w="396"/>
        <w:gridCol w:w="684"/>
        <w:gridCol w:w="666"/>
        <w:gridCol w:w="1806"/>
        <w:gridCol w:w="996"/>
        <w:gridCol w:w="933"/>
        <w:gridCol w:w="825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部门资金（万元）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全年执行数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执行率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933.5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1139.61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1110.2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97.42%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按收入性质分</w:t>
            </w:r>
          </w:p>
        </w:tc>
        <w:tc>
          <w:tcPr>
            <w:tcW w:w="374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按支出性质分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其中：一般公共预算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1117.27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714.91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政府性基金拨款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其中：人员经费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553.2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纳入管理的非税收入拨款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widowControl/>
              <w:ind w:firstLine="420" w:firstLineChars="20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公用经费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22.34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项目支出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387.37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年度总体目标</w:t>
            </w:r>
          </w:p>
        </w:tc>
        <w:tc>
          <w:tcPr>
            <w:tcW w:w="465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年初预期（设定）目标　</w:t>
            </w:r>
          </w:p>
        </w:tc>
        <w:tc>
          <w:tcPr>
            <w:tcW w:w="374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6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目标1：召开一次代表大会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目标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充分发挥人大代表的资源优势，通过“6.25为民服务日”、参与脱贫攻坚“五个一”行动以及代表分组活动、专题调研、列席常委会、代表建议督办等方式，促使人大代表深入基层，贴近群众，走近选民，为民服务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目标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提升代表履职能力。组织人大代表和人大工作者到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贵州省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培训中心接受履职能力和党性培训，组织人大常委会组成人员和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街人大负责人到有关红色教育基地接受党性锻炼，提升人大队伍综合素质能力。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目标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加大执法检查力度，发挥“法律巡视”利剑作用。要贯彻落实“依照法定职责、限于法定范围、遵守法定程序”的要求，督促“一府一委两院”依法履职尽责，监督法律法规有效实施。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  <w:tc>
          <w:tcPr>
            <w:tcW w:w="3741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已完成年度总体目标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三级指标　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完成值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（50分）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总体工作完成率</w:t>
            </w:r>
          </w:p>
        </w:tc>
        <w:tc>
          <w:tcPr>
            <w:tcW w:w="996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33" w:type="dxa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财政供养人员控制率</w:t>
            </w:r>
          </w:p>
        </w:tc>
        <w:tc>
          <w:tcPr>
            <w:tcW w:w="996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33" w:type="dxa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执法检查力度</w:t>
            </w:r>
          </w:p>
        </w:tc>
        <w:tc>
          <w:tcPr>
            <w:tcW w:w="996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33" w:type="dxa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网络数据管理</w:t>
            </w:r>
          </w:p>
        </w:tc>
        <w:tc>
          <w:tcPr>
            <w:tcW w:w="996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933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70%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资产利用率</w:t>
            </w:r>
          </w:p>
        </w:tc>
        <w:tc>
          <w:tcPr>
            <w:tcW w:w="996" w:type="dxa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933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网格化管理规范达标率</w:t>
            </w:r>
          </w:p>
        </w:tc>
        <w:tc>
          <w:tcPr>
            <w:tcW w:w="996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60%</w:t>
            </w:r>
          </w:p>
        </w:tc>
        <w:tc>
          <w:tcPr>
            <w:tcW w:w="933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54%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代表委员培训率</w:t>
            </w:r>
          </w:p>
        </w:tc>
        <w:tc>
          <w:tcPr>
            <w:tcW w:w="996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933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执法检查</w:t>
            </w:r>
          </w:p>
        </w:tc>
        <w:tc>
          <w:tcPr>
            <w:tcW w:w="996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33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接待群众信访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代表大会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198万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165万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代表履职能力提升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61万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58万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代表委员调研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127万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119万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效益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（30分）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全县重大活动差率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民生实事项目票决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率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3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（10分）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群众安全幸福感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群众法治满意度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94%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gridSpan w:val="2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综合评定等级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优秀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  分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465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偏差及原因分析</w:t>
            </w:r>
          </w:p>
        </w:tc>
        <w:tc>
          <w:tcPr>
            <w:tcW w:w="374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656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41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before="312" w:beforeLines="100" w:line="3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2"/>
          <w:szCs w:val="22"/>
        </w:rPr>
        <w:t>填表人：</w:t>
      </w:r>
      <w:r>
        <w:rPr>
          <w:rFonts w:hint="eastAsia" w:ascii="宋体" w:hAnsi="宋体" w:cs="宋体"/>
          <w:sz w:val="22"/>
          <w:szCs w:val="22"/>
          <w:lang w:eastAsia="zh-CN"/>
        </w:rPr>
        <w:t>常辉</w:t>
      </w:r>
      <w:r>
        <w:rPr>
          <w:rFonts w:hint="eastAsia" w:ascii="宋体" w:hAnsi="宋体" w:cs="宋体"/>
          <w:sz w:val="22"/>
          <w:szCs w:val="22"/>
        </w:rPr>
        <w:t xml:space="preserve">         联系电话：</w:t>
      </w:r>
      <w:r>
        <w:rPr>
          <w:rFonts w:hint="eastAsia" w:ascii="宋体" w:hAnsi="宋体" w:cs="宋体"/>
          <w:sz w:val="22"/>
          <w:szCs w:val="22"/>
          <w:lang w:val="en-US" w:eastAsia="zh-CN"/>
        </w:rPr>
        <w:t>13617349321</w:t>
      </w:r>
      <w:r>
        <w:rPr>
          <w:rFonts w:hint="eastAsia" w:ascii="宋体" w:hAnsi="宋体" w:cs="宋体"/>
          <w:sz w:val="22"/>
          <w:szCs w:val="22"/>
        </w:rPr>
        <w:t xml:space="preserve">     单位负责人签字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说明：1.评价等级分为优秀（S≥90）、良好（90＞S≥80）、较差（80＞S≥60）、 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差（S＜60）</w:t>
      </w:r>
      <w:r>
        <w:rPr>
          <w:rFonts w:hint="eastAsia" w:eastAsia="仿宋_GB2312"/>
          <w:sz w:val="24"/>
        </w:rPr>
        <w:t>。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2.三级绩效指标按需自行增减行。不涉及的二级指标可删除不要。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eastAsia="黑体" w:cs="黑体"/>
          <w:color w:val="000000"/>
          <w:kern w:val="0"/>
          <w:sz w:val="70"/>
          <w:szCs w:val="7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72611"/>
    <w:rsid w:val="5687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7"/>
    <w:basedOn w:val="1"/>
    <w:next w:val="1"/>
    <w:qFormat/>
    <w:uiPriority w:val="0"/>
    <w:pPr>
      <w:ind w:left="25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2021-08-06T01:21:00Z</dcterms:created>
  <dc:creator>泡泡</dc:creator>
  <cp:lastModifiedBy>泡泡</cp:lastModifiedBy>
  <dcterms:modified xsi:type="dcterms:W3CDTF">2021-08-06T01:22:52Z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F90839EC285A420EB23DB78A3A2EEA5A</vt:lpwstr>
  </property>
</Properties>
</file>