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附件1-1  </w:t>
      </w:r>
    </w:p>
    <w:p>
      <w:pPr>
        <w:widowControl/>
        <w:rPr>
          <w:rFonts w:hint="eastAsia"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</w:rPr>
        <w:t xml:space="preserve">    </w:t>
      </w:r>
    </w:p>
    <w:p>
      <w:pPr>
        <w:widowControl/>
        <w:jc w:val="center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  <w:lang w:eastAsia="zh-CN"/>
        </w:rPr>
        <w:t>井头镇人民政府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hint="eastAsia" w:ascii="Times New Roman" w:hAnsi="Times New Roman" w:eastAsia="PMingLiU"/>
          <w:kern w:val="0"/>
          <w:sz w:val="24"/>
        </w:rPr>
        <w:t>填报时间：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2021年6月25日</w:t>
      </w:r>
      <w:r>
        <w:rPr>
          <w:rFonts w:ascii="Times New Roman" w:hAnsi="Times New Roman" w:eastAsia="PMingLiU"/>
          <w:kern w:val="0"/>
          <w:sz w:val="24"/>
        </w:rPr>
        <w:tab/>
      </w:r>
    </w:p>
    <w:tbl>
      <w:tblPr>
        <w:tblStyle w:val="4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20年实际在职人数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118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82.52%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2019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2703.73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1742.67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2686.60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14.72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14.72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2.7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2.7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2.7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2.7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12.02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12.02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出国经费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、业务工作专项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、运行维护专项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一般公共服务支出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、县级专项资金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厉行节约，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减少三公经费，降低公务接待费</w:t>
            </w:r>
          </w:p>
        </w:tc>
      </w:tr>
    </w:tbl>
    <w:p>
      <w:pPr>
        <w:spacing w:before="62" w:beforeLines="20"/>
        <w:rPr>
          <w:rFonts w:hint="eastAsia" w:ascii="Times New Roman" w:hAnsi="Times New Roman"/>
          <w:kern w:val="0"/>
          <w:sz w:val="22"/>
          <w:szCs w:val="24"/>
        </w:rPr>
      </w:pPr>
    </w:p>
    <w:p>
      <w:pPr>
        <w:spacing w:before="62" w:beforeLines="20"/>
        <w:rPr>
          <w:rFonts w:hint="eastAsia" w:ascii="Times New Roman" w:hAnsi="Times New Roman"/>
          <w:kern w:val="0"/>
          <w:sz w:val="22"/>
          <w:szCs w:val="24"/>
        </w:rPr>
      </w:pPr>
      <w:r>
        <w:rPr>
          <w:rFonts w:hint="eastAsia" w:ascii="Times New Roman" w:hAnsi="Times New Roman"/>
          <w:kern w:val="0"/>
          <w:sz w:val="22"/>
          <w:szCs w:val="24"/>
        </w:rPr>
        <w:t>说明：“公用经费”填报基本支出中的一般商品和服务支出；“项目支出”需要填报基</w:t>
      </w:r>
    </w:p>
    <w:p>
      <w:pPr>
        <w:spacing w:before="62" w:beforeLines="20"/>
        <w:rPr>
          <w:rFonts w:hint="eastAsia"/>
          <w:sz w:val="24"/>
          <w:szCs w:val="32"/>
        </w:rPr>
      </w:pPr>
      <w:r>
        <w:rPr>
          <w:rFonts w:hint="eastAsia" w:ascii="Times New Roman" w:hAnsi="Times New Roman"/>
          <w:kern w:val="0"/>
          <w:sz w:val="22"/>
          <w:szCs w:val="24"/>
        </w:rPr>
        <w:t>本支出以外的所有项目支出情况，包括业务工作项目、运行维护项目和县级专项资金等。</w:t>
      </w:r>
    </w:p>
    <w:p>
      <w:pPr>
        <w:spacing w:before="62" w:beforeLines="20"/>
        <w:rPr>
          <w:rFonts w:hint="eastAsia" w:eastAsia="宋体"/>
          <w:sz w:val="24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173C0"/>
    <w:rsid w:val="2EE71D89"/>
    <w:rsid w:val="672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2021-07-01T02:14:00Z</dcterms:created>
  <dc:creator>Administrator</dc:creator>
  <cp:lastModifiedBy>波斯纳</cp:lastModifiedBy>
  <dcterms:modified xsi:type="dcterms:W3CDTF">2021-07-01T09:25:23Z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8709E445553B47C995B546B2552D8681</vt:lpwstr>
  </property>
</Properties>
</file>