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tLeast" w:line="200"/>
        <w:ind w:left="0" w:right="0" w:firstLine="0"/>
        <w:rPr>
          <w:color w:val="414141"/>
          <w:sz w:val="44"/>
          <w:szCs w:val="44"/>
          <w:rFonts w:ascii="微软雅黑" w:eastAsia="微软雅黑" w:hAnsi="微软雅黑" w:cs="微软雅黑"/>
        </w:rPr>
        <w:outlineLvl w:val="1"/>
      </w:pPr>
    </w:p>
    <w:p>
      <w:pPr>
        <w:jc w:val="center"/>
        <w:spacing w:lineRule="atLeast" w:line="200"/>
        <w:ind w:left="0" w:right="0" w:firstLine="0"/>
        <w:rPr>
          <w:color w:val="414141"/>
          <w:sz w:val="44"/>
          <w:szCs w:val="44"/>
          <w:rFonts w:ascii="微软雅黑" w:eastAsia="微软雅黑" w:hAnsi="微软雅黑" w:cs="微软雅黑"/>
        </w:rPr>
        <w:outlineLvl w:val="1"/>
      </w:pPr>
    </w:p>
    <w:p>
      <w:pPr>
        <w:jc w:val="center"/>
        <w:spacing w:lineRule="atLeast" w:line="200"/>
        <w:ind w:left="0" w:right="0" w:firstLine="0"/>
        <w:rPr>
          <w:color w:val="414141"/>
          <w:sz w:val="44"/>
          <w:szCs w:val="44"/>
          <w:rFonts w:ascii="微软雅黑" w:eastAsia="微软雅黑" w:hAnsi="微软雅黑" w:cs="微软雅黑"/>
        </w:rPr>
        <w:outlineLvl w:val="1"/>
      </w:pPr>
    </w:p>
    <w:p>
      <w:pPr>
        <w:jc w:val="center"/>
        <w:spacing w:lineRule="atLeast" w:line="200"/>
        <w:ind w:left="0" w:right="0" w:firstLine="0"/>
        <w:rPr>
          <w:color w:val="414141"/>
          <w:sz w:val="32"/>
          <w:szCs w:val="32"/>
          <w:rFonts w:ascii="仿宋" w:eastAsia="仿宋" w:hAnsi="仿宋" w:cs="仿宋"/>
        </w:rPr>
        <w:outlineLvl w:val="1"/>
      </w:pPr>
      <w:r>
        <w:rPr>
          <w:color w:val="414141"/>
          <w:sz w:val="32"/>
          <w:szCs w:val="32"/>
          <w:rFonts w:ascii="仿宋" w:eastAsia="仿宋" w:hAnsi="仿宋" w:cs="仿宋"/>
        </w:rPr>
        <w:t>岘政发[2020]37号</w:t>
      </w:r>
    </w:p>
    <w:p>
      <w:pPr>
        <w:jc w:val="center"/>
        <w:spacing w:lineRule="atLeast" w:line="200"/>
        <w:ind w:left="0" w:right="0" w:firstLine="0"/>
        <w:rPr>
          <w:color w:val="414141"/>
          <w:sz w:val="44"/>
          <w:szCs w:val="44"/>
          <w:rFonts w:ascii="微软雅黑" w:eastAsia="微软雅黑" w:hAnsi="微软雅黑" w:cs="微软雅黑"/>
        </w:rPr>
        <w:outlineLvl w:val="1"/>
      </w:pPr>
      <w:r>
        <w:rPr>
          <w:color w:val="414141"/>
          <w:sz w:val="44"/>
          <w:szCs w:val="44"/>
          <w:rFonts w:ascii="微软雅黑" w:eastAsia="微软雅黑" w:hAnsi="微软雅黑" w:cs="微软雅黑"/>
        </w:rPr>
        <w:t>岘山镇人民政府</w:t>
      </w:r>
    </w:p>
    <w:p>
      <w:pPr>
        <w:jc w:val="center"/>
        <w:spacing w:lineRule="atLeast" w:line="200"/>
        <w:ind w:left="0" w:right="0" w:firstLine="0"/>
        <w:rPr>
          <w:sz w:val="44"/>
          <w:szCs w:val="44"/>
          <w:rFonts w:eastAsia="方正小标宋_GBK"/>
        </w:rPr>
        <w:outlineLvl w:val="1"/>
      </w:pPr>
      <w:r>
        <w:rPr>
          <w:color w:val="414141"/>
          <w:sz w:val="44"/>
          <w:szCs w:val="44"/>
          <w:rFonts w:ascii="微软雅黑" w:eastAsia="微软雅黑" w:hAnsi="微软雅黑" w:cs="微软雅黑"/>
        </w:rPr>
        <w:t>2019年部门整体支出绩效自评报告</w:t>
      </w:r>
    </w:p>
    <w:p>
      <w:pPr>
        <w:spacing w:lineRule="exact" w:line="600"/>
        <w:ind w:left="0" w:right="0" w:firstLine="0"/>
        <w:rPr>
          <w:b w:val="1"/>
          <w:sz w:val="32"/>
          <w:szCs w:val="32"/>
          <w:rFonts w:eastAsia="黑体"/>
        </w:rPr>
        <w:outlineLvl w:val="0"/>
      </w:pP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黑体" w:eastAsia="黑体" w:hAnsi="黑体" w:cs="黑体"/>
        </w:rPr>
      </w:pPr>
      <w:bookmarkStart w:id="1" w:name="_Toc25938871"/>
      <w:r>
        <w:rPr>
          <w:rStyle w:val="PO1"/>
          <w:b w:val="1"/>
          <w:sz w:val="32"/>
          <w:szCs w:val="32"/>
          <w:rFonts w:ascii="黑体" w:eastAsia="黑体" w:hAnsi="黑体" w:cs="黑体"/>
        </w:rPr>
        <w:t>一、部门基本情况</w:t>
      </w:r>
      <w:bookmarkEnd w:id="1"/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bookmarkStart w:id="2" w:name="_Toc25938872"/>
      <w:r>
        <w:rPr>
          <w:rStyle w:val="PO1"/>
          <w:b w:val="1"/>
          <w:sz w:val="32"/>
          <w:szCs w:val="32"/>
          <w:rFonts w:ascii="楷体" w:eastAsia="楷体" w:hAnsi="楷体" w:cs="楷体"/>
        </w:rPr>
        <w:t>（一）部门机构设置情况</w:t>
      </w:r>
      <w:bookmarkEnd w:id="2"/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岘山镇位于衡阳县西南部，东接西渡，南抵衡南，西至井头，</w:t>
      </w:r>
      <w:r>
        <w:rPr>
          <w:rStyle w:val="PO1"/>
          <w:sz w:val="32"/>
          <w:szCs w:val="32"/>
          <w:rFonts w:ascii="仿宋" w:eastAsia="仿宋" w:hAnsi="仿宋" w:cs="仿宋"/>
        </w:rPr>
        <w:t>北临演陂。全境西高东低，武水河穿境而过，总面积156.61平方</w:t>
      </w:r>
      <w:r>
        <w:rPr>
          <w:rStyle w:val="PO1"/>
          <w:sz w:val="32"/>
          <w:szCs w:val="32"/>
          <w:rFonts w:ascii="仿宋" w:eastAsia="仿宋" w:hAnsi="仿宋" w:cs="仿宋"/>
        </w:rPr>
        <w:t>公里，南北长17公里，东西宽27.5公里，辖28个行政村、2个居</w:t>
      </w:r>
      <w:r>
        <w:rPr>
          <w:rStyle w:val="PO1"/>
          <w:sz w:val="32"/>
          <w:szCs w:val="32"/>
          <w:rFonts w:ascii="仿宋" w:eastAsia="仿宋" w:hAnsi="仿宋" w:cs="仿宋"/>
        </w:rPr>
        <w:t>委会，658个村（居）民小组，总人口67381人，总户数19620户，</w:t>
      </w:r>
      <w:r>
        <w:rPr>
          <w:rStyle w:val="PO1"/>
          <w:sz w:val="32"/>
          <w:szCs w:val="32"/>
          <w:rFonts w:ascii="仿宋" w:eastAsia="仿宋" w:hAnsi="仿宋" w:cs="仿宋"/>
        </w:rPr>
        <w:t>耕地面积55110亩。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岘山镇政府系县人民政府下辖的一个乡镇行政单位，级别</w:t>
      </w:r>
      <w:r>
        <w:rPr>
          <w:rStyle w:val="PO1"/>
          <w:sz w:val="32"/>
          <w:szCs w:val="32"/>
          <w:rFonts w:ascii="仿宋" w:eastAsia="仿宋" w:hAnsi="仿宋" w:cs="仿宋"/>
        </w:rPr>
        <w:t>为正科级。内设党政综合办公室（加挂统计管理办公室和民政事</w:t>
      </w:r>
      <w:r>
        <w:rPr>
          <w:rStyle w:val="PO1"/>
          <w:sz w:val="32"/>
          <w:szCs w:val="32"/>
          <w:rFonts w:ascii="仿宋" w:eastAsia="仿宋" w:hAnsi="仿宋" w:cs="仿宋"/>
        </w:rPr>
        <w:t>务办公室牌子）、经济发展办公室、食品药品安全和安全生产监</w:t>
      </w:r>
      <w:r>
        <w:rPr>
          <w:rStyle w:val="PO1"/>
          <w:sz w:val="32"/>
          <w:szCs w:val="32"/>
          <w:rFonts w:ascii="仿宋" w:eastAsia="仿宋" w:hAnsi="仿宋" w:cs="仿宋"/>
        </w:rPr>
        <w:t>管办公室、综合治理办公室、人口和计划生育办公室；另设9个</w:t>
      </w:r>
      <w:r>
        <w:rPr>
          <w:rStyle w:val="PO1"/>
          <w:sz w:val="32"/>
          <w:szCs w:val="32"/>
          <w:rFonts w:ascii="仿宋" w:eastAsia="仿宋" w:hAnsi="仿宋" w:cs="仿宋"/>
        </w:rPr>
        <w:t>事业机构，即农机服务站、农技服务站、动物防检服务站、水利</w:t>
      </w:r>
      <w:r>
        <w:rPr>
          <w:rStyle w:val="PO1"/>
          <w:sz w:val="32"/>
          <w:szCs w:val="32"/>
          <w:rFonts w:ascii="仿宋" w:eastAsia="仿宋" w:hAnsi="仿宋" w:cs="仿宋"/>
        </w:rPr>
        <w:t>管理服务站、文化综合服务站、人口与计划生育服务站、农村经</w:t>
      </w:r>
      <w:r>
        <w:rPr>
          <w:rStyle w:val="PO1"/>
          <w:sz w:val="32"/>
          <w:szCs w:val="32"/>
          <w:rFonts w:ascii="仿宋" w:eastAsia="仿宋" w:hAnsi="仿宋" w:cs="仿宋"/>
        </w:rPr>
        <w:t>营管理站、民营经济和信息化管理服务站、林业管理站。</w:t>
      </w: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r>
        <w:rPr>
          <w:rStyle w:val="PO1"/>
          <w:b w:val="1"/>
          <w:sz w:val="32"/>
          <w:szCs w:val="32"/>
          <w:rFonts w:ascii="楷体" w:eastAsia="楷体" w:hAnsi="楷体" w:cs="楷体"/>
        </w:rPr>
        <w:t>（二）人员编制情况</w:t>
      </w:r>
    </w:p>
    <w:p>
      <w:pPr>
        <w:pStyle w:val="PO1"/>
        <w:spacing w:lineRule="exact" w:line="600"/>
        <w:ind w:firstLine="640"/>
        <w:rPr/>
      </w:pPr>
      <w:r>
        <w:rPr>
          <w:rStyle w:val="PO1"/>
          <w:sz w:val="32"/>
          <w:szCs w:val="32"/>
          <w:rFonts w:ascii="仿宋" w:eastAsia="仿宋" w:hAnsi="仿宋" w:cs="仿宋"/>
        </w:rPr>
        <w:t xml:space="preserve">岘山镇政府2019年编制数143个，其中镇机关行政编制 </w:t>
      </w:r>
      <w:r>
        <w:rPr>
          <w:rStyle w:val="PO1"/>
          <w:sz w:val="32"/>
          <w:szCs w:val="32"/>
          <w:rFonts w:ascii="仿宋" w:eastAsia="仿宋" w:hAnsi="仿宋" w:cs="仿宋"/>
        </w:rPr>
        <w:t>52个，事业编制91个；实际在职人数137人，其中镇机关36</w:t>
      </w:r>
      <w:r>
        <w:rPr>
          <w:rStyle w:val="PO1"/>
          <w:sz w:val="32"/>
          <w:szCs w:val="32"/>
          <w:rFonts w:ascii="仿宋" w:eastAsia="仿宋" w:hAnsi="仿宋" w:cs="仿宋"/>
        </w:rPr>
        <w:t>人，站所在岗人员62人，临时人员4人，停职留薪人员35人。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另财政所编制数20个，实际在职人员20人，财政所人员编</w:t>
      </w:r>
      <w:r>
        <w:rPr>
          <w:rStyle w:val="PO1"/>
          <w:sz w:val="32"/>
          <w:szCs w:val="32"/>
          <w:rFonts w:ascii="仿宋" w:eastAsia="仿宋" w:hAnsi="仿宋" w:cs="仿宋"/>
        </w:rPr>
        <w:t>制在县财政局，工资福利等费用在岘山镇政府开支。</w:t>
      </w: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bookmarkStart w:id="3" w:name="_Toc25938873"/>
      <w:r>
        <w:rPr>
          <w:rStyle w:val="PO1"/>
          <w:b w:val="1"/>
          <w:sz w:val="32"/>
          <w:szCs w:val="32"/>
          <w:rFonts w:ascii="楷体" w:eastAsia="楷体" w:hAnsi="楷体" w:cs="楷体"/>
        </w:rPr>
        <w:t>（三）部门职责</w:t>
      </w:r>
      <w:bookmarkEnd w:id="3"/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1、负责党的路线、方针、政策和国家各项法律法规在本行</w:t>
      </w:r>
      <w:r>
        <w:rPr>
          <w:rStyle w:val="PO1"/>
          <w:sz w:val="32"/>
          <w:szCs w:val="32"/>
          <w:rFonts w:ascii="仿宋" w:eastAsia="仿宋" w:hAnsi="仿宋" w:cs="仿宋"/>
        </w:rPr>
        <w:t>政区域内的宣传、贯彻、落实，加强基层党组织和政权建设，为</w:t>
      </w:r>
      <w:r>
        <w:rPr>
          <w:rStyle w:val="PO1"/>
          <w:sz w:val="32"/>
          <w:szCs w:val="32"/>
          <w:rFonts w:ascii="仿宋" w:eastAsia="仿宋" w:hAnsi="仿宋" w:cs="仿宋"/>
        </w:rPr>
        <w:t>本地经济的发展和社会稳定提供政治、社会环境和组织保障。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2、负责制定本行政区域内经济建设和各项社会事业发展规</w:t>
      </w:r>
      <w:r>
        <w:rPr>
          <w:rStyle w:val="PO1"/>
          <w:sz w:val="32"/>
          <w:szCs w:val="32"/>
          <w:rFonts w:ascii="仿宋" w:eastAsia="仿宋" w:hAnsi="仿宋" w:cs="仿宋"/>
        </w:rPr>
        <w:t>划，并组织实施。依法管理经济和社会事务，促进两个文明建设。</w:t>
      </w:r>
      <w:r>
        <w:rPr>
          <w:rStyle w:val="PO1"/>
          <w:sz w:val="32"/>
          <w:szCs w:val="32"/>
          <w:rFonts w:ascii="仿宋" w:eastAsia="仿宋" w:hAnsi="仿宋" w:cs="仿宋"/>
        </w:rPr>
        <w:t>负责本行政区域内的民主和法制建设工作，维护和保障公民的</w:t>
      </w:r>
      <w:r>
        <w:rPr>
          <w:rStyle w:val="PO1"/>
          <w:sz w:val="32"/>
          <w:szCs w:val="32"/>
          <w:rFonts w:ascii="仿宋" w:eastAsia="仿宋" w:hAnsi="仿宋" w:cs="仿宋"/>
        </w:rPr>
        <w:t>社会合法权益。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3、负责党委、人大主席团、人民政府、政协联络工委、纪</w:t>
      </w:r>
      <w:r>
        <w:rPr>
          <w:rStyle w:val="PO1"/>
          <w:sz w:val="32"/>
          <w:szCs w:val="32"/>
          <w:rFonts w:ascii="仿宋" w:eastAsia="仿宋" w:hAnsi="仿宋" w:cs="仿宋"/>
        </w:rPr>
        <w:t>律检查委员会、人民武装部及共青团、妇联等群团组织的日常工</w:t>
      </w:r>
      <w:r>
        <w:rPr>
          <w:rStyle w:val="PO1"/>
          <w:sz w:val="32"/>
          <w:szCs w:val="32"/>
          <w:rFonts w:ascii="仿宋" w:eastAsia="仿宋" w:hAnsi="仿宋" w:cs="仿宋"/>
        </w:rPr>
        <w:t>作。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4、负责完成县委、县政府交办的其他工作。</w:t>
      </w: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bookmarkStart w:id="4" w:name="_Toc25938874"/>
      <w:r>
        <w:rPr>
          <w:rStyle w:val="PO1"/>
          <w:b w:val="1"/>
          <w:sz w:val="32"/>
          <w:szCs w:val="32"/>
          <w:rFonts w:ascii="楷体" w:eastAsia="楷体" w:hAnsi="楷体" w:cs="楷体"/>
        </w:rPr>
        <w:t>（四）年度工作计划</w:t>
      </w:r>
      <w:bookmarkEnd w:id="4"/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根据岘山镇政府《2019年工作计划》，2019年岘山镇政</w:t>
      </w:r>
      <w:r>
        <w:rPr>
          <w:rStyle w:val="PO1"/>
          <w:sz w:val="32"/>
          <w:szCs w:val="32"/>
          <w:rFonts w:ascii="仿宋" w:eastAsia="仿宋" w:hAnsi="仿宋" w:cs="仿宋"/>
        </w:rPr>
        <w:t>府工作目标为：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1、</w:t>
      </w:r>
      <w:r>
        <w:rPr>
          <w:b w:val="0"/>
          <w:sz w:val="32"/>
          <w:szCs w:val="32"/>
          <w:rFonts w:ascii="仿宋" w:eastAsia="仿宋" w:hAnsi="仿宋" w:cs="仿宋"/>
        </w:rPr>
        <w:t>聚焦产业兴旺，实现提质增效</w:t>
      </w:r>
      <w:r>
        <w:rPr>
          <w:rStyle w:val="PO1"/>
          <w:sz w:val="32"/>
          <w:szCs w:val="32"/>
          <w:rFonts w:ascii="仿宋" w:eastAsia="仿宋" w:hAnsi="仿宋" w:cs="仿宋"/>
        </w:rPr>
        <w:t>。</w:t>
      </w:r>
      <w:r>
        <w:rPr>
          <w:b w:val="0"/>
          <w:sz w:val="32"/>
          <w:szCs w:val="32"/>
          <w:rFonts w:ascii="仿宋_GB2312" w:eastAsia="仿宋_GB2312" w:hAnsi="仿宋_GB2312" w:cs="仿宋_GB2312"/>
        </w:rPr>
        <w:t>大力发展以油茶、金槐、</w:t>
      </w:r>
      <w:r>
        <w:rPr>
          <w:b w:val="0"/>
          <w:sz w:val="32"/>
          <w:szCs w:val="32"/>
          <w:rFonts w:ascii="仿宋_GB2312" w:eastAsia="仿宋_GB2312" w:hAnsi="仿宋_GB2312" w:cs="仿宋_GB2312"/>
        </w:rPr>
        <w:t>八月果、杨梅、</w:t>
      </w:r>
      <w:r>
        <w:rPr>
          <w:b w:val="0"/>
          <w:sz w:val="32"/>
          <w:szCs w:val="32"/>
          <w:rFonts w:ascii="仿宋" w:eastAsia="仿宋" w:hAnsi="仿宋" w:cs="仿宋"/>
        </w:rPr>
        <w:t>冬枣</w:t>
      </w:r>
      <w:r>
        <w:rPr>
          <w:b w:val="0"/>
          <w:sz w:val="32"/>
          <w:szCs w:val="32"/>
          <w:rFonts w:ascii="仿宋_GB2312" w:eastAsia="仿宋_GB2312" w:hAnsi="仿宋_GB2312" w:cs="仿宋_GB2312"/>
        </w:rPr>
        <w:t>等特色农林种植产业，打造油茶产业示范片，</w:t>
      </w:r>
      <w:r>
        <w:rPr>
          <w:b w:val="0"/>
          <w:sz w:val="32"/>
          <w:szCs w:val="32"/>
          <w:rFonts w:ascii="仿宋_GB2312" w:eastAsia="仿宋_GB2312" w:hAnsi="仿宋_GB2312" w:cs="仿宋_GB2312"/>
        </w:rPr>
        <w:t>继续推进甲鱼养殖、山黄鸡养殖、桂鱼养殖、小龙虾养殖等特色</w:t>
      </w:r>
      <w:r>
        <w:rPr>
          <w:b w:val="0"/>
          <w:sz w:val="32"/>
          <w:szCs w:val="32"/>
          <w:rFonts w:ascii="仿宋_GB2312" w:eastAsia="仿宋_GB2312" w:hAnsi="仿宋_GB2312" w:cs="仿宋_GB2312"/>
        </w:rPr>
        <w:t>养殖业，继续发挥檀山西甜瓜、长永再生甲鱼等品牌效应，积极</w:t>
      </w:r>
      <w:r>
        <w:rPr>
          <w:b w:val="0"/>
          <w:sz w:val="32"/>
          <w:szCs w:val="32"/>
          <w:rFonts w:ascii="仿宋_GB2312" w:eastAsia="仿宋_GB2312" w:hAnsi="仿宋_GB2312" w:cs="仿宋_GB2312"/>
        </w:rPr>
        <w:t>发展新型特色种养业，带动镇域农、林、牧、渔经济发展，开拓</w:t>
      </w:r>
      <w:r>
        <w:rPr>
          <w:b w:val="0"/>
          <w:sz w:val="32"/>
          <w:szCs w:val="32"/>
          <w:rFonts w:ascii="仿宋_GB2312" w:eastAsia="仿宋_GB2312" w:hAnsi="仿宋_GB2312" w:cs="仿宋_GB2312"/>
        </w:rPr>
        <w:t>新市场。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2、推进项目建设，发挥镇域新优势。</w:t>
      </w:r>
      <w:r>
        <w:rPr>
          <w:color w:val="222222"/>
          <w:sz w:val="32"/>
          <w:szCs w:val="32"/>
          <w:rFonts w:ascii="仿宋" w:eastAsia="仿宋" w:hAnsi="仿宋" w:cs="仿宋"/>
        </w:rPr>
        <w:t>深</w:t>
      </w:r>
      <w:r>
        <w:rPr>
          <w:sz w:val="32"/>
          <w:szCs w:val="32"/>
          <w:rFonts w:ascii="仿宋" w:eastAsia="仿宋" w:hAnsi="仿宋" w:cs="仿宋"/>
        </w:rPr>
        <w:t>入美丽乡村建设，加</w:t>
      </w:r>
      <w:r>
        <w:rPr>
          <w:sz w:val="32"/>
          <w:szCs w:val="32"/>
          <w:rFonts w:ascii="Times New Roman" w:eastAsia="仿宋_GB2312" w:hAnsi="仿宋_GB2312" w:cs="仿宋_GB2312"/>
        </w:rPr>
        <w:t>大乡村规划编制力度；深入开展城乡建设用地增减挂钩工作，党</w:t>
      </w:r>
      <w:r>
        <w:rPr>
          <w:sz w:val="32"/>
          <w:szCs w:val="32"/>
          <w:rFonts w:ascii="Times New Roman" w:eastAsia="仿宋_GB2312" w:hAnsi="仿宋_GB2312" w:cs="仿宋_GB2312"/>
        </w:rPr>
        <w:t>委、政府计划全年新增城乡建设用地1300余亩；大力发展生</w:t>
      </w:r>
      <w:r>
        <w:rPr>
          <w:sz w:val="32"/>
          <w:szCs w:val="32"/>
          <w:rFonts w:ascii="Times New Roman" w:eastAsia="仿宋_GB2312" w:hAnsi="仿宋_GB2312" w:cs="仿宋_GB2312"/>
        </w:rPr>
        <w:t>态旅游，推动织女湖湿地公园建设，打造互通式生态旅游线路，</w:t>
      </w:r>
      <w:r>
        <w:rPr>
          <w:sz w:val="32"/>
          <w:szCs w:val="32"/>
          <w:rFonts w:ascii="Times New Roman" w:eastAsia="仿宋_GB2312" w:hAnsi="仿宋_GB2312" w:cs="仿宋_GB2312"/>
        </w:rPr>
        <w:t>着力打造一批功能完备、设施齐全、旅游避暑的休闲特色村庄，</w:t>
      </w:r>
      <w:r>
        <w:rPr>
          <w:sz w:val="32"/>
          <w:szCs w:val="32"/>
          <w:rFonts w:ascii="仿宋" w:eastAsia="仿宋" w:hAnsi="仿宋" w:cs="仿宋"/>
        </w:rPr>
        <w:t>积极发展乡村旅游。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3、聚焦精准扶贫，打好攻坚新战役。</w:t>
      </w:r>
      <w:r>
        <w:rPr>
          <w:sz w:val="32"/>
          <w:szCs w:val="32"/>
          <w:rFonts w:ascii="Times New Roman" w:eastAsia="仿宋_GB2312" w:hAnsi="仿宋_GB2312" w:cs="仿宋_GB2312"/>
        </w:rPr>
        <w:t>2019年岘山镇预计脱</w:t>
      </w:r>
      <w:r>
        <w:rPr>
          <w:sz w:val="32"/>
          <w:szCs w:val="32"/>
          <w:rFonts w:ascii="Times New Roman" w:eastAsia="仿宋_GB2312" w:hAnsi="仿宋_GB2312" w:cs="仿宋_GB2312"/>
        </w:rPr>
        <w:t>贫贫困户132户445人，除民政兜底和全家无劳动能力户全部</w:t>
      </w:r>
      <w:r>
        <w:rPr>
          <w:sz w:val="32"/>
          <w:szCs w:val="32"/>
          <w:rFonts w:ascii="Times New Roman" w:eastAsia="仿宋_GB2312" w:hAnsi="仿宋_GB2312" w:cs="仿宋_GB2312"/>
        </w:rPr>
        <w:t>脱贫摘帽。今年继续抓好行业扶贫，突出抓好产业扶贫、健康扶</w:t>
      </w:r>
      <w:r>
        <w:rPr>
          <w:sz w:val="32"/>
          <w:szCs w:val="32"/>
          <w:rFonts w:ascii="Times New Roman" w:eastAsia="仿宋_GB2312" w:hAnsi="仿宋_GB2312" w:cs="仿宋_GB2312"/>
        </w:rPr>
        <w:t>贫、教育扶贫、兜底扶贫，不断提高帮扶效果和脱贫质量，继续</w:t>
      </w:r>
      <w:r>
        <w:rPr>
          <w:sz w:val="32"/>
          <w:szCs w:val="32"/>
          <w:rFonts w:ascii="Times New Roman" w:eastAsia="仿宋_GB2312" w:hAnsi="仿宋_GB2312" w:cs="仿宋_GB2312"/>
        </w:rPr>
        <w:t>实行贫困户全覆盖帮扶。</w:t>
      </w:r>
      <w:r>
        <w:rPr>
          <w:rStyle w:val="PO1"/>
          <w:sz w:val="32"/>
          <w:szCs w:val="32"/>
          <w:rFonts w:ascii="仿宋" w:eastAsia="仿宋" w:hAnsi="仿宋" w:cs="仿宋"/>
        </w:rPr>
        <w:t xml:space="preserve"> 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4、</w:t>
      </w:r>
      <w:r>
        <w:rPr>
          <w:b w:val="0"/>
          <w:sz w:val="32"/>
          <w:szCs w:val="32"/>
          <w:rFonts w:ascii="仿宋" w:eastAsia="仿宋" w:hAnsi="仿宋" w:cs="仿宋"/>
        </w:rPr>
        <w:t>聚焦民生福址,提升人民群众幸福指数</w:t>
      </w:r>
      <w:r>
        <w:rPr>
          <w:rStyle w:val="PO1"/>
          <w:sz w:val="32"/>
          <w:szCs w:val="32"/>
          <w:rFonts w:ascii="仿宋" w:eastAsia="仿宋" w:hAnsi="仿宋" w:cs="仿宋"/>
        </w:rPr>
        <w:t>。贯彻落实民政、</w:t>
      </w:r>
      <w:r>
        <w:rPr>
          <w:rStyle w:val="PO1"/>
          <w:sz w:val="32"/>
          <w:szCs w:val="32"/>
          <w:rFonts w:ascii="仿宋" w:eastAsia="仿宋" w:hAnsi="仿宋" w:cs="仿宋"/>
        </w:rPr>
        <w:t>残联、教育等社会救助工作，加大助残、助孤、助学、助困力度。</w:t>
      </w:r>
      <w:r>
        <w:rPr>
          <w:rStyle w:val="PO1"/>
          <w:sz w:val="32"/>
          <w:szCs w:val="32"/>
          <w:rFonts w:ascii="仿宋" w:eastAsia="仿宋" w:hAnsi="仿宋" w:cs="仿宋"/>
        </w:rPr>
        <w:t>继续实施好新农合、新型农民养老保险和失地农民养老保险工</w:t>
      </w:r>
      <w:r>
        <w:rPr>
          <w:rStyle w:val="PO1"/>
          <w:sz w:val="32"/>
          <w:szCs w:val="32"/>
          <w:rFonts w:ascii="仿宋" w:eastAsia="仿宋" w:hAnsi="仿宋" w:cs="仿宋"/>
        </w:rPr>
        <w:t>作，确保各项惠民政策落到实处。继续加快改善农村人居环境，</w:t>
      </w:r>
      <w:r>
        <w:rPr>
          <w:rStyle w:val="PO1"/>
          <w:sz w:val="32"/>
          <w:szCs w:val="32"/>
          <w:rFonts w:ascii="仿宋" w:eastAsia="仿宋" w:hAnsi="仿宋" w:cs="仿宋"/>
        </w:rPr>
        <w:t>搞好农村环境卫生整治。继续推进计生、卫生、文化、工青妇等</w:t>
      </w:r>
      <w:r>
        <w:rPr>
          <w:rStyle w:val="PO1"/>
          <w:sz w:val="32"/>
          <w:szCs w:val="32"/>
          <w:rFonts w:ascii="仿宋" w:eastAsia="仿宋" w:hAnsi="仿宋" w:cs="仿宋"/>
        </w:rPr>
        <w:t xml:space="preserve">其他各项社会事业协调发展，促进群众幸福指数再上新台阶。 </w:t>
      </w:r>
    </w:p>
    <w:p>
      <w:pPr>
        <w:pStyle w:val="PO1"/>
        <w:spacing w:lineRule="exact" w:line="600"/>
        <w:ind w:firstLine="640"/>
        <w:rPr>
          <w:b w:val="0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5、</w:t>
      </w:r>
      <w:r>
        <w:rPr>
          <w:b w:val="0"/>
          <w:sz w:val="32"/>
          <w:szCs w:val="32"/>
          <w:rFonts w:ascii="仿宋" w:eastAsia="仿宋" w:hAnsi="仿宋" w:cs="仿宋"/>
        </w:rPr>
        <w:t>聚焦底线工作，统筹做好各项工作</w:t>
      </w:r>
      <w:r>
        <w:rPr>
          <w:rStyle w:val="PO1"/>
          <w:sz w:val="32"/>
          <w:szCs w:val="32"/>
          <w:rFonts w:ascii="仿宋" w:eastAsia="仿宋" w:hAnsi="仿宋" w:cs="仿宋"/>
        </w:rPr>
        <w:t>。</w:t>
      </w:r>
      <w:r>
        <w:rPr>
          <w:b w:val="0"/>
          <w:sz w:val="32"/>
          <w:szCs w:val="32"/>
          <w:rFonts w:ascii="仿宋" w:eastAsia="仿宋" w:hAnsi="仿宋" w:cs="仿宋"/>
        </w:rPr>
        <w:t>定期开展安全</w:t>
      </w:r>
      <w:r>
        <w:rPr>
          <w:sz w:val="32"/>
          <w:szCs w:val="32"/>
          <w:rFonts w:ascii="仿宋" w:eastAsia="仿宋" w:hAnsi="仿宋" w:cs="仿宋"/>
        </w:rPr>
        <w:t>生产</w:t>
      </w:r>
      <w:r>
        <w:rPr>
          <w:sz w:val="32"/>
          <w:szCs w:val="32"/>
          <w:rFonts w:ascii="仿宋" w:eastAsia="仿宋" w:hAnsi="仿宋" w:cs="仿宋"/>
        </w:rPr>
        <w:t>大排查、大督导、大整治行动，</w:t>
      </w:r>
      <w:r>
        <w:rPr>
          <w:sz w:val="32"/>
          <w:szCs w:val="32"/>
          <w:rFonts w:ascii="Times New Roman" w:eastAsia="仿宋_GB2312" w:hAnsi="仿宋_GB2312" w:cs="仿宋_GB2312"/>
        </w:rPr>
        <w:t>确保不发生较大及以上安全事故。</w:t>
      </w:r>
      <w:r>
        <w:rPr>
          <w:spacing w:val="0"/>
          <w:i w:val="0"/>
          <w:b w:val="0"/>
          <w:color w:val="auto"/>
          <w:sz w:val="32"/>
          <w:szCs w:val="32"/>
          <w:shd w:val="clear" w:color="000000" w:fill="FFFFFF"/>
          <w:caps/>
          <w:rFonts w:ascii="仿宋" w:eastAsia="仿宋" w:hAnsi="仿宋" w:cs="仿宋"/>
        </w:rPr>
        <w:t>深</w:t>
      </w:r>
      <w:r>
        <w:rPr>
          <w:spacing w:val="0"/>
          <w:i w:val="0"/>
          <w:color w:val="auto"/>
          <w:sz w:val="32"/>
          <w:szCs w:val="32"/>
          <w:shd w:val="clear" w:color="000000" w:fill="FFFFFF"/>
          <w:caps/>
          <w:rFonts w:ascii="仿宋" w:eastAsia="仿宋" w:hAnsi="仿宋" w:cs="仿宋"/>
        </w:rPr>
        <w:t>入开展平安创建活动，</w:t>
      </w:r>
      <w:r>
        <w:rPr>
          <w:b w:val="0"/>
          <w:sz w:val="32"/>
          <w:szCs w:val="32"/>
          <w:rFonts w:ascii="仿宋" w:eastAsia="仿宋" w:hAnsi="仿宋" w:cs="仿宋"/>
        </w:rPr>
        <w:t>加大矛盾纠纷排查调处力度，做好普法</w:t>
      </w:r>
      <w:r>
        <w:rPr>
          <w:b w:val="0"/>
          <w:sz w:val="32"/>
          <w:szCs w:val="32"/>
          <w:rFonts w:ascii="仿宋" w:eastAsia="仿宋" w:hAnsi="仿宋" w:cs="仿宋"/>
        </w:rPr>
        <w:t>宣传教育工作，常态性开展“七五”普法教育，</w:t>
      </w:r>
      <w:r>
        <w:rPr>
          <w:spacing w:val="0"/>
          <w:i w:val="0"/>
          <w:b w:val="0"/>
          <w:color w:val="auto"/>
          <w:sz w:val="32"/>
          <w:szCs w:val="32"/>
          <w:shd w:val="clear" w:color="000000" w:fill="FFFFFF"/>
          <w:caps/>
          <w:rFonts w:ascii="仿宋" w:eastAsia="仿宋" w:hAnsi="仿宋" w:cs="仿宋"/>
        </w:rPr>
        <w:t>全面</w:t>
      </w:r>
      <w:r>
        <w:rPr>
          <w:b w:val="0"/>
          <w:sz w:val="32"/>
          <w:szCs w:val="32"/>
          <w:rFonts w:ascii="仿宋" w:eastAsia="仿宋" w:hAnsi="仿宋" w:cs="仿宋"/>
        </w:rPr>
        <w:t>开展扫黑除</w:t>
      </w:r>
      <w:r>
        <w:rPr>
          <w:b w:val="0"/>
          <w:sz w:val="32"/>
          <w:szCs w:val="32"/>
          <w:rFonts w:ascii="仿宋" w:eastAsia="仿宋" w:hAnsi="仿宋" w:cs="仿宋"/>
        </w:rPr>
        <w:t>恶专项斗争和新一轮禁毒人民战争。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b w:val="0"/>
          <w:sz w:val="32"/>
          <w:szCs w:val="32"/>
          <w:rFonts w:ascii="仿宋" w:eastAsia="仿宋" w:hAnsi="仿宋" w:cs="仿宋"/>
        </w:rPr>
        <w:t>6、聚焦党的建设，落实全面从严治党要求。计划创建“五</w:t>
      </w:r>
      <w:r>
        <w:rPr>
          <w:b w:val="0"/>
          <w:sz w:val="32"/>
          <w:szCs w:val="32"/>
          <w:rFonts w:ascii="仿宋" w:eastAsia="仿宋" w:hAnsi="仿宋" w:cs="仿宋"/>
        </w:rPr>
        <w:t>化”示范支部10个，达标支部16个，完成40%的创建目标，</w:t>
      </w:r>
      <w:r>
        <w:rPr>
          <w:b w:val="0"/>
          <w:sz w:val="32"/>
          <w:szCs w:val="32"/>
          <w:rFonts w:ascii="仿宋" w:eastAsia="仿宋" w:hAnsi="仿宋" w:cs="仿宋"/>
        </w:rPr>
        <w:t>力争2020年所有支部“五化”创建达标，并对已达标支部进</w:t>
      </w:r>
      <w:r>
        <w:rPr>
          <w:b w:val="0"/>
          <w:sz w:val="32"/>
          <w:szCs w:val="32"/>
          <w:rFonts w:ascii="仿宋" w:eastAsia="仿宋" w:hAnsi="仿宋" w:cs="仿宋"/>
        </w:rPr>
        <w:t>行巩固提升。</w:t>
      </w: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bookmarkStart w:id="5" w:name="_Toc25938875"/>
      <w:r>
        <w:rPr>
          <w:rStyle w:val="PO1"/>
          <w:b w:val="1"/>
          <w:sz w:val="32"/>
          <w:szCs w:val="32"/>
          <w:rFonts w:ascii="楷体" w:eastAsia="楷体" w:hAnsi="楷体" w:cs="楷体"/>
        </w:rPr>
        <w:t>（四）2019年度绩效目标设定情况</w:t>
      </w:r>
      <w:bookmarkEnd w:id="5"/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根据部门整体支出绩效目标申报表，2019年岘山镇部门整</w:t>
      </w:r>
      <w:r>
        <w:rPr>
          <w:rStyle w:val="PO1"/>
          <w:sz w:val="32"/>
          <w:szCs w:val="32"/>
          <w:rFonts w:ascii="仿宋" w:eastAsia="仿宋" w:hAnsi="仿宋" w:cs="仿宋"/>
        </w:rPr>
        <w:t>体支出绩效目标设立情况如下：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1、人员经费按相关政策及时发放到位。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2、严格控制三公经费支出，保障机关正常运转经费。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3、发挥财政资金引导作用，优先保障民生项目，确保民生</w:t>
      </w:r>
      <w:r>
        <w:rPr>
          <w:rStyle w:val="PO1"/>
          <w:sz w:val="32"/>
          <w:szCs w:val="32"/>
          <w:rFonts w:ascii="仿宋" w:eastAsia="仿宋" w:hAnsi="仿宋" w:cs="仿宋"/>
        </w:rPr>
        <w:t>支出及时到位。</w:t>
      </w: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黑体" w:eastAsia="黑体" w:hAnsi="黑体" w:cs="黑体"/>
        </w:rPr>
      </w:pPr>
      <w:r>
        <w:rPr>
          <w:rStyle w:val="PO1"/>
          <w:b w:val="1"/>
          <w:sz w:val="32"/>
          <w:szCs w:val="32"/>
          <w:rFonts w:ascii="黑体" w:eastAsia="黑体" w:hAnsi="黑体" w:cs="黑体"/>
        </w:rPr>
        <w:t>二</w:t>
      </w:r>
      <w:bookmarkStart w:id="6" w:name="_Toc25938880"/>
      <w:r>
        <w:rPr>
          <w:rStyle w:val="PO1"/>
          <w:b w:val="1"/>
          <w:sz w:val="32"/>
          <w:szCs w:val="32"/>
          <w:rFonts w:ascii="黑体" w:eastAsia="黑体" w:hAnsi="黑体" w:cs="黑体"/>
        </w:rPr>
        <w:t>、部门整体支出管理及使用情况</w:t>
      </w:r>
      <w:bookmarkEnd w:id="6"/>
    </w:p>
    <w:p>
      <w:pPr>
        <w:jc w:val="both"/>
        <w:spacing w:lineRule="auto" w:line="36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sz w:val="32"/>
          <w:szCs w:val="32"/>
          <w:rFonts w:ascii="Times New Roman" w:eastAsia="仿宋_GB2312" w:hAnsi="仿宋_GB2312" w:cs="仿宋_GB2312"/>
        </w:rPr>
        <w:t>2019年年初本级预算收入</w:t>
      </w:r>
      <w:r>
        <w:rPr>
          <w:rStyle w:val="PO1"/>
          <w:sz w:val="32"/>
          <w:szCs w:val="32"/>
          <w:rFonts w:ascii="仿宋" w:eastAsia="仿宋" w:hAnsi="仿宋" w:cs="仿宋"/>
        </w:rPr>
        <w:t>2365.48</w:t>
      </w:r>
      <w:r>
        <w:rPr>
          <w:sz w:val="32"/>
          <w:szCs w:val="32"/>
          <w:rFonts w:ascii="Times New Roman" w:eastAsia="仿宋_GB2312" w:hAnsi="仿宋_GB2312" w:cs="仿宋_GB2312"/>
        </w:rPr>
        <w:t>万元，其中财政拨款收</w:t>
      </w:r>
      <w:r>
        <w:rPr>
          <w:sz w:val="32"/>
          <w:szCs w:val="32"/>
          <w:rFonts w:ascii="Times New Roman" w:eastAsia="仿宋_GB2312" w:hAnsi="仿宋_GB2312" w:cs="仿宋_GB2312"/>
        </w:rPr>
        <w:t>入</w:t>
      </w:r>
      <w:r>
        <w:rPr>
          <w:rStyle w:val="PO1"/>
          <w:sz w:val="32"/>
          <w:szCs w:val="32"/>
          <w:rFonts w:ascii="仿宋" w:eastAsia="仿宋" w:hAnsi="仿宋" w:cs="仿宋"/>
        </w:rPr>
        <w:t>2090.23</w:t>
      </w:r>
      <w:r>
        <w:rPr>
          <w:sz w:val="32"/>
          <w:szCs w:val="32"/>
          <w:rFonts w:ascii="Times New Roman" w:eastAsia="仿宋_GB2312" w:hAnsi="仿宋_GB2312" w:cs="仿宋_GB2312"/>
        </w:rPr>
        <w:t>万元，基金预算拨款</w:t>
      </w:r>
      <w:r>
        <w:rPr>
          <w:rStyle w:val="PO1"/>
          <w:sz w:val="32"/>
          <w:szCs w:val="32"/>
          <w:rFonts w:ascii="仿宋" w:eastAsia="仿宋" w:hAnsi="仿宋" w:cs="仿宋"/>
        </w:rPr>
        <w:t>275.25</w:t>
      </w:r>
      <w:r>
        <w:rPr>
          <w:sz w:val="32"/>
          <w:szCs w:val="32"/>
          <w:rFonts w:ascii="Times New Roman" w:eastAsia="仿宋_GB2312" w:hAnsi="仿宋_GB2312" w:cs="仿宋_GB2312"/>
        </w:rPr>
        <w:t>万元；</w:t>
      </w:r>
      <w:r>
        <w:rPr>
          <w:rStyle w:val="PO1"/>
          <w:sz w:val="32"/>
          <w:szCs w:val="32"/>
          <w:rFonts w:ascii="仿宋" w:eastAsia="仿宋" w:hAnsi="仿宋" w:cs="仿宋"/>
        </w:rPr>
        <w:t>2019年决算总</w:t>
      </w:r>
      <w:r>
        <w:rPr>
          <w:rStyle w:val="PO1"/>
          <w:sz w:val="32"/>
          <w:szCs w:val="32"/>
          <w:rFonts w:ascii="仿宋" w:eastAsia="仿宋" w:hAnsi="仿宋" w:cs="仿宋"/>
        </w:rPr>
        <w:t xml:space="preserve">收入2365.48万元，其中财政拨款收入 2090.23万元，基金预算</w:t>
      </w:r>
      <w:r>
        <w:rPr>
          <w:rStyle w:val="PO1"/>
          <w:sz w:val="32"/>
          <w:szCs w:val="32"/>
          <w:rFonts w:ascii="仿宋" w:eastAsia="仿宋" w:hAnsi="仿宋" w:cs="仿宋"/>
        </w:rPr>
        <w:t>收入275.25万元。</w:t>
      </w:r>
    </w:p>
    <w:p>
      <w:pPr>
        <w:jc w:val="both"/>
        <w:spacing w:lineRule="auto" w:line="360"/>
        <w:ind w:firstLine="640"/>
        <w:rPr>
          <w:sz w:val="32"/>
          <w:szCs w:val="32"/>
          <w:rFonts w:ascii="Times New Roman" w:eastAsia="仿宋_GB2312" w:hAnsi="仿宋_GB2312" w:cs="仿宋_GB2312"/>
        </w:rPr>
      </w:pPr>
      <w:r>
        <w:rPr>
          <w:sz w:val="32"/>
          <w:szCs w:val="32"/>
          <w:rFonts w:ascii="Times New Roman" w:eastAsia="仿宋_GB2312" w:hAnsi="仿宋_GB2312" w:cs="仿宋_GB2312"/>
        </w:rPr>
        <w:t xml:space="preserve">2019年年初预算支出2046.71万元，其中基本支出 </w:t>
      </w:r>
      <w:r>
        <w:rPr>
          <w:rStyle w:val="PO1"/>
          <w:sz w:val="32"/>
          <w:szCs w:val="32"/>
          <w:rFonts w:ascii="仿宋" w:eastAsia="仿宋" w:hAnsi="仿宋" w:cs="仿宋"/>
        </w:rPr>
        <w:t>1999.41</w:t>
      </w:r>
      <w:r>
        <w:rPr>
          <w:sz w:val="32"/>
          <w:szCs w:val="32"/>
          <w:rFonts w:ascii="Times New Roman" w:eastAsia="仿宋_GB2312" w:hAnsi="仿宋_GB2312" w:cs="仿宋_GB2312"/>
        </w:rPr>
        <w:t>万元,项目支出47.30万元；</w:t>
      </w:r>
      <w:r>
        <w:rPr>
          <w:rStyle w:val="PO1"/>
          <w:sz w:val="32"/>
          <w:szCs w:val="32"/>
          <w:rFonts w:ascii="仿宋" w:eastAsia="仿宋" w:hAnsi="仿宋" w:cs="仿宋"/>
        </w:rPr>
        <w:t xml:space="preserve">2019年决算支出为 </w:t>
      </w:r>
      <w:r>
        <w:rPr>
          <w:rStyle w:val="PO1"/>
          <w:sz w:val="32"/>
          <w:szCs w:val="32"/>
          <w:rFonts w:ascii="仿宋" w:eastAsia="仿宋" w:hAnsi="仿宋" w:cs="仿宋"/>
        </w:rPr>
        <w:t>2046.71万元，</w:t>
      </w:r>
      <w:r>
        <w:rPr>
          <w:sz w:val="32"/>
          <w:szCs w:val="32"/>
          <w:rFonts w:ascii="Times New Roman" w:eastAsia="仿宋_GB2312" w:hAnsi="仿宋_GB2312" w:cs="仿宋_GB2312"/>
        </w:rPr>
        <w:t xml:space="preserve">其中基本支出 </w:t>
      </w:r>
      <w:r>
        <w:rPr>
          <w:rStyle w:val="PO1"/>
          <w:sz w:val="32"/>
          <w:szCs w:val="32"/>
          <w:rFonts w:ascii="仿宋" w:eastAsia="仿宋" w:hAnsi="仿宋" w:cs="仿宋"/>
        </w:rPr>
        <w:t>1999.41</w:t>
      </w:r>
      <w:r>
        <w:rPr>
          <w:sz w:val="32"/>
          <w:szCs w:val="32"/>
          <w:rFonts w:ascii="Times New Roman" w:eastAsia="仿宋_GB2312" w:hAnsi="仿宋_GB2312" w:cs="仿宋_GB2312"/>
        </w:rPr>
        <w:t>万元,项目支出47.30万</w:t>
      </w:r>
      <w:r>
        <w:rPr>
          <w:sz w:val="32"/>
          <w:szCs w:val="32"/>
          <w:rFonts w:ascii="Times New Roman" w:eastAsia="仿宋_GB2312" w:hAnsi="仿宋_GB2312" w:cs="仿宋_GB2312"/>
        </w:rPr>
        <w:t>元；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sz w:val="32"/>
          <w:szCs w:val="32"/>
          <w:rFonts w:ascii="Times New Roman" w:eastAsia="仿宋_GB2312" w:hAnsi="仿宋_GB2312" w:cs="仿宋_GB2312"/>
        </w:rPr>
        <w:t>2019年年末结转和结余318.77万元,其中基本支出结转和</w:t>
      </w:r>
      <w:r>
        <w:rPr>
          <w:sz w:val="32"/>
          <w:szCs w:val="32"/>
          <w:rFonts w:ascii="Times New Roman" w:eastAsia="仿宋_GB2312" w:hAnsi="仿宋_GB2312" w:cs="仿宋_GB2312"/>
        </w:rPr>
        <w:t>结余318.77万元，项目支出结转和结余0万元。</w:t>
      </w:r>
      <w:r>
        <w:rPr>
          <w:rStyle w:val="PO1"/>
          <w:sz w:val="32"/>
          <w:szCs w:val="32"/>
          <w:rFonts w:ascii="仿宋" w:eastAsia="仿宋" w:hAnsi="仿宋" w:cs="仿宋"/>
        </w:rPr>
        <w:t>基本支出结转和</w:t>
      </w:r>
      <w:r>
        <w:rPr>
          <w:rStyle w:val="PO1"/>
          <w:sz w:val="32"/>
          <w:szCs w:val="32"/>
          <w:rFonts w:ascii="仿宋" w:eastAsia="仿宋" w:hAnsi="仿宋" w:cs="仿宋"/>
        </w:rPr>
        <w:t>结余主要系村级基础设施建设、水利建设等专项资金因村级项</w:t>
      </w:r>
      <w:r>
        <w:rPr>
          <w:rStyle w:val="PO1"/>
          <w:sz w:val="32"/>
          <w:szCs w:val="32"/>
          <w:rFonts w:ascii="仿宋" w:eastAsia="仿宋" w:hAnsi="仿宋" w:cs="仿宋"/>
        </w:rPr>
        <w:t>目建设未完成尚未拨付。</w:t>
      </w: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bookmarkStart w:id="7" w:name="_Toc25938881"/>
      <w:r>
        <w:rPr>
          <w:rStyle w:val="PO1"/>
          <w:b w:val="1"/>
          <w:sz w:val="32"/>
          <w:szCs w:val="32"/>
          <w:rFonts w:ascii="楷体" w:eastAsia="楷体" w:hAnsi="楷体" w:cs="楷体"/>
        </w:rPr>
        <w:t>（一）基本支出</w:t>
      </w:r>
      <w:bookmarkEnd w:id="7"/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基本支出为保障机构正常运转、完成日常工作任务而发生</w:t>
      </w:r>
      <w:r>
        <w:rPr>
          <w:rStyle w:val="PO1"/>
          <w:sz w:val="32"/>
          <w:szCs w:val="32"/>
          <w:rFonts w:ascii="仿宋" w:eastAsia="仿宋" w:hAnsi="仿宋" w:cs="仿宋"/>
        </w:rPr>
        <w:t>的支出，包括人员经费和公用经费。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2019年财政拨款基本支出1999.41万元，分别为工资福利</w:t>
      </w:r>
      <w:r>
        <w:rPr>
          <w:rStyle w:val="PO1"/>
          <w:sz w:val="32"/>
          <w:szCs w:val="32"/>
          <w:rFonts w:ascii="仿宋" w:eastAsia="仿宋" w:hAnsi="仿宋" w:cs="仿宋"/>
        </w:rPr>
        <w:t>支出924.11万元，商品和服务支出90.17万元，对个人和家</w:t>
      </w:r>
      <w:r>
        <w:rPr>
          <w:rStyle w:val="PO1"/>
          <w:sz w:val="32"/>
          <w:szCs w:val="32"/>
          <w:rFonts w:ascii="仿宋" w:eastAsia="仿宋" w:hAnsi="仿宋" w:cs="仿宋"/>
        </w:rPr>
        <w:t>庭的补助941.74万元,对企业的补助支出43.39万元。</w:t>
      </w:r>
    </w:p>
    <w:p>
      <w:pPr>
        <w:pStyle w:val="PO1"/>
        <w:rPr>
          <w:rStyle w:val="PO1"/>
          <w:b w:val="1"/>
          <w:sz w:val="32"/>
          <w:szCs w:val="32"/>
          <w:rFonts w:ascii="楷体" w:eastAsia="楷体" w:hAnsi="楷体" w:cs="楷体"/>
        </w:rPr>
      </w:pPr>
      <w:r>
        <w:rPr>
          <w:rStyle w:val="PO1"/>
          <w:b w:val="1"/>
          <w:sz w:val="32"/>
          <w:szCs w:val="32"/>
          <w:rFonts w:ascii="楷体" w:eastAsia="楷体" w:hAnsi="楷体" w:cs="楷体"/>
        </w:rPr>
        <w:t>（二）项目支出</w:t>
      </w:r>
    </w:p>
    <w:p>
      <w:pPr>
        <w:pStyle w:val="PO1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我镇2019年项目支出为47.30万元，项目属性为非基建</w:t>
      </w:r>
      <w:r>
        <w:rPr>
          <w:rStyle w:val="PO1"/>
          <w:sz w:val="32"/>
          <w:szCs w:val="32"/>
          <w:rFonts w:ascii="仿宋" w:eastAsia="仿宋" w:hAnsi="仿宋" w:cs="仿宋"/>
        </w:rPr>
        <w:t>项目。</w:t>
      </w: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bookmarkStart w:id="8" w:name="_Toc25938882"/>
      <w:r>
        <w:rPr>
          <w:rStyle w:val="PO1"/>
          <w:b w:val="1"/>
          <w:sz w:val="32"/>
          <w:szCs w:val="32"/>
          <w:rFonts w:ascii="楷体" w:eastAsia="楷体" w:hAnsi="楷体" w:cs="楷体"/>
        </w:rPr>
        <w:t>（三）“三公经费”使用和管理情况</w:t>
      </w:r>
      <w:bookmarkEnd w:id="8"/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r>
        <w:rPr>
          <w:rStyle w:val="PO1"/>
          <w:b w:val="1"/>
          <w:sz w:val="32"/>
          <w:szCs w:val="32"/>
          <w:rFonts w:ascii="楷体" w:eastAsia="楷体" w:hAnsi="楷体" w:cs="楷体"/>
        </w:rPr>
        <w:t>1、2019年“三公经费”支出总额情况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2019年三公经费预算89,000.00元，决算支出76,000.00</w:t>
      </w:r>
      <w:r>
        <w:rPr>
          <w:rStyle w:val="PO1"/>
          <w:sz w:val="32"/>
          <w:szCs w:val="32"/>
          <w:rFonts w:ascii="仿宋" w:eastAsia="仿宋" w:hAnsi="仿宋" w:cs="仿宋"/>
        </w:rPr>
        <w:t>元，其中公务接待费支出51,000.00元；公务用车购置及运行维</w:t>
      </w:r>
      <w:r>
        <w:rPr>
          <w:rStyle w:val="PO1"/>
          <w:sz w:val="32"/>
          <w:szCs w:val="32"/>
          <w:rFonts w:ascii="仿宋" w:eastAsia="仿宋" w:hAnsi="仿宋" w:cs="仿宋"/>
        </w:rPr>
        <w:t>护费25,000.00元；因公出国费用无支出。三公经费具体明细如</w:t>
      </w:r>
      <w:r>
        <w:rPr>
          <w:rStyle w:val="PO1"/>
          <w:sz w:val="32"/>
          <w:szCs w:val="32"/>
          <w:rFonts w:ascii="仿宋" w:eastAsia="仿宋" w:hAnsi="仿宋" w:cs="仿宋"/>
        </w:rPr>
        <w:t>下：</w:t>
      </w:r>
    </w:p>
    <w:p>
      <w:pPr>
        <w:jc w:val="right"/>
        <w:spacing w:lineRule="exact" w:line="600"/>
        <w:ind w:left="0" w:right="0" w:firstLine="200"/>
        <w:rPr>
          <w:sz w:val="28"/>
          <w:szCs w:val="28"/>
          <w:rFonts w:eastAsia="仿宋_GB2312"/>
        </w:rPr>
      </w:pPr>
      <w:r>
        <w:rPr>
          <w:sz w:val="24"/>
          <w:szCs w:val="24"/>
          <w:rFonts w:eastAsia="仿宋_GB2312"/>
        </w:rPr>
        <w:t>金额单位：元</w:t>
      </w:r>
    </w:p>
    <w:tbl>
      <w:tblID w:val="0"/>
      <w:tblPr>
        <w:tblBorders>
          <w:top w:val="single" w:sz="4" w:space="0" w:color="000000"/>
          <w:left w:val="nil"/>
          <w:bottom w:val="single" w:sz="4" w:space="0" w:color="000000"/>
          <w:right w:val="nil"/>
          <w:insideH w:val="dotted" w:sz="4" w:space="0" w:color="000000"/>
          <w:insideV w:val="dotted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522" w:type="dxa"/>
        <w:tblLook w:val="000000" w:firstRow="0" w:lastRow="0" w:firstColumn="0" w:lastColumn="0" w:noHBand="0" w:noVBand="0"/>
        <w:tblLayout w:type="fixed"/>
      </w:tblPr>
      <w:tblGrid>
        <w:gridCol w:w="3877"/>
        <w:gridCol w:w="1519"/>
        <w:gridCol w:w="1519"/>
        <w:gridCol w:w="1607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387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center"/>
              <w:spacing w:lineRule="exact" w:line="600"/>
              <w:ind w:left="0" w:right="0" w:firstLine="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费用项目</w:t>
            </w:r>
          </w:p>
        </w:tc>
        <w:tc>
          <w:tcPr>
            <w:tcW w:type="dxa" w:w="15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center"/>
              <w:spacing w:lineRule="exact" w:line="600"/>
              <w:ind w:left="0" w:right="0" w:firstLine="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本年预算</w:t>
            </w:r>
          </w:p>
        </w:tc>
        <w:tc>
          <w:tcPr>
            <w:tcW w:type="dxa" w:w="151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center"/>
              <w:spacing w:lineRule="exact" w:line="600"/>
              <w:ind w:left="0" w:right="0" w:firstLine="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本年决算</w:t>
            </w:r>
          </w:p>
        </w:tc>
        <w:tc>
          <w:tcPr>
            <w:tcW w:type="dxa" w:w="160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center"/>
              <w:spacing w:lineRule="exact" w:line="600"/>
              <w:ind w:left="0" w:right="0" w:firstLine="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结余/超支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387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left"/>
              <w:spacing w:lineRule="exact" w:line="600"/>
              <w:ind w:left="0" w:right="0" w:firstLine="200"/>
              <w:rPr>
                <w:color w:val="000000"/>
              </w:rPr>
            </w:pPr>
            <w:r>
              <w:rPr>
                <w:color w:val="000000"/>
              </w:rPr>
              <w:t>公务接待费</w:t>
            </w:r>
          </w:p>
        </w:tc>
        <w:tc>
          <w:tcPr>
            <w:tcW w:type="dxa" w:w="15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59,000.00</w:t>
            </w:r>
          </w:p>
        </w:tc>
        <w:tc>
          <w:tcPr>
            <w:tcW w:type="dxa" w:w="151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51,000.00</w:t>
            </w:r>
          </w:p>
        </w:tc>
        <w:tc>
          <w:tcPr>
            <w:tcW w:type="dxa" w:w="160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0"/>
        </w:trPr>
        <w:tc>
          <w:tcPr>
            <w:tcW w:type="dxa" w:w="387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left"/>
              <w:spacing w:lineRule="exact" w:line="600"/>
              <w:ind w:left="0" w:right="0" w:firstLine="200"/>
              <w:rPr>
                <w:color w:val="000000"/>
              </w:rPr>
            </w:pPr>
            <w:r>
              <w:rPr>
                <w:color w:val="000000"/>
              </w:rPr>
              <w:t>公车运行维护费</w:t>
            </w:r>
          </w:p>
        </w:tc>
        <w:tc>
          <w:tcPr>
            <w:tcW w:type="dxa" w:w="15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30,000.00</w:t>
            </w:r>
          </w:p>
        </w:tc>
        <w:tc>
          <w:tcPr>
            <w:tcW w:type="dxa" w:w="151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25,000.00</w:t>
            </w:r>
          </w:p>
        </w:tc>
        <w:tc>
          <w:tcPr>
            <w:tcW w:type="dxa" w:w="160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70"/>
        </w:trPr>
        <w:tc>
          <w:tcPr>
            <w:tcW w:type="dxa" w:w="387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left"/>
              <w:spacing w:lineRule="exact" w:line="600"/>
              <w:ind w:left="0" w:right="0" w:firstLine="200"/>
              <w:rPr>
                <w:color w:val="000000"/>
              </w:rPr>
            </w:pPr>
            <w:r>
              <w:rPr>
                <w:color w:val="000000"/>
              </w:rPr>
              <w:t>因公出国费用</w:t>
            </w:r>
          </w:p>
        </w:tc>
        <w:tc>
          <w:tcPr>
            <w:tcW w:type="dxa" w:w="15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</w:p>
        </w:tc>
        <w:tc>
          <w:tcPr>
            <w:tcW w:type="dxa" w:w="151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</w:p>
        </w:tc>
        <w:tc>
          <w:tcPr>
            <w:tcW w:type="dxa" w:w="160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5"/>
        </w:trPr>
        <w:tc>
          <w:tcPr>
            <w:tcW w:type="dxa" w:w="387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center"/>
              <w:spacing w:lineRule="exact" w:line="600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合  计</w:t>
            </w:r>
          </w:p>
        </w:tc>
        <w:tc>
          <w:tcPr>
            <w:tcW w:type="dxa" w:w="15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89,000.00</w:t>
            </w:r>
          </w:p>
        </w:tc>
        <w:tc>
          <w:tcPr>
            <w:tcW w:type="dxa" w:w="151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76,000.00</w:t>
            </w:r>
          </w:p>
        </w:tc>
        <w:tc>
          <w:tcPr>
            <w:tcW w:type="dxa" w:w="160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</w:p>
        </w:tc>
      </w:tr>
    </w:tbl>
    <w:p>
      <w:pPr>
        <w:spacing w:lineRule="exact" w:line="600"/>
        <w:ind w:left="0" w:right="0" w:firstLine="200"/>
        <w:rPr>
          <w:b w:val="1"/>
          <w:sz w:val="32"/>
          <w:szCs w:val="32"/>
          <w:rFonts w:eastAsia="仿宋_GB2312"/>
        </w:rPr>
      </w:pPr>
      <w:r>
        <w:rPr>
          <w:b w:val="1"/>
          <w:sz w:val="32"/>
          <w:szCs w:val="32"/>
          <w:rFonts w:eastAsia="仿宋_GB2312"/>
        </w:rPr>
        <w:t>2、与上年度比较“三公经费”总额控制情况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与上年比较，三公经费总额减少13,000.00元，降幅14.6%。</w:t>
      </w:r>
      <w:r>
        <w:rPr>
          <w:rStyle w:val="PO1"/>
          <w:sz w:val="32"/>
          <w:szCs w:val="32"/>
          <w:rFonts w:ascii="仿宋" w:eastAsia="仿宋" w:hAnsi="仿宋" w:cs="仿宋"/>
        </w:rPr>
        <w:t>具体明细如下：</w:t>
      </w:r>
    </w:p>
    <w:p>
      <w:pPr>
        <w:jc w:val="right"/>
        <w:spacing w:lineRule="exact" w:line="600"/>
        <w:ind w:left="0" w:right="0" w:firstLine="200"/>
        <w:rPr>
          <w:sz w:val="28"/>
          <w:szCs w:val="28"/>
          <w:rFonts w:eastAsia="仿宋_GB2312"/>
        </w:rPr>
      </w:pPr>
      <w:r>
        <w:rPr>
          <w:sz w:val="24"/>
          <w:szCs w:val="24"/>
          <w:rFonts w:eastAsia="仿宋_GB2312"/>
        </w:rPr>
        <w:t>金额单位：元</w:t>
      </w:r>
    </w:p>
    <w:tbl>
      <w:tblID w:val="0"/>
      <w:tblPr>
        <w:tblBorders>
          <w:top w:val="single" w:sz="4" w:space="0" w:color="000000"/>
          <w:left w:val="nil"/>
          <w:bottom w:val="single" w:sz="4" w:space="0" w:color="000000"/>
          <w:right w:val="nil"/>
          <w:insideH w:val="dotted" w:sz="4" w:space="0" w:color="000000"/>
          <w:insideV w:val="dotted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517" w:type="dxa"/>
        <w:tblLook w:val="000000" w:firstRow="0" w:lastRow="0" w:firstColumn="0" w:lastColumn="0" w:noHBand="0" w:noVBand="0"/>
        <w:tblLayout w:type="fixed"/>
      </w:tblPr>
      <w:tblGrid>
        <w:gridCol w:w="2268"/>
        <w:gridCol w:w="1902"/>
        <w:gridCol w:w="1695"/>
        <w:gridCol w:w="1327"/>
        <w:gridCol w:w="1325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57"/>
        </w:trPr>
        <w:tc>
          <w:tcPr>
            <w:tcW w:type="dxa" w:w="226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center"/>
              <w:spacing w:lineRule="exact" w:line="600"/>
              <w:ind w:left="0" w:right="0" w:firstLine="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费用项目</w:t>
            </w:r>
          </w:p>
        </w:tc>
        <w:tc>
          <w:tcPr>
            <w:tcW w:type="dxa" w:w="19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center"/>
              <w:spacing w:lineRule="exact" w:line="600"/>
              <w:ind w:left="0" w:right="0" w:firstLine="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本年决算金额</w:t>
            </w:r>
          </w:p>
        </w:tc>
        <w:tc>
          <w:tcPr>
            <w:tcW w:type="dxa" w:w="169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center"/>
              <w:spacing w:lineRule="exact" w:line="600"/>
              <w:ind w:left="0" w:right="0" w:firstLine="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上年决算金额</w:t>
            </w:r>
          </w:p>
        </w:tc>
        <w:tc>
          <w:tcPr>
            <w:tcW w:type="dxa" w:w="132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center"/>
              <w:spacing w:lineRule="exact" w:line="600"/>
              <w:ind w:left="0" w:right="0" w:firstLine="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增减额</w:t>
            </w:r>
          </w:p>
        </w:tc>
        <w:tc>
          <w:tcPr>
            <w:tcW w:type="dxa" w:w="132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center"/>
              <w:spacing w:lineRule="exact" w:line="600"/>
              <w:ind w:left="0" w:right="0" w:firstLine="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增减率(%)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57"/>
        </w:trPr>
        <w:tc>
          <w:tcPr>
            <w:tcW w:type="dxa" w:w="226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left"/>
              <w:spacing w:lineRule="exact" w:line="600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公务接待费</w:t>
            </w:r>
          </w:p>
        </w:tc>
        <w:tc>
          <w:tcPr>
            <w:tcW w:type="dxa" w:w="19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  <w:rFonts w:eastAsia="仿宋_GB2312"/>
              </w:rPr>
            </w:pPr>
            <w:r>
              <w:rPr>
                <w:color w:val="000000"/>
              </w:rPr>
              <w:t>51,000.00</w:t>
            </w:r>
          </w:p>
        </w:tc>
        <w:tc>
          <w:tcPr>
            <w:tcW w:type="dxa" w:w="169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  <w:rFonts w:eastAsia="仿宋_GB2312"/>
              </w:rPr>
            </w:pPr>
            <w:r>
              <w:rPr>
                <w:color w:val="000000"/>
              </w:rPr>
              <w:t>59,000.00</w:t>
            </w:r>
          </w:p>
        </w:tc>
        <w:tc>
          <w:tcPr>
            <w:tcW w:type="dxa" w:w="132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-13,000.00</w:t>
            </w:r>
          </w:p>
        </w:tc>
        <w:tc>
          <w:tcPr>
            <w:tcW w:type="dxa" w:w="132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-14.6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57"/>
        </w:trPr>
        <w:tc>
          <w:tcPr>
            <w:tcW w:type="dxa" w:w="226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left"/>
              <w:spacing w:lineRule="exact" w:line="600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公车运行维护费</w:t>
            </w:r>
          </w:p>
        </w:tc>
        <w:tc>
          <w:tcPr>
            <w:tcW w:type="dxa" w:w="19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  <w:rFonts w:eastAsia="仿宋_GB2312"/>
              </w:rPr>
            </w:pPr>
            <w:r>
              <w:rPr>
                <w:color w:val="000000"/>
              </w:rPr>
              <w:t>25,000.00</w:t>
            </w:r>
          </w:p>
        </w:tc>
        <w:tc>
          <w:tcPr>
            <w:tcW w:type="dxa" w:w="169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  <w:rFonts w:eastAsia="仿宋_GB2312"/>
              </w:rPr>
            </w:pPr>
            <w:r>
              <w:rPr>
                <w:color w:val="000000"/>
              </w:rPr>
              <w:t>30,000.00</w:t>
            </w:r>
          </w:p>
        </w:tc>
        <w:tc>
          <w:tcPr>
            <w:tcW w:type="dxa" w:w="132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</w:p>
        </w:tc>
        <w:tc>
          <w:tcPr>
            <w:tcW w:type="dxa" w:w="132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57"/>
        </w:trPr>
        <w:tc>
          <w:tcPr>
            <w:tcW w:type="dxa" w:w="226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left"/>
              <w:spacing w:lineRule="exact" w:line="600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因公出国费用</w:t>
            </w:r>
          </w:p>
        </w:tc>
        <w:tc>
          <w:tcPr>
            <w:tcW w:type="dxa" w:w="19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</w:p>
        </w:tc>
        <w:tc>
          <w:tcPr>
            <w:tcW w:type="dxa" w:w="169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</w:p>
        </w:tc>
        <w:tc>
          <w:tcPr>
            <w:tcW w:type="dxa" w:w="132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</w:p>
        </w:tc>
        <w:tc>
          <w:tcPr>
            <w:tcW w:type="dxa" w:w="132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79"/>
        </w:trPr>
        <w:tc>
          <w:tcPr>
            <w:tcW w:type="dxa" w:w="226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center"/>
              <w:spacing w:lineRule="exact" w:line="600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合  计</w:t>
            </w:r>
          </w:p>
        </w:tc>
        <w:tc>
          <w:tcPr>
            <w:tcW w:type="dxa" w:w="19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  <w:rFonts w:eastAsia="仿宋_GB2312"/>
              </w:rPr>
            </w:pPr>
            <w:r>
              <w:rPr>
                <w:color w:val="000000"/>
              </w:rPr>
              <w:t>76,000.00</w:t>
            </w:r>
          </w:p>
        </w:tc>
        <w:tc>
          <w:tcPr>
            <w:tcW w:type="dxa" w:w="169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  <w:rFonts w:eastAsia="仿宋_GB2312"/>
              </w:rPr>
            </w:pPr>
            <w:r>
              <w:rPr>
                <w:color w:val="000000"/>
              </w:rPr>
              <w:t>89,000.00</w:t>
            </w:r>
          </w:p>
        </w:tc>
        <w:tc>
          <w:tcPr>
            <w:tcW w:type="dxa" w:w="132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-13,000.00</w:t>
            </w:r>
          </w:p>
        </w:tc>
        <w:tc>
          <w:tcPr>
            <w:tcW w:type="dxa" w:w="132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jc w:val="right"/>
              <w:spacing w:lineRule="exact" w:line="600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-14.6</w:t>
            </w:r>
          </w:p>
        </w:tc>
      </w:tr>
    </w:tbl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bookmarkStart w:id="9" w:name="_Toc25938884"/>
      <w:r>
        <w:rPr>
          <w:rStyle w:val="PO1"/>
          <w:b w:val="1"/>
          <w:sz w:val="32"/>
          <w:szCs w:val="32"/>
          <w:rFonts w:ascii="楷体" w:eastAsia="楷体" w:hAnsi="楷体" w:cs="楷体"/>
        </w:rPr>
        <w:t>（四）部门整体支出组织及管理情况</w:t>
      </w:r>
      <w:bookmarkEnd w:id="9"/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r>
        <w:rPr>
          <w:rStyle w:val="PO1"/>
          <w:b w:val="1"/>
          <w:sz w:val="32"/>
          <w:szCs w:val="32"/>
          <w:rFonts w:ascii="楷体" w:eastAsia="楷体" w:hAnsi="楷体" w:cs="楷体"/>
        </w:rPr>
        <w:t>1、部门整体支出组织情况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为推进岘山镇财政所财务精细化管理工作，进一步加强岘</w:t>
      </w:r>
      <w:r>
        <w:rPr>
          <w:rStyle w:val="PO1"/>
          <w:sz w:val="32"/>
          <w:szCs w:val="32"/>
          <w:rFonts w:ascii="仿宋" w:eastAsia="仿宋" w:hAnsi="仿宋" w:cs="仿宋"/>
        </w:rPr>
        <w:t>山镇财政资金的监督管理，岘山镇政府设立了财政资金监管工</w:t>
      </w:r>
      <w:r>
        <w:rPr>
          <w:rStyle w:val="PO1"/>
          <w:sz w:val="32"/>
          <w:szCs w:val="32"/>
          <w:rFonts w:ascii="仿宋" w:eastAsia="仿宋" w:hAnsi="仿宋" w:cs="仿宋"/>
        </w:rPr>
        <w:t>作领导小组，镇长任组长，人大、纪委书记任副组长，财政所长、</w:t>
      </w:r>
      <w:r>
        <w:rPr>
          <w:rStyle w:val="PO1"/>
          <w:sz w:val="32"/>
          <w:szCs w:val="32"/>
          <w:rFonts w:ascii="仿宋" w:eastAsia="仿宋" w:hAnsi="仿宋" w:cs="仿宋"/>
        </w:rPr>
        <w:t>副所长等任组员，领导小组下设办公室，由财政所长兼任办公室</w:t>
      </w:r>
      <w:r>
        <w:rPr>
          <w:rStyle w:val="PO1"/>
          <w:sz w:val="32"/>
          <w:szCs w:val="32"/>
          <w:rFonts w:ascii="仿宋" w:eastAsia="仿宋" w:hAnsi="仿宋" w:cs="仿宋"/>
        </w:rPr>
        <w:t>主任，由财政所副所长专门负责镇财政资金的日常监督管理工</w:t>
      </w:r>
      <w:r>
        <w:rPr>
          <w:rStyle w:val="PO1"/>
          <w:sz w:val="32"/>
          <w:szCs w:val="32"/>
          <w:rFonts w:ascii="仿宋" w:eastAsia="仿宋" w:hAnsi="仿宋" w:cs="仿宋"/>
        </w:rPr>
        <w:t>作。</w:t>
      </w: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r>
        <w:rPr>
          <w:rStyle w:val="PO1"/>
          <w:b w:val="1"/>
          <w:sz w:val="32"/>
          <w:szCs w:val="32"/>
          <w:rFonts w:ascii="楷体" w:eastAsia="楷体" w:hAnsi="楷体" w:cs="楷体"/>
        </w:rPr>
        <w:t>2、部门整体支出管理情况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为规范和加强收入、支出、资产等管理，我镇制定了《财政</w:t>
      </w:r>
      <w:r>
        <w:rPr>
          <w:rStyle w:val="PO1"/>
          <w:sz w:val="32"/>
          <w:szCs w:val="32"/>
          <w:rFonts w:ascii="仿宋" w:eastAsia="仿宋" w:hAnsi="仿宋" w:cs="仿宋"/>
        </w:rPr>
        <w:t>财务管理制度》、《岘山镇村级工程建设项目资金管理办法》、</w:t>
      </w:r>
      <w:r>
        <w:rPr>
          <w:rStyle w:val="PO1"/>
          <w:sz w:val="32"/>
          <w:szCs w:val="32"/>
          <w:rFonts w:ascii="仿宋" w:eastAsia="仿宋" w:hAnsi="仿宋" w:cs="仿宋"/>
        </w:rPr>
        <w:t>《固定资产管理制度》、《合同管理管理制度》、《政府采购管</w:t>
      </w:r>
      <w:r>
        <w:rPr>
          <w:rStyle w:val="PO1"/>
          <w:sz w:val="32"/>
          <w:szCs w:val="32"/>
          <w:rFonts w:ascii="仿宋" w:eastAsia="仿宋" w:hAnsi="仿宋" w:cs="仿宋"/>
        </w:rPr>
        <w:t>理制度》、《财务收支管理制度》等制度，规范了资金使用范围</w:t>
      </w:r>
      <w:r>
        <w:rPr>
          <w:rStyle w:val="PO1"/>
          <w:sz w:val="32"/>
          <w:szCs w:val="32"/>
          <w:rFonts w:ascii="仿宋" w:eastAsia="仿宋" w:hAnsi="仿宋" w:cs="仿宋"/>
        </w:rPr>
        <w:t>和用途，明确了各项费用报销内容及范围、程序及标准、审批权</w:t>
      </w:r>
      <w:r>
        <w:rPr>
          <w:rStyle w:val="PO1"/>
          <w:sz w:val="32"/>
          <w:szCs w:val="32"/>
          <w:rFonts w:ascii="仿宋" w:eastAsia="仿宋" w:hAnsi="仿宋" w:cs="仿宋"/>
        </w:rPr>
        <w:t>限等。上述制度规定得到了较好地执行。</w:t>
      </w: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r>
        <w:rPr>
          <w:rStyle w:val="PO1"/>
          <w:b w:val="1"/>
          <w:sz w:val="32"/>
          <w:szCs w:val="32"/>
          <w:rFonts w:ascii="楷体" w:eastAsia="楷体" w:hAnsi="楷体" w:cs="楷体"/>
        </w:rPr>
        <w:t>3、项目资金管理情况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为加强项目管理，提高工程质量，保证建设项目进度，控制</w:t>
      </w:r>
      <w:r>
        <w:rPr>
          <w:rStyle w:val="PO1"/>
          <w:sz w:val="32"/>
          <w:szCs w:val="32"/>
          <w:rFonts w:ascii="仿宋" w:eastAsia="仿宋" w:hAnsi="仿宋" w:cs="仿宋"/>
        </w:rPr>
        <w:t>建设项目成本，防范商业等舞弊行为，我镇制定了《岘山镇村级</w:t>
      </w:r>
      <w:r>
        <w:rPr>
          <w:rStyle w:val="PO1"/>
          <w:sz w:val="32"/>
          <w:szCs w:val="32"/>
          <w:rFonts w:ascii="仿宋" w:eastAsia="仿宋" w:hAnsi="仿宋" w:cs="仿宋"/>
        </w:rPr>
        <w:t>工程建设项目资金管理办法》、《岘山镇重大项目集体决策制</w:t>
      </w:r>
      <w:r>
        <w:rPr>
          <w:rStyle w:val="PO1"/>
          <w:sz w:val="32"/>
          <w:szCs w:val="32"/>
          <w:rFonts w:ascii="仿宋" w:eastAsia="仿宋" w:hAnsi="仿宋" w:cs="仿宋"/>
        </w:rPr>
        <w:t>度实施细则》等制度，明确了项目资金管理的职责分工，对专项</w:t>
      </w:r>
      <w:r>
        <w:rPr>
          <w:rStyle w:val="PO1"/>
          <w:sz w:val="32"/>
          <w:szCs w:val="32"/>
          <w:rFonts w:ascii="仿宋" w:eastAsia="仿宋" w:hAnsi="仿宋" w:cs="仿宋"/>
        </w:rPr>
        <w:t>资金的使用进行了规范。</w:t>
      </w: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黑体" w:eastAsia="黑体" w:hAnsi="黑体" w:cs="黑体"/>
        </w:rPr>
      </w:pPr>
      <w:r>
        <w:rPr>
          <w:rStyle w:val="PO1"/>
          <w:b w:val="1"/>
          <w:sz w:val="32"/>
          <w:szCs w:val="32"/>
          <w:rFonts w:ascii="黑体" w:eastAsia="黑体" w:hAnsi="黑体" w:cs="黑体"/>
        </w:rPr>
        <w:t>三</w:t>
      </w:r>
      <w:bookmarkStart w:id="10" w:name="_Toc25938885"/>
      <w:r>
        <w:rPr>
          <w:rStyle w:val="PO1"/>
          <w:b w:val="1"/>
          <w:sz w:val="32"/>
          <w:szCs w:val="32"/>
          <w:rFonts w:ascii="黑体" w:eastAsia="黑体" w:hAnsi="黑体" w:cs="黑体"/>
        </w:rPr>
        <w:t>、部门整体支出绩效评价情况</w:t>
      </w:r>
      <w:bookmarkEnd w:id="10"/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bookmarkStart w:id="11" w:name="_Toc25938886"/>
      <w:r>
        <w:rPr>
          <w:rStyle w:val="PO1"/>
          <w:b w:val="1"/>
          <w:sz w:val="32"/>
          <w:szCs w:val="32"/>
          <w:rFonts w:ascii="楷体" w:eastAsia="楷体" w:hAnsi="楷体" w:cs="楷体"/>
        </w:rPr>
        <w:t>（一）综合评价结论</w:t>
      </w:r>
      <w:bookmarkEnd w:id="11"/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2019年，岘山镇政府履行政府赋予的职能职责，全面贯彻落</w:t>
      </w:r>
      <w:r>
        <w:rPr>
          <w:rStyle w:val="PO1"/>
          <w:sz w:val="32"/>
          <w:szCs w:val="32"/>
          <w:rFonts w:ascii="仿宋" w:eastAsia="仿宋" w:hAnsi="仿宋" w:cs="仿宋"/>
        </w:rPr>
        <w:t>实党的十九大精神和省、市、县经济工作会议精神，紧紧围绕县</w:t>
      </w:r>
      <w:r>
        <w:rPr>
          <w:rStyle w:val="PO1"/>
          <w:sz w:val="32"/>
          <w:szCs w:val="32"/>
          <w:rFonts w:ascii="仿宋" w:eastAsia="仿宋" w:hAnsi="仿宋" w:cs="仿宋"/>
        </w:rPr>
        <w:t>委县政府“生态立县、项目兴县、文化强县”三大战略目标，进</w:t>
      </w:r>
      <w:r>
        <w:rPr>
          <w:rStyle w:val="PO1"/>
          <w:sz w:val="32"/>
          <w:szCs w:val="32"/>
          <w:rFonts w:ascii="仿宋" w:eastAsia="仿宋" w:hAnsi="仿宋" w:cs="仿宋"/>
        </w:rPr>
        <w:t>一步解放思想，凝聚力量，抢抓机遇，真抓实干，较好地完成了</w:t>
      </w:r>
      <w:r>
        <w:rPr>
          <w:rStyle w:val="PO1"/>
          <w:sz w:val="32"/>
          <w:szCs w:val="32"/>
          <w:rFonts w:ascii="仿宋" w:eastAsia="仿宋" w:hAnsi="仿宋" w:cs="仿宋"/>
        </w:rPr>
        <w:t>各项工作任务。</w:t>
      </w:r>
      <w:r>
        <w:rPr>
          <w:color w:val="333333"/>
          <w:sz w:val="32"/>
          <w:szCs w:val="32"/>
          <w:rFonts w:ascii="仿宋" w:eastAsia="仿宋" w:hAnsi="仿宋" w:cs="仿宋"/>
        </w:rPr>
        <w:t>通过加强预算收支管理，不断建立健全内部管理</w:t>
      </w:r>
      <w:r>
        <w:rPr>
          <w:color w:val="333333"/>
          <w:sz w:val="32"/>
          <w:szCs w:val="32"/>
          <w:rFonts w:ascii="仿宋" w:eastAsia="仿宋" w:hAnsi="仿宋" w:cs="仿宋"/>
        </w:rPr>
        <w:t>制度，梳理内部管理流程，整体支出管理水平得到提升；各项绩</w:t>
      </w:r>
      <w:r>
        <w:rPr>
          <w:color w:val="333333"/>
          <w:sz w:val="32"/>
          <w:szCs w:val="32"/>
          <w:rFonts w:ascii="仿宋" w:eastAsia="仿宋" w:hAnsi="仿宋" w:cs="仿宋"/>
        </w:rPr>
        <w:t>效指标均达到了预期效果。根据部门整体支出绩效评价指标体</w:t>
      </w:r>
      <w:r>
        <w:rPr>
          <w:color w:val="333333"/>
          <w:sz w:val="32"/>
          <w:szCs w:val="32"/>
          <w:rFonts w:ascii="仿宋" w:eastAsia="仿宋" w:hAnsi="仿宋" w:cs="仿宋"/>
        </w:rPr>
        <w:t>系，我镇2019年度</w:t>
      </w:r>
      <w:r>
        <w:rPr>
          <w:spacing w:val="-2"/>
          <w:color w:val="333333"/>
          <w:sz w:val="32"/>
          <w:szCs w:val="32"/>
          <w:rFonts w:ascii="仿宋" w:eastAsia="仿宋" w:hAnsi="仿宋" w:cs="仿宋"/>
        </w:rPr>
        <w:t>部门整体支出绩效自评92</w:t>
      </w:r>
      <w:r>
        <w:rPr>
          <w:color w:val="333333"/>
          <w:sz w:val="32"/>
          <w:szCs w:val="32"/>
          <w:rFonts w:ascii="仿宋" w:eastAsia="仿宋" w:hAnsi="仿宋" w:cs="仿宋"/>
        </w:rPr>
        <w:t>分</w:t>
      </w:r>
      <w:r>
        <w:rPr>
          <w:rStyle w:val="PO1"/>
          <w:sz w:val="32"/>
          <w:szCs w:val="32"/>
          <w:rFonts w:ascii="仿宋" w:eastAsia="仿宋" w:hAnsi="仿宋" w:cs="仿宋"/>
        </w:rPr>
        <w:t>。</w:t>
      </w:r>
      <w:r>
        <w:rPr>
          <w:color w:val="333333"/>
          <w:sz w:val="32"/>
          <w:szCs w:val="32"/>
          <w:rFonts w:ascii="仿宋" w:eastAsia="仿宋" w:hAnsi="仿宋" w:cs="仿宋"/>
        </w:rPr>
        <w:t>部门整体支</w:t>
      </w:r>
      <w:r>
        <w:rPr>
          <w:color w:val="333333"/>
          <w:sz w:val="32"/>
          <w:szCs w:val="32"/>
          <w:rFonts w:ascii="仿宋" w:eastAsia="仿宋" w:hAnsi="仿宋" w:cs="仿宋"/>
        </w:rPr>
        <w:t>出绩效情况详见附件1。</w:t>
      </w: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bookmarkStart w:id="12" w:name="_Toc25938887"/>
      <w:r>
        <w:rPr>
          <w:rStyle w:val="PO1"/>
          <w:b w:val="1"/>
          <w:sz w:val="32"/>
          <w:szCs w:val="32"/>
          <w:rFonts w:ascii="楷体" w:eastAsia="楷体" w:hAnsi="楷体" w:cs="楷体"/>
        </w:rPr>
        <w:t>（二）综合评价情况</w:t>
      </w:r>
      <w:bookmarkEnd w:id="12"/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r>
        <w:rPr>
          <w:rStyle w:val="PO1"/>
          <w:b w:val="1"/>
          <w:sz w:val="32"/>
          <w:szCs w:val="32"/>
          <w:rFonts w:ascii="楷体" w:eastAsia="楷体" w:hAnsi="楷体" w:cs="楷体"/>
        </w:rPr>
        <w:t>1、持续推进脱贫攻坚工作</w:t>
      </w:r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岘山镇建档立卡贫困户共940户2991人，2014年至2018</w:t>
      </w:r>
      <w:r>
        <w:rPr>
          <w:rStyle w:val="PO1"/>
          <w:sz w:val="32"/>
          <w:szCs w:val="32"/>
          <w:rFonts w:ascii="仿宋" w:eastAsia="仿宋" w:hAnsi="仿宋" w:cs="仿宋"/>
        </w:rPr>
        <w:t>年脱贫726户2428人，</w:t>
      </w:r>
      <w:r>
        <w:rPr>
          <w:spacing w:val="0"/>
          <w:sz w:val="32"/>
          <w:szCs w:val="32"/>
          <w:rFonts w:ascii="仿宋" w:eastAsia="仿宋" w:hAnsi="仿宋" w:cs="仿宋"/>
        </w:rPr>
        <w:t>2019年共脱贫157户495人</w:t>
      </w:r>
      <w:r>
        <w:rPr>
          <w:rStyle w:val="PO1"/>
          <w:sz w:val="32"/>
          <w:szCs w:val="32"/>
          <w:rFonts w:ascii="仿宋" w:eastAsia="仿宋" w:hAnsi="仿宋" w:cs="仿宋"/>
        </w:rPr>
        <w:t>，未脱贫</w:t>
      </w:r>
      <w:r>
        <w:rPr>
          <w:rStyle w:val="PO1"/>
          <w:sz w:val="32"/>
          <w:szCs w:val="32"/>
          <w:rFonts w:ascii="仿宋" w:eastAsia="仿宋" w:hAnsi="仿宋" w:cs="仿宋"/>
        </w:rPr>
        <w:t>57户68人。</w:t>
      </w:r>
      <w:r>
        <w:rPr>
          <w:spacing w:val="0"/>
          <w:b w:val="0"/>
          <w:sz w:val="32"/>
          <w:szCs w:val="32"/>
          <w:rFonts w:ascii="仿宋" w:eastAsia="仿宋" w:hAnsi="仿宋" w:cs="仿宋"/>
        </w:rPr>
        <w:t>通过“大清查大整改大提升”活动中为贫困户解</w:t>
      </w:r>
      <w:r>
        <w:rPr>
          <w:spacing w:val="0"/>
          <w:b w:val="0"/>
          <w:sz w:val="32"/>
          <w:szCs w:val="32"/>
          <w:rFonts w:ascii="仿宋" w:eastAsia="仿宋" w:hAnsi="仿宋" w:cs="仿宋"/>
        </w:rPr>
        <w:t>决政策落实问题，包括危房改造、低保保障、就业扶贫、残疾人</w:t>
      </w:r>
      <w:r>
        <w:rPr>
          <w:spacing w:val="0"/>
          <w:b w:val="0"/>
          <w:sz w:val="32"/>
          <w:szCs w:val="32"/>
          <w:rFonts w:ascii="仿宋" w:eastAsia="仿宋" w:hAnsi="仿宋" w:cs="仿宋"/>
        </w:rPr>
        <w:t>保障等问题775条。通过全镇上下共同努力，2019年度我镇在迎</w:t>
      </w:r>
      <w:r>
        <w:rPr>
          <w:spacing w:val="0"/>
          <w:b w:val="0"/>
          <w:sz w:val="32"/>
          <w:szCs w:val="32"/>
          <w:rFonts w:ascii="仿宋" w:eastAsia="仿宋" w:hAnsi="仿宋" w:cs="仿宋"/>
        </w:rPr>
        <w:t>接省、市扶贫考核中取得优异成绩。</w:t>
      </w: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r>
        <w:rPr>
          <w:rStyle w:val="PO1"/>
          <w:b w:val="1"/>
          <w:sz w:val="32"/>
          <w:szCs w:val="32"/>
          <w:rFonts w:ascii="楷体" w:eastAsia="楷体" w:hAnsi="楷体" w:cs="楷体"/>
        </w:rPr>
        <w:t xml:space="preserve">2、突出社会保障，各项社会事业协调推进 </w:t>
      </w:r>
    </w:p>
    <w:p>
      <w:pPr>
        <w:pStyle w:val="PO1"/>
        <w:spacing w:lineRule="exact" w:line="600"/>
        <w:ind w:firstLine="7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 xml:space="preserve">一是2019年共发放补贴资金种类58项，共发放惠农资金 </w:t>
      </w:r>
      <w:r>
        <w:rPr>
          <w:rStyle w:val="PO1"/>
          <w:sz w:val="32"/>
          <w:szCs w:val="32"/>
          <w:rFonts w:ascii="仿宋" w:eastAsia="仿宋" w:hAnsi="仿宋" w:cs="仿宋"/>
        </w:rPr>
        <w:t xml:space="preserve">2756.95 万元。二是全面贯彻落实社会保障机制。其中城镇低保</w:t>
      </w:r>
      <w:r>
        <w:rPr>
          <w:rStyle w:val="PO1"/>
          <w:sz w:val="32"/>
          <w:szCs w:val="32"/>
          <w:rFonts w:ascii="仿宋" w:eastAsia="仿宋" w:hAnsi="仿宋" w:cs="仿宋"/>
        </w:rPr>
        <w:t>19户29人，农村低保579户1035人，全镇特困供养人员492</w:t>
      </w:r>
      <w:r>
        <w:rPr>
          <w:rStyle w:val="PO1"/>
          <w:sz w:val="32"/>
          <w:szCs w:val="32"/>
          <w:rFonts w:ascii="仿宋" w:eastAsia="仿宋" w:hAnsi="仿宋" w:cs="仿宋"/>
        </w:rPr>
        <w:t>人，其中敬老院特困供养人员30人，重特大病种及低收入家</w:t>
      </w:r>
      <w:r>
        <w:rPr>
          <w:rStyle w:val="PO1"/>
          <w:sz w:val="32"/>
          <w:szCs w:val="32"/>
          <w:rFonts w:ascii="仿宋" w:eastAsia="仿宋" w:hAnsi="仿宋" w:cs="仿宋"/>
        </w:rPr>
        <w:t xml:space="preserve">庭医疗救助 62人。三是文体、教育事业成绩斐然。继续落实师</w:t>
      </w:r>
      <w:r>
        <w:rPr>
          <w:rStyle w:val="PO1"/>
          <w:sz w:val="32"/>
          <w:szCs w:val="32"/>
          <w:rFonts w:ascii="仿宋" w:eastAsia="仿宋" w:hAnsi="仿宋" w:cs="仿宋"/>
        </w:rPr>
        <w:t>德师风和学生德育教育，办学条件进一步改善，教育扶贫效果显</w:t>
      </w:r>
      <w:r>
        <w:rPr>
          <w:rStyle w:val="PO1"/>
          <w:sz w:val="32"/>
          <w:szCs w:val="32"/>
          <w:rFonts w:ascii="仿宋" w:eastAsia="仿宋" w:hAnsi="仿宋" w:cs="仿宋"/>
        </w:rPr>
        <w:t>著；成立新时代文明实践所和文明实践志愿队，积极推动乡村文</w:t>
      </w:r>
      <w:r>
        <w:rPr>
          <w:rStyle w:val="PO1"/>
          <w:sz w:val="32"/>
          <w:szCs w:val="32"/>
          <w:rFonts w:ascii="仿宋" w:eastAsia="仿宋" w:hAnsi="仿宋" w:cs="仿宋"/>
        </w:rPr>
        <w:t>化振兴。四是卫计、医疗事业稳步发展。2019年度全镇人口出生</w:t>
      </w:r>
      <w:r>
        <w:rPr>
          <w:rStyle w:val="PO1"/>
          <w:sz w:val="32"/>
          <w:szCs w:val="32"/>
          <w:rFonts w:ascii="仿宋" w:eastAsia="仿宋" w:hAnsi="仿宋" w:cs="仿宋"/>
        </w:rPr>
        <w:t>648人，出生率9.17‰，计划生育率90.43%，性别比114；健康</w:t>
      </w:r>
      <w:r>
        <w:rPr>
          <w:rStyle w:val="PO1"/>
          <w:sz w:val="32"/>
          <w:szCs w:val="32"/>
          <w:rFonts w:ascii="仿宋" w:eastAsia="仿宋" w:hAnsi="仿宋" w:cs="仿宋"/>
        </w:rPr>
        <w:t xml:space="preserve">扶贫工作有序开展，建立健康档案 62256人份，对全镇开展家庭</w:t>
      </w:r>
      <w:r>
        <w:rPr>
          <w:rStyle w:val="PO1"/>
          <w:sz w:val="32"/>
          <w:szCs w:val="32"/>
          <w:rFonts w:ascii="仿宋" w:eastAsia="仿宋" w:hAnsi="仿宋" w:cs="仿宋"/>
        </w:rPr>
        <w:t>医生免费签约服务，其中签约建档立卡贫困人员2959人。五</w:t>
      </w:r>
      <w:r>
        <w:rPr>
          <w:rStyle w:val="PO1"/>
          <w:sz w:val="32"/>
          <w:szCs w:val="32"/>
          <w:rFonts w:ascii="仿宋" w:eastAsia="仿宋" w:hAnsi="仿宋" w:cs="仿宋"/>
        </w:rPr>
        <w:t>是圆满完成第四次全国经济普查工作，其中法人单位登记183</w:t>
      </w:r>
      <w:r>
        <w:rPr>
          <w:rStyle w:val="PO1"/>
          <w:sz w:val="32"/>
          <w:szCs w:val="32"/>
          <w:rFonts w:ascii="仿宋" w:eastAsia="仿宋" w:hAnsi="仿宋" w:cs="仿宋"/>
        </w:rPr>
        <w:t>个，个体户2977个。六是大力清收农商行不良贷款，2019年共收</w:t>
      </w:r>
      <w:r>
        <w:rPr>
          <w:rStyle w:val="PO1"/>
          <w:sz w:val="32"/>
          <w:szCs w:val="32"/>
          <w:rFonts w:ascii="仿宋" w:eastAsia="仿宋" w:hAnsi="仿宋" w:cs="仿宋"/>
        </w:rPr>
        <w:t>缴农商行不良贷款260万余元，收缴基金会欠款1.9万元。</w:t>
      </w: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黑体" w:eastAsia="黑体" w:hAnsi="黑体" w:cs="黑体"/>
        </w:rPr>
      </w:pPr>
      <w:bookmarkStart w:id="13" w:name="_Toc25938888"/>
      <w:r>
        <w:rPr>
          <w:rStyle w:val="PO1"/>
          <w:b w:val="1"/>
          <w:sz w:val="32"/>
          <w:szCs w:val="32"/>
          <w:rFonts w:ascii="黑体" w:eastAsia="黑体" w:hAnsi="黑体" w:cs="黑体"/>
        </w:rPr>
        <w:t>五、存在的主要问题</w:t>
      </w:r>
      <w:bookmarkEnd w:id="13"/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bookmarkStart w:id="14" w:name="_Toc25938893"/>
      <w:r>
        <w:rPr>
          <w:rStyle w:val="PO1"/>
          <w:b w:val="1"/>
          <w:sz w:val="32"/>
          <w:szCs w:val="32"/>
          <w:rFonts w:ascii="楷体" w:eastAsia="楷体" w:hAnsi="楷体" w:cs="楷体"/>
        </w:rPr>
        <w:t>（一）绩效理念有待加强</w:t>
      </w:r>
      <w:bookmarkEnd w:id="14"/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color w:val="333333"/>
          <w:sz w:val="32"/>
          <w:szCs w:val="32"/>
          <w:rFonts w:ascii="仿宋" w:eastAsia="仿宋" w:hAnsi="仿宋" w:cs="仿宋"/>
        </w:rPr>
        <w:t>因业务水平有限，</w:t>
      </w:r>
      <w:r>
        <w:rPr>
          <w:rStyle w:val="PO1"/>
          <w:sz w:val="32"/>
          <w:szCs w:val="32"/>
          <w:rFonts w:ascii="仿宋" w:eastAsia="仿宋" w:hAnsi="仿宋" w:cs="仿宋"/>
        </w:rPr>
        <w:t>我镇在填制2019年部门整体支出绩效</w:t>
      </w:r>
      <w:r>
        <w:rPr>
          <w:rStyle w:val="PO1"/>
          <w:sz w:val="32"/>
          <w:szCs w:val="32"/>
          <w:rFonts w:ascii="仿宋" w:eastAsia="仿宋" w:hAnsi="仿宋" w:cs="仿宋"/>
        </w:rPr>
        <w:t>目标申报表时，指标设立不够细化量化，且未设置经济效益、社</w:t>
      </w:r>
      <w:r>
        <w:rPr>
          <w:rStyle w:val="PO1"/>
          <w:sz w:val="32"/>
          <w:szCs w:val="32"/>
          <w:rFonts w:ascii="仿宋" w:eastAsia="仿宋" w:hAnsi="仿宋" w:cs="仿宋"/>
        </w:rPr>
        <w:t>会效益、生态效益等项目效益指标，预算绩效目标申报及自评工</w:t>
      </w:r>
      <w:r>
        <w:rPr>
          <w:rStyle w:val="PO1"/>
          <w:sz w:val="32"/>
          <w:szCs w:val="32"/>
          <w:rFonts w:ascii="仿宋" w:eastAsia="仿宋" w:hAnsi="仿宋" w:cs="仿宋"/>
        </w:rPr>
        <w:t>作亟待完善。</w:t>
      </w:r>
    </w:p>
    <w:p>
      <w:pPr>
        <w:pStyle w:val="PO1"/>
        <w:spacing w:lineRule="exact" w:line="600"/>
        <w:rPr>
          <w:rStyle w:val="PO1"/>
          <w:sz w:val="32"/>
          <w:szCs w:val="32"/>
          <w:rFonts w:ascii="仿宋" w:eastAsia="仿宋" w:hAnsi="仿宋" w:cs="仿宋"/>
        </w:rPr>
      </w:pPr>
      <w:r>
        <w:rPr>
          <w:b w:val="1"/>
          <w:sz w:val="32"/>
          <w:szCs w:val="32"/>
          <w:rFonts w:eastAsia="楷体"/>
        </w:rPr>
        <w:t>（二）</w:t>
      </w:r>
      <w:bookmarkStart w:id="15" w:name="_Toc25938895"/>
      <w:r>
        <w:rPr>
          <w:rStyle w:val="PO1"/>
          <w:b w:val="1"/>
          <w:sz w:val="32"/>
          <w:szCs w:val="32"/>
          <w:rFonts w:ascii="楷体" w:eastAsia="楷体" w:hAnsi="楷体" w:cs="楷体"/>
        </w:rPr>
        <w:t>决算编制欠准确</w:t>
      </w:r>
      <w:bookmarkEnd w:id="15"/>
    </w:p>
    <w:p>
      <w:pPr>
        <w:pStyle w:val="PO173"/>
        <w:jc w:val="both"/>
        <w:spacing w:lineRule="exact" w:line="600" w:before="0" w:after="0"/>
        <w:ind w:firstLine="720"/>
        <w:rPr>
          <w:rStyle w:val="PO1"/>
          <w:sz w:val="32"/>
          <w:szCs w:val="32"/>
          <w:rFonts w:ascii="仿宋" w:eastAsia="仿宋" w:hAnsi="仿宋" w:cs="仿宋"/>
        </w:rPr>
      </w:pPr>
      <w:r>
        <w:rPr>
          <w:color w:val="333333"/>
          <w:sz w:val="32"/>
          <w:szCs w:val="32"/>
          <w:rFonts w:ascii="仿宋" w:eastAsia="仿宋" w:hAnsi="仿宋" w:cs="仿宋"/>
        </w:rPr>
        <w:t>因业务水平有限，决算编制支出类别上理解不够，比如基本</w:t>
      </w:r>
      <w:r>
        <w:rPr>
          <w:color w:val="333333"/>
          <w:sz w:val="32"/>
          <w:szCs w:val="32"/>
          <w:rFonts w:ascii="仿宋" w:eastAsia="仿宋" w:hAnsi="仿宋" w:cs="仿宋"/>
        </w:rPr>
        <w:t>支出和项目支出，在日常业务操作时容易出错。</w:t>
      </w:r>
      <w:r>
        <w:rPr>
          <w:color w:val="333333"/>
          <w:sz w:val="32"/>
          <w:szCs w:val="32"/>
          <w:rFonts w:ascii="Calibri" w:eastAsia="Calibri" w:hAnsi="Calibri" w:cs="Calibri"/>
        </w:rPr>
        <w:t> </w:t>
      </w:r>
      <w:r>
        <w:rPr>
          <w:color w:val="333333"/>
          <w:sz w:val="32"/>
          <w:szCs w:val="32"/>
          <w:rFonts w:ascii="仿宋" w:eastAsia="仿宋" w:hAnsi="仿宋" w:cs="仿宋"/>
        </w:rPr>
        <w:t>随着对预、决算</w:t>
      </w:r>
      <w:r>
        <w:rPr>
          <w:color w:val="333333"/>
          <w:sz w:val="32"/>
          <w:szCs w:val="32"/>
          <w:rFonts w:ascii="仿宋" w:eastAsia="仿宋" w:hAnsi="仿宋" w:cs="仿宋"/>
        </w:rPr>
        <w:t>编制工作水平要求越来越高，数据编制要求越来越精准、规范；</w:t>
      </w:r>
      <w:r>
        <w:rPr>
          <w:color w:val="333333"/>
          <w:sz w:val="32"/>
          <w:szCs w:val="32"/>
          <w:rFonts w:ascii="仿宋" w:eastAsia="仿宋" w:hAnsi="仿宋" w:cs="仿宋"/>
        </w:rPr>
        <w:t>时间紧、任务大；加之现行决算工作与实际账务处理工作间衔接</w:t>
      </w:r>
      <w:r>
        <w:rPr>
          <w:color w:val="333333"/>
          <w:sz w:val="32"/>
          <w:szCs w:val="32"/>
          <w:rFonts w:ascii="仿宋" w:eastAsia="仿宋" w:hAnsi="仿宋" w:cs="仿宋"/>
        </w:rPr>
        <w:t>还存在一定差异；会计人员业务明显增加，加之业务操作水平有</w:t>
      </w:r>
      <w:r>
        <w:rPr>
          <w:color w:val="333333"/>
          <w:sz w:val="32"/>
          <w:szCs w:val="32"/>
          <w:rFonts w:ascii="仿宋" w:eastAsia="仿宋" w:hAnsi="仿宋" w:cs="仿宋"/>
        </w:rPr>
        <w:t>限，实际操作中确实感到力不从心</w:t>
      </w:r>
      <w:r>
        <w:rPr>
          <w:color w:val="333333"/>
          <w:sz w:val="28"/>
          <w:szCs w:val="28"/>
          <w:rFonts w:ascii="Calibri" w:eastAsia="Calibri" w:hAnsi="Calibri" w:cs="Calibri"/>
        </w:rPr>
        <w:t> </w:t>
      </w:r>
      <w:r>
        <w:rPr>
          <w:color w:val="333333"/>
          <w:sz w:val="28"/>
          <w:szCs w:val="28"/>
          <w:rFonts w:ascii="仿宋" w:eastAsia="仿宋" w:hAnsi="仿宋" w:cs="仿宋"/>
        </w:rPr>
        <w:t>。</w:t>
      </w:r>
    </w:p>
    <w:p>
      <w:pPr>
        <w:numPr>
          <w:ilvl w:val="0"/>
          <w:numId w:val="3"/>
        </w:numPr>
        <w:spacing w:lineRule="exact" w:line="600"/>
        <w:ind w:left="0" w:right="0" w:firstLine="200"/>
        <w:rPr>
          <w:b w:val="1"/>
          <w:sz w:val="32"/>
          <w:szCs w:val="32"/>
          <w:rFonts w:eastAsia="黑体"/>
        </w:rPr>
        <w:outlineLvl w:val="0"/>
      </w:pPr>
      <w:bookmarkStart w:id="16" w:name="_Toc25938896"/>
      <w:r>
        <w:rPr>
          <w:b w:val="1"/>
          <w:sz w:val="32"/>
          <w:szCs w:val="32"/>
          <w:rFonts w:eastAsia="黑体"/>
        </w:rPr>
        <w:t>改进措施和有关建议</w:t>
      </w:r>
      <w:bookmarkEnd w:id="16"/>
    </w:p>
    <w:p>
      <w:pPr>
        <w:spacing w:lineRule="exact" w:line="600"/>
        <w:ind w:left="0" w:right="0" w:firstLine="200"/>
        <w:rPr>
          <w:b w:val="1"/>
          <w:sz w:val="32"/>
          <w:szCs w:val="32"/>
          <w:rFonts w:eastAsia="楷体"/>
        </w:rPr>
        <w:outlineLvl w:val="1"/>
      </w:pPr>
      <w:bookmarkStart w:id="17" w:name="_Toc25938897"/>
      <w:r>
        <w:rPr>
          <w:b w:val="1"/>
          <w:sz w:val="32"/>
          <w:szCs w:val="32"/>
          <w:rFonts w:eastAsia="楷体"/>
        </w:rPr>
        <w:t>（一）加强预算绩效评价基础工作</w:t>
      </w:r>
      <w:bookmarkEnd w:id="17"/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强化项目绩效自评组织工作，年初申报预算时将绩效目标</w:t>
      </w:r>
      <w:r>
        <w:rPr>
          <w:rStyle w:val="PO1"/>
          <w:sz w:val="32"/>
          <w:szCs w:val="32"/>
          <w:rFonts w:ascii="仿宋" w:eastAsia="仿宋" w:hAnsi="仿宋" w:cs="仿宋"/>
        </w:rPr>
        <w:t>编入年度预算，填报项目申报表，且绩效目标指向明确、具体细</w:t>
      </w:r>
      <w:r>
        <w:rPr>
          <w:rStyle w:val="PO1"/>
          <w:sz w:val="32"/>
          <w:szCs w:val="32"/>
          <w:rFonts w:ascii="仿宋" w:eastAsia="仿宋" w:hAnsi="仿宋" w:cs="仿宋"/>
        </w:rPr>
        <w:t>化、合理可行。</w:t>
      </w: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bookmarkStart w:id="18" w:name="_Toc25938898"/>
      <w:r>
        <w:rPr>
          <w:rStyle w:val="PO1"/>
          <w:b w:val="1"/>
          <w:sz w:val="32"/>
          <w:szCs w:val="32"/>
          <w:rFonts w:ascii="楷体" w:eastAsia="楷体" w:hAnsi="楷体" w:cs="楷体"/>
        </w:rPr>
        <w:t>（二）推进财务管理</w:t>
      </w:r>
      <w:bookmarkEnd w:id="18"/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一是加强会计核算，不断提升单位财务管理人员的专业能</w:t>
      </w:r>
      <w:r>
        <w:rPr>
          <w:rStyle w:val="PO1"/>
          <w:sz w:val="32"/>
          <w:szCs w:val="32"/>
          <w:rFonts w:ascii="仿宋" w:eastAsia="仿宋" w:hAnsi="仿宋" w:cs="仿宋"/>
        </w:rPr>
        <w:t>力和综合素质，提高财务管理效率，避免出现科目核算欠准确的</w:t>
      </w:r>
      <w:r>
        <w:rPr>
          <w:rStyle w:val="PO1"/>
          <w:sz w:val="32"/>
          <w:szCs w:val="32"/>
          <w:rFonts w:ascii="仿宋" w:eastAsia="仿宋" w:hAnsi="仿宋" w:cs="仿宋"/>
        </w:rPr>
        <w:t>情况；二是</w:t>
      </w:r>
      <w:r>
        <w:rPr>
          <w:color w:val="333333"/>
          <w:sz w:val="32"/>
          <w:szCs w:val="32"/>
          <w:rFonts w:ascii="仿宋" w:eastAsia="仿宋" w:hAnsi="仿宋" w:cs="仿宋"/>
        </w:rPr>
        <w:t>健全单位财务管理制度体系，规范单位财务行为。在</w:t>
      </w:r>
      <w:r>
        <w:rPr>
          <w:color w:val="333333"/>
          <w:sz w:val="32"/>
          <w:szCs w:val="32"/>
          <w:rFonts w:ascii="仿宋" w:eastAsia="仿宋" w:hAnsi="仿宋" w:cs="仿宋"/>
        </w:rPr>
        <w:t>费用报账支付时，按照预算规定的费用项目和用途进行资金使</w:t>
      </w:r>
      <w:r>
        <w:rPr>
          <w:color w:val="333333"/>
          <w:sz w:val="32"/>
          <w:szCs w:val="32"/>
          <w:rFonts w:ascii="仿宋" w:eastAsia="仿宋" w:hAnsi="仿宋" w:cs="仿宋"/>
        </w:rPr>
        <w:t>用审核、财务严格核算，杜绝超支现象的发生。</w:t>
      </w:r>
    </w:p>
    <w:p>
      <w:pPr>
        <w:pStyle w:val="PO1"/>
        <w:spacing w:lineRule="exact" w:line="600"/>
        <w:rPr>
          <w:rStyle w:val="PO1"/>
          <w:b w:val="1"/>
          <w:sz w:val="32"/>
          <w:szCs w:val="32"/>
          <w:rFonts w:ascii="楷体" w:eastAsia="楷体" w:hAnsi="楷体" w:cs="楷体"/>
        </w:rPr>
      </w:pPr>
      <w:bookmarkStart w:id="19" w:name="_Toc25938901"/>
      <w:r>
        <w:rPr>
          <w:rStyle w:val="PO1"/>
          <w:b w:val="1"/>
          <w:sz w:val="32"/>
          <w:szCs w:val="32"/>
          <w:rFonts w:ascii="楷体" w:eastAsia="楷体" w:hAnsi="楷体" w:cs="楷体"/>
        </w:rPr>
        <w:t>（三）加强决算编制工作</w:t>
      </w:r>
      <w:bookmarkEnd w:id="19"/>
    </w:p>
    <w:p>
      <w:pPr>
        <w:pStyle w:val="PO1"/>
        <w:spacing w:lineRule="exact" w:line="600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严格按照本年度具体资金使用情况，对预算执行进行总结，</w:t>
      </w:r>
      <w:r>
        <w:rPr>
          <w:rStyle w:val="PO1"/>
          <w:sz w:val="32"/>
          <w:szCs w:val="32"/>
          <w:rFonts w:ascii="仿宋" w:eastAsia="仿宋" w:hAnsi="仿宋" w:cs="仿宋"/>
        </w:rPr>
        <w:t>正确编制决算支出，确保决算数字真实真确，严禁估算，避免出</w:t>
      </w:r>
      <w:r>
        <w:rPr>
          <w:rStyle w:val="PO1"/>
          <w:sz w:val="32"/>
          <w:szCs w:val="32"/>
          <w:rFonts w:ascii="仿宋" w:eastAsia="仿宋" w:hAnsi="仿宋" w:cs="仿宋"/>
        </w:rPr>
        <w:t>现存在结转和结余而未能体现的情况。</w:t>
      </w:r>
    </w:p>
    <w:p>
      <w:pPr>
        <w:pStyle w:val="PO1"/>
        <w:ind w:firstLine="640"/>
        <w:rPr>
          <w:rStyle w:val="PO1"/>
          <w:sz w:val="32"/>
          <w:szCs w:val="32"/>
          <w:rFonts w:ascii="仿宋" w:eastAsia="仿宋" w:hAnsi="仿宋" w:cs="仿宋"/>
        </w:rPr>
      </w:pPr>
    </w:p>
    <w:p>
      <w:pPr>
        <w:pStyle w:val="PO1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附件1-2：2019年度岘山镇人民政府部门整体支出绩效评</w:t>
      </w:r>
      <w:r>
        <w:rPr>
          <w:rStyle w:val="PO1"/>
          <w:sz w:val="32"/>
          <w:szCs w:val="32"/>
          <w:rFonts w:ascii="仿宋" w:eastAsia="仿宋" w:hAnsi="仿宋" w:cs="仿宋"/>
        </w:rPr>
        <w:t>价指标评分表</w:t>
      </w:r>
    </w:p>
    <w:p>
      <w:pPr>
        <w:pStyle w:val="PO1"/>
        <w:ind w:firstLine="64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附件3：</w:t>
      </w:r>
      <w:r>
        <w:rPr>
          <w:rtl w:val="0"/>
          <w:rStyle w:val="PO1"/>
          <w:spacing w:val="0"/>
          <w:color w:val="000000"/>
          <w:sz w:val="32"/>
          <w:szCs w:val="32"/>
          <w:rFonts w:ascii="仿宋" w:eastAsia="仿宋" w:hAnsi="仿宋" w:cs="仿宋"/>
        </w:rPr>
        <w:t>财政支出绩效自评意见</w:t>
      </w:r>
    </w:p>
    <w:p>
      <w:pPr>
        <w:spacing w:lineRule="exact" w:line="600"/>
        <w:ind w:left="0" w:right="0" w:firstLine="200"/>
        <w:rPr>
          <w:sz w:val="32"/>
          <w:szCs w:val="32"/>
          <w:rFonts w:eastAsia="仿宋_GB2312"/>
        </w:rPr>
      </w:pPr>
    </w:p>
    <w:p>
      <w:pPr>
        <w:spacing w:lineRule="exact" w:line="600"/>
        <w:ind w:left="0" w:right="0" w:firstLine="200"/>
        <w:rPr>
          <w:sz w:val="32"/>
          <w:szCs w:val="32"/>
          <w:rFonts w:eastAsia="仿宋_GB2312"/>
        </w:rPr>
      </w:pPr>
    </w:p>
    <w:p>
      <w:pPr>
        <w:spacing w:lineRule="exact" w:line="600"/>
        <w:ind w:left="0" w:right="0" w:firstLine="200"/>
        <w:rPr>
          <w:sz w:val="32"/>
          <w:szCs w:val="32"/>
          <w:rFonts w:eastAsia="仿宋_GB2312"/>
        </w:rPr>
      </w:pPr>
    </w:p>
    <w:p>
      <w:pPr>
        <w:spacing w:lineRule="exact" w:line="600"/>
        <w:ind w:left="0" w:right="0" w:firstLine="200"/>
        <w:rPr>
          <w:sz w:val="32"/>
          <w:szCs w:val="32"/>
          <w:rFonts w:eastAsia="仿宋_GB2312"/>
        </w:rPr>
      </w:pPr>
    </w:p>
    <w:p>
      <w:pPr>
        <w:spacing w:lineRule="exact" w:line="600"/>
        <w:ind w:left="0" w:right="0" w:firstLine="200"/>
        <w:rPr>
          <w:sz w:val="32"/>
          <w:szCs w:val="32"/>
          <w:rFonts w:ascii="仿宋" w:eastAsia="仿宋" w:hAnsi="仿宋" w:cs="仿宋"/>
        </w:rPr>
      </w:pPr>
    </w:p>
    <w:p>
      <w:pPr>
        <w:pStyle w:val="PO1"/>
        <w:ind w:firstLine="553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岘山镇人民政府</w:t>
      </w:r>
    </w:p>
    <w:p>
      <w:pPr>
        <w:pStyle w:val="PO1"/>
        <w:ind w:firstLine="4800"/>
        <w:rPr>
          <w:rStyle w:val="PO1"/>
          <w:sz w:val="32"/>
          <w:szCs w:val="32"/>
          <w:rFonts w:ascii="仿宋" w:eastAsia="仿宋" w:hAnsi="仿宋" w:cs="仿宋"/>
        </w:rPr>
      </w:pPr>
      <w:r>
        <w:rPr>
          <w:rStyle w:val="PO1"/>
          <w:sz w:val="32"/>
          <w:szCs w:val="32"/>
          <w:rFonts w:ascii="仿宋" w:eastAsia="仿宋" w:hAnsi="仿宋" w:cs="仿宋"/>
        </w:rPr>
        <w:t>二0二0年五月二十八日</w:t>
      </w:r>
    </w:p>
    <w:p>
      <w:pPr>
        <w:pStyle w:val="PO1"/>
        <w:ind w:firstLine="4800"/>
        <w:rPr>
          <w:rStyle w:val="PO1"/>
          <w:sz w:val="32"/>
          <w:szCs w:val="32"/>
          <w:rFonts w:ascii="仿宋" w:eastAsia="仿宋" w:hAnsi="仿宋" w:cs="仿宋"/>
        </w:rPr>
      </w:pPr>
    </w:p>
    <w:p>
      <w:pPr>
        <w:pStyle w:val="PO1"/>
        <w:ind w:firstLine="4800"/>
        <w:rPr>
          <w:rStyle w:val="PO1"/>
          <w:sz w:val="32"/>
          <w:szCs w:val="32"/>
          <w:rFonts w:ascii="仿宋" w:eastAsia="仿宋" w:hAnsi="仿宋" w:cs="仿宋"/>
        </w:rPr>
      </w:pPr>
    </w:p>
    <w:p>
      <w:pPr>
        <w:pStyle w:val="PO1"/>
        <w:ind w:firstLine="4800"/>
        <w:rPr>
          <w:rStyle w:val="PO1"/>
          <w:sz w:val="32"/>
          <w:szCs w:val="32"/>
          <w:rFonts w:ascii="仿宋" w:eastAsia="仿宋" w:hAnsi="仿宋" w:cs="仿宋"/>
        </w:rPr>
      </w:pPr>
    </w:p>
    <w:p>
      <w:pPr>
        <w:pStyle w:val="PO1"/>
        <w:ind w:firstLine="4800"/>
        <w:rPr>
          <w:rStyle w:val="PO1"/>
          <w:sz w:val="32"/>
          <w:szCs w:val="32"/>
          <w:rFonts w:ascii="仿宋" w:eastAsia="仿宋" w:hAnsi="仿宋" w:cs="仿宋"/>
        </w:rPr>
      </w:pPr>
    </w:p>
    <w:p>
      <w:pPr>
        <w:pStyle w:val="PO1"/>
        <w:ind w:firstLine="4800"/>
        <w:rPr>
          <w:rStyle w:val="PO1"/>
          <w:sz w:val="32"/>
          <w:szCs w:val="32"/>
          <w:rFonts w:ascii="仿宋" w:eastAsia="仿宋" w:hAnsi="仿宋" w:cs="仿宋"/>
        </w:rPr>
      </w:pPr>
    </w:p>
    <w:p>
      <w:pPr>
        <w:pStyle w:val="PO1"/>
        <w:ind w:firstLine="4800"/>
        <w:rPr>
          <w:rStyle w:val="PO1"/>
          <w:sz w:val="32"/>
          <w:szCs w:val="32"/>
          <w:rFonts w:ascii="仿宋" w:eastAsia="仿宋" w:hAnsi="仿宋" w:cs="仿宋"/>
        </w:rPr>
      </w:pPr>
    </w:p>
    <w:p>
      <w:pPr>
        <w:pStyle w:val="PO1"/>
        <w:ind w:firstLine="4800"/>
        <w:rPr>
          <w:rStyle w:val="PO1"/>
          <w:sz w:val="32"/>
          <w:szCs w:val="32"/>
          <w:rFonts w:ascii="仿宋" w:eastAsia="仿宋" w:hAnsi="仿宋" w:cs="仿宋"/>
        </w:rPr>
      </w:pPr>
    </w:p>
    <w:p>
      <w:pPr>
        <w:pStyle w:val="PO1"/>
        <w:ind w:firstLine="4800"/>
        <w:rPr>
          <w:rStyle w:val="PO1"/>
          <w:sz w:val="32"/>
          <w:szCs w:val="32"/>
          <w:rFonts w:ascii="仿宋" w:eastAsia="仿宋" w:hAnsi="仿宋" w:cs="仿宋"/>
        </w:rPr>
      </w:pPr>
    </w:p>
    <w:p>
      <w:pPr>
        <w:bidi w:val="0"/>
        <w:jc w:val="both"/>
        <w:spacing w:lineRule="exact" w:line="32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8"/>
          <w:szCs w:val="28"/>
          <w:rFonts w:ascii="Calibri" w:eastAsia="宋体" w:hAnsi="宋体" w:cs="宋体"/>
        </w:rPr>
        <w:snapToGrid w:val="on"/>
        <w:autoSpaceDE w:val="1"/>
        <w:autoSpaceDN w:val="1"/>
      </w:pPr>
    </w:p>
    <w:p>
      <w:pPr>
        <w:bidi w:val="0"/>
        <w:jc w:val="both"/>
        <w:spacing w:lineRule="exact" w:line="32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8"/>
          <w:szCs w:val="28"/>
          <w:rFonts w:ascii="Calibri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8"/>
          <w:szCs w:val="28"/>
          <w:rFonts w:ascii="Calibri" w:eastAsia="宋体" w:hAnsi="宋体" w:cs="宋体"/>
        </w:rPr>
        <w:t>附件</w:t>
      </w:r>
      <w:r>
        <w:rPr>
          <w:rtl w:val="0"/>
          <w:rStyle w:val="PO1"/>
          <w:spacing w:val="0"/>
          <w:color w:val="auto"/>
          <w:sz w:val="28"/>
          <w:szCs w:val="28"/>
          <w:rFonts w:ascii="仿宋_GB2312" w:eastAsia="仿宋_GB2312" w:hAnsi="仿宋_GB2312" w:cs="仿宋_GB2312"/>
        </w:rPr>
        <w:t>1-2</w:t>
      </w:r>
    </w:p>
    <w:p>
      <w:pPr>
        <w:bidi w:val="0"/>
        <w:jc w:val="center"/>
        <w:spacing w:lineRule="exact" w:line="42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6"/>
          <w:szCs w:val="36"/>
          <w:rFonts w:ascii="方正小标宋_GBK" w:eastAsia="方正小标宋_GBK" w:hAnsi="方正小标宋_GBK" w:cs="方正小标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6"/>
          <w:szCs w:val="36"/>
          <w:rFonts w:ascii="方正小标宋_GBK" w:eastAsia="方正小标宋_GBK" w:hAnsi="方正小标宋_GBK" w:cs="方正小标宋_GBK"/>
        </w:rPr>
        <w:t>部门整体支出绩效评价指标体系及评分表</w:t>
      </w:r>
    </w:p>
    <w:p>
      <w:pPr>
        <w:bidi w:val="0"/>
        <w:jc w:val="center"/>
        <w:spacing w:lineRule="exact" w:line="32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8"/>
          <w:szCs w:val="28"/>
          <w:rFonts w:ascii="方正小标宋_GBK" w:eastAsia="方正小标宋_GBK" w:hAnsi="方正小标宋_GBK" w:cs="方正小标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8"/>
          <w:szCs w:val="28"/>
          <w:rFonts w:ascii="方正小标宋_GBK" w:eastAsia="方正小标宋_GBK" w:hAnsi="方正小标宋_GBK" w:cs="方正小标宋_GBK"/>
        </w:rPr>
        <w:t xml:space="preserve">（ 2019</w:t>
      </w:r>
      <w:r>
        <w:rPr>
          <w:rtl w:val="0"/>
          <w:rStyle w:val="PO1"/>
          <w:spacing w:val="0"/>
          <w:color w:val="auto"/>
          <w:sz w:val="28"/>
          <w:szCs w:val="28"/>
          <w:rFonts w:ascii="Calibri" w:eastAsia="宋体" w:hAnsi="宋体" w:cs="宋体"/>
        </w:rPr>
        <w:t>年度</w:t>
      </w:r>
      <w:r>
        <w:rPr>
          <w:rtl w:val="0"/>
          <w:rStyle w:val="PO1"/>
          <w:spacing w:val="0"/>
          <w:color w:val="auto"/>
          <w:sz w:val="28"/>
          <w:szCs w:val="28"/>
          <w:rFonts w:ascii="方正小标宋_GBK" w:eastAsia="方正小标宋_GBK" w:hAnsi="方正小标宋_GBK" w:cs="方正小标宋_GBK"/>
        </w:rPr>
        <w:t>）</w:t>
      </w:r>
    </w:p>
    <w:p>
      <w:pPr>
        <w:bidi w:val="0"/>
        <w:jc w:val="both"/>
        <w:spacing w:lineRule="exact" w:line="30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8"/>
          <w:szCs w:val="28"/>
          <w:rFonts w:ascii="仿宋_GB2312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1"/>
          <w:szCs w:val="21"/>
          <w:rFonts w:ascii="宋体" w:eastAsia="宋体" w:hAnsi="宋体" w:cs="宋体"/>
        </w:rPr>
        <w:t xml:space="preserve">填报单位（盖章）：岘山镇人民政府                                填报时间：2020-5-28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9863" w:type="dxa"/>
        <w:tblLook w:val="000600" w:firstRow="0" w:lastRow="0" w:firstColumn="0" w:lastColumn="0" w:noHBand="1" w:noVBand="1"/>
        <w:tblLayout w:type="fixed"/>
      </w:tblPr>
      <w:tblGrid>
        <w:gridCol w:w="708"/>
        <w:gridCol w:w="711"/>
        <w:gridCol w:w="538"/>
        <w:gridCol w:w="1575"/>
        <w:gridCol w:w="538"/>
        <w:gridCol w:w="3866"/>
        <w:gridCol w:w="721"/>
        <w:gridCol w:w="1206"/>
      </w:tblGrid>
      <w:tr>
        <w:trPr>
          <w:trHeight w:hRule="atleast" w:val="635"/>
          <w:tblHeader/>
        </w:trPr>
        <w:tc>
          <w:tcPr>
            <w:tcW w:type="dxa" w:w="70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一级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指标</w:t>
            </w:r>
          </w:p>
        </w:tc>
        <w:tc>
          <w:tcPr>
            <w:tcW w:type="dxa" w:w="71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二级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指标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分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值</w:t>
            </w: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三级指标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分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值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评分标准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 xml:space="preserve">评价    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得分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评分依据</w:t>
            </w:r>
          </w:p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0"/>
                <w:szCs w:val="20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0"/>
                <w:szCs w:val="20"/>
                <w:rFonts w:ascii="宋体" w:eastAsia="宋体" w:hAnsi="宋体" w:cs="宋体"/>
              </w:rPr>
              <w:t>或扣分原</w:t>
            </w:r>
            <w:r>
              <w:rPr>
                <w:rtl w:val="0"/>
                <w:rStyle w:val="PO1"/>
                <w:spacing w:val="0"/>
                <w:color w:val="auto"/>
                <w:sz w:val="20"/>
                <w:szCs w:val="20"/>
                <w:rFonts w:ascii="宋体" w:eastAsia="宋体" w:hAnsi="宋体" w:cs="宋体"/>
              </w:rPr>
              <w:t>因</w:t>
            </w:r>
          </w:p>
        </w:tc>
      </w:tr>
      <w:tr>
        <w:trPr>
          <w:trHeight w:hRule="atleast" w:val="777"/>
        </w:trPr>
        <w:tc>
          <w:tcPr>
            <w:tcW w:type="dxa" w:w="708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 xml:space="preserve">投 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 xml:space="preserve">入 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>(15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>分）</w:t>
            </w:r>
          </w:p>
        </w:tc>
        <w:tc>
          <w:tcPr>
            <w:tcW w:type="dxa" w:w="711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目标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设定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6</w:t>
            </w: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绩效目标合理性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①目标符合发展总体规划，1分；②目标符合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部门三定方案确定的职责，1分；③目标符合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部门制定的中长期实施规划，1分。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t>符合①-③条</w:t>
            </w:r>
          </w:p>
        </w:tc>
      </w:tr>
      <w:tr>
        <w:trPr>
          <w:trHeight w:hRule="atleast" w:val="777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绩效指标明确性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①目标细化、指标值量化，1分；                                                                                      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②目标与年度任务或计划数相对应，1分；                                                                                                                                                                             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③目标与本年度部门预算资金相匹配，1分。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2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sz w:val="20"/>
                <w:szCs w:val="20"/>
                <w:rFonts w:ascii="Times New Roman" w:eastAsia="仿宋_GB2312" w:hAnsi="仿宋_GB2312" w:cs="仿宋_GB2312"/>
              </w:rPr>
              <w:t>指标设置</w:t>
            </w:r>
            <w:r>
              <w:rPr>
                <w:sz w:val="20"/>
                <w:szCs w:val="20"/>
                <w:rFonts w:ascii="Times New Roman" w:eastAsia="仿宋_GB2312" w:hAnsi="仿宋_GB2312" w:cs="仿宋_GB2312"/>
              </w:rPr>
              <w:t>不够细化</w:t>
            </w:r>
            <w:r>
              <w:rPr>
                <w:sz w:val="20"/>
                <w:szCs w:val="20"/>
                <w:rFonts w:ascii="Times New Roman" w:eastAsia="仿宋_GB2312" w:hAnsi="仿宋_GB2312" w:cs="仿宋_GB2312"/>
              </w:rPr>
              <w:t>量化。</w:t>
            </w:r>
          </w:p>
        </w:tc>
      </w:tr>
      <w:tr>
        <w:trPr>
          <w:trHeight w:hRule="atleast" w:val="578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预算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配置             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9</w:t>
            </w: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财政供养人员</w:t>
            </w:r>
          </w:p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控制率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2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以100%为标准。在职人员控制率≤100%，计2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分，每超过一个百分点扣0.2分，扣完为止。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2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100%</w:t>
            </w:r>
          </w:p>
        </w:tc>
      </w:tr>
      <w:tr>
        <w:trPr>
          <w:trHeight w:hRule="atleast" w:val="553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“三公经费”        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变动率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变动率≤0，计3分；“三公经费”＞0，每超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过一个百分点扣0.3分，扣完为止。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0</w:t>
            </w:r>
          </w:p>
        </w:tc>
      </w:tr>
      <w:tr>
        <w:trPr>
          <w:trHeight w:hRule="atleast" w:val="767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重点支出安排率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4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重点支出安排率≥90%，计4分；；80%（含）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-90%，计3分；70%（含）-80%，计2分；60%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（含）-70%，计1分；低于60%不得分。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4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92%</w:t>
            </w:r>
          </w:p>
        </w:tc>
      </w:tr>
      <w:tr>
        <w:trPr>
          <w:trHeight w:hRule="atleast" w:val="797"/>
        </w:trPr>
        <w:tc>
          <w:tcPr>
            <w:tcW w:type="dxa" w:w="708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 xml:space="preserve">过 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>程(4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>0分)</w:t>
            </w:r>
          </w:p>
        </w:tc>
        <w:tc>
          <w:tcPr>
            <w:tcW w:type="dxa" w:w="711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预算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执行           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16</w:t>
            </w: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预算调整率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预算调整率=0，计3分；0-10%（含）计3分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；10-20%（含）计2分；20-30%（含）计1分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；超出30%不得分。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0</w:t>
            </w:r>
          </w:p>
        </w:tc>
      </w:tr>
      <w:tr>
        <w:trPr>
          <w:trHeight w:hRule="atleast" w:val="578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支出进度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每发生一个项目未完成进度要求完成资金下达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的扣0.5分，扣完为止。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120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sz w:val="20"/>
                <w:szCs w:val="20"/>
                <w:rFonts w:ascii="Times New Roman" w:eastAsia="仿宋_GB2312" w:hAnsi="仿宋_GB2312" w:cs="仿宋_GB2312"/>
              </w:rPr>
              <w:t>资金拨付及</w:t>
            </w:r>
            <w:r>
              <w:rPr>
                <w:sz w:val="20"/>
                <w:szCs w:val="20"/>
                <w:rFonts w:ascii="Times New Roman" w:eastAsia="仿宋_GB2312" w:hAnsi="仿宋_GB2312" w:cs="仿宋_GB2312"/>
              </w:rPr>
              <w:t>时。</w:t>
            </w:r>
          </w:p>
        </w:tc>
      </w:tr>
      <w:tr>
        <w:trPr>
          <w:trHeight w:hRule="atleast" w:val="613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结转结余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无结余，3分；有结余但不超过上年结转，2分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；每超过1个百分点扣0.1分，扣完为止。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t>无结余</w:t>
            </w:r>
          </w:p>
        </w:tc>
      </w:tr>
      <w:tr>
        <w:trPr>
          <w:trHeight w:hRule="atleast" w:val="1037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公务卡刷卡率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2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公务卡刷卡率达60％以上的，计2分。每减少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一个百分点扣0.2分，扣完为止。 </w:t>
            </w:r>
          </w:p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（公务卡刷卡率=公务消费刷卡支出/授权支付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额度×100%）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0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t>乡镇没有启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t>用公务卡</w:t>
            </w:r>
          </w:p>
        </w:tc>
      </w:tr>
      <w:tr>
        <w:trPr>
          <w:trHeight w:hRule="atleast" w:val="598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“三公经费”    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控制率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以100%为标准。控制率≤100%，计3分；每超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过一个百分点扣0.5分。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100%</w:t>
            </w:r>
          </w:p>
        </w:tc>
      </w:tr>
      <w:tr>
        <w:trPr>
          <w:trHeight w:hRule="atleast" w:val="465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政府采购执行率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2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100%计满分，每低于1个百分点扣0.2分。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2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100%</w:t>
            </w:r>
          </w:p>
        </w:tc>
      </w:tr>
      <w:tr>
        <w:trPr>
          <w:trHeight w:hRule="atleast" w:val="1033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预算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管理             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15</w:t>
            </w: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管理制度健全性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①已有预算资金管理办法，内部财务管理制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度、会计核算制度等管理制度，1分；</w:t>
            </w:r>
          </w:p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②相关管理制度合法、合规、完整，1分；            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③相关管理制度得到有效执行，1分。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t>符合①-③条</w:t>
            </w:r>
          </w:p>
        </w:tc>
      </w:tr>
      <w:tr>
        <w:trPr>
          <w:trHeight w:hRule="atleast" w:val="2227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资金使用合规性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7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①支出符合国家财经法规和财务管理制度规定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以及有关专项资金管理办法的规定，4分。出现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截留、挤占、挪用、虚列支出，大额现金支付、违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规借出(占用)、乱发滥补、虚报冒领，转嫁支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出、乱开户乱存放、私设小金库等违规行为，酌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情扣分，扣完为止。</w:t>
            </w:r>
          </w:p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②资金拨付有完整的审批程序和手续，1分；</w:t>
            </w:r>
          </w:p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③项目支出按规定经过评估论证，1分；</w:t>
            </w:r>
          </w:p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④支出符合部门预算批复的用途，1分。 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7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t>符合①-④条</w:t>
            </w:r>
          </w:p>
        </w:tc>
      </w:tr>
      <w:tr>
        <w:trPr>
          <w:trHeight w:hRule="atleast" w:val="777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预决算和基础</w:t>
            </w:r>
          </w:p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信息公开性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5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①预决算信息公开内容合规，1分；时限合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规，1分； ②基础数据信息和会计信息资料真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实，1分；完整，1分；准确，1分。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5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t>符合①-②条</w:t>
            </w:r>
          </w:p>
        </w:tc>
      </w:tr>
      <w:tr>
        <w:trPr>
          <w:trHeight w:hRule="atleast" w:val="806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资产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管理          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9</w:t>
            </w: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管理制度健全性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①已制定或具有资产管理制度，1分；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br/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②相关资产管理制度合法合规完整，1分；                                                                                                                                                       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③相关资产管理制度得到有效执行，1分。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t>符合①-③条</w:t>
            </w:r>
          </w:p>
        </w:tc>
      </w:tr>
      <w:tr>
        <w:trPr>
          <w:trHeight w:hRule="atleast" w:val="1263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资产管理安全性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5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①资产保存完整，1分；②资产配置合理，1分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；③资产处置规范，1分；④资产账务管理合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规，帐实相符，1分；⑤资产有偿使用及处置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收入及时足额上缴，1分。每出现一项不符合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有关要求的扣1分，扣完为止。                                              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5</w:t>
            </w:r>
          </w:p>
        </w:tc>
        <w:tc>
          <w:tcPr>
            <w:tcW w:type="dxa" w:w="1206"/>
            <w:tcMar>
              <w:left w:w="15" w:type="dxa"/>
              <w:right w:w="15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t>符合①-⑤条</w:t>
            </w:r>
          </w:p>
        </w:tc>
      </w:tr>
      <w:tr>
        <w:trPr>
          <w:trHeight w:hRule="atleast" w:val="550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固定资产利用率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1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每低于100%一个百分点扣0.1分，扣完为止。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1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sz w:val="20"/>
                <w:szCs w:val="20"/>
                <w:rFonts w:ascii="Times New Roman" w:eastAsia="仿宋_GB2312" w:hAnsi="仿宋_GB2312" w:cs="仿宋_GB2312"/>
              </w:rPr>
              <w:t>固定资产</w:t>
            </w:r>
            <w:r>
              <w:rPr>
                <w:sz w:val="20"/>
                <w:szCs w:val="20"/>
                <w:rFonts w:ascii="Times New Roman" w:eastAsia="仿宋_GB2312" w:hAnsi="仿宋_GB2312" w:cs="仿宋_GB2312"/>
              </w:rPr>
              <w:t>利用率100</w:t>
            </w:r>
            <w:r>
              <w:rPr>
                <w:sz w:val="20"/>
                <w:szCs w:val="20"/>
                <w:rFonts w:ascii="Times New Roman" w:eastAsia="仿宋_GB2312" w:hAnsi="仿宋_GB2312" w:cs="仿宋_GB2312"/>
              </w:rPr>
              <w:t>%。</w:t>
            </w:r>
          </w:p>
        </w:tc>
      </w:tr>
      <w:tr>
        <w:trPr>
          <w:trHeight w:hRule="atleast" w:val="862"/>
        </w:trPr>
        <w:tc>
          <w:tcPr>
            <w:tcW w:type="dxa" w:w="708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/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 xml:space="preserve">产 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 xml:space="preserve">出 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 xml:space="preserve">及 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 xml:space="preserve">效 </w:t>
            </w:r>
          </w:p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>果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>（45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>分）</w:t>
            </w:r>
          </w:p>
        </w:tc>
        <w:tc>
          <w:tcPr>
            <w:tcW w:type="dxa" w:w="711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职责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履行            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20</w:t>
            </w: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实际完成率</w:t>
            </w:r>
          </w:p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（产出数量）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10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2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方案一：按政府目标管理考核情况计分。纳入政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府目标管理考核的单位，按县考核办考核结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果，优18～20分、良12～17分、合格6～11分、不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合格0～5分。</w:t>
            </w:r>
          </w:p>
          <w:p>
            <w:pPr>
              <w:bidi w:val="0"/>
              <w:jc w:val="both"/>
              <w:spacing w:lineRule="exact" w:line="2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both"/>
              <w:spacing w:lineRule="exact" w:line="2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方案二：按预期目标实现程度计分。未进行政府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目标管理考核的单位，以本部门年度工作任务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为预期目标，细化成相应的个性化指标。</w:t>
            </w:r>
          </w:p>
          <w:p>
            <w:pPr>
              <w:bidi w:val="0"/>
              <w:jc w:val="both"/>
              <w:spacing w:lineRule="exact" w:line="2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预期目标完成率、完成及时率和质量达标率达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到设定目标值计18～20分，低于设定目标值，酌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情扣分。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17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</w:pPr>
            <w:r>
              <w:rPr>
                <w:sz w:val="20"/>
                <w:szCs w:val="20"/>
                <w:rFonts w:ascii="Times New Roman" w:eastAsia="仿宋_GB2312" w:hAnsi="仿宋_GB2312" w:cs="仿宋_GB2312"/>
              </w:rPr>
              <w:t xml:space="preserve">岘山镇 </w:t>
            </w:r>
            <w:r>
              <w:rPr>
                <w:sz w:val="20"/>
                <w:szCs w:val="20"/>
                <w:rFonts w:ascii="Times New Roman" w:eastAsia="仿宋_GB2312" w:hAnsi="仿宋_GB2312" w:cs="仿宋_GB2312"/>
              </w:rPr>
              <w:t>2019年目</w:t>
            </w:r>
            <w:r>
              <w:rPr>
                <w:sz w:val="20"/>
                <w:szCs w:val="20"/>
                <w:rFonts w:ascii="Times New Roman" w:eastAsia="仿宋_GB2312" w:hAnsi="仿宋_GB2312" w:cs="仿宋_GB2312"/>
              </w:rPr>
              <w:t>标管理绩</w:t>
            </w:r>
            <w:r>
              <w:rPr>
                <w:sz w:val="20"/>
                <w:szCs w:val="20"/>
                <w:rFonts w:ascii="Times New Roman" w:eastAsia="仿宋_GB2312" w:hAnsi="仿宋_GB2312" w:cs="仿宋_GB2312"/>
              </w:rPr>
              <w:t>效考核为</w:t>
            </w:r>
            <w:r>
              <w:rPr>
                <w:sz w:val="20"/>
                <w:szCs w:val="20"/>
                <w:rFonts w:ascii="Times New Roman" w:eastAsia="仿宋_GB2312" w:hAnsi="仿宋_GB2312" w:cs="仿宋_GB2312"/>
              </w:rPr>
              <w:t>良好乡镇。</w:t>
            </w:r>
          </w:p>
        </w:tc>
      </w:tr>
      <w:tr>
        <w:trPr>
          <w:trHeight w:hRule="atleast" w:val="862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完成及时率</w:t>
            </w:r>
          </w:p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（产出时效）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5</w:t>
            </w:r>
          </w:p>
        </w:tc>
        <w:tc>
          <w:tcPr>
            <w:tcW w:type="dxa" w:w="3866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2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206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862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质量达标率</w:t>
            </w:r>
          </w:p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（产出质量）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5</w:t>
            </w:r>
          </w:p>
        </w:tc>
        <w:tc>
          <w:tcPr>
            <w:tcW w:type="dxa" w:w="3866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2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206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521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履职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 xml:space="preserve">效益                                                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25</w:t>
            </w: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经济效益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15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履行职责对经济发展、社会发展、生态环境带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来的直接或间接影响，各单位应根据部门实际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并结合部门整体支出绩效目标设立情况有选择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的进行设置，</w:t>
            </w:r>
            <w:r>
              <w:rPr>
                <w:rtl w:val="0"/>
                <w:rStyle w:val="PO1"/>
                <w:spacing w:val="0"/>
                <w:color w:val="333333"/>
                <w:sz w:val="18"/>
                <w:szCs w:val="18"/>
                <w:rFonts w:ascii="宋体" w:eastAsia="宋体" w:hAnsi="宋体" w:cs="宋体"/>
              </w:rPr>
              <w:t>并将其细化为相应的个性化指标。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13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t>经济效益和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t>社会效益好</w:t>
            </w:r>
          </w:p>
        </w:tc>
      </w:tr>
      <w:tr>
        <w:trPr>
          <w:trHeight w:hRule="atleast" w:val="521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社会效益</w:t>
            </w:r>
          </w:p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3866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2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206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521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生态效益</w:t>
            </w:r>
          </w:p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3866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2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206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</w:tr>
      <w:tr>
        <w:trPr>
          <w:trHeight w:hRule="atleast" w:val="1032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行政效能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2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部门改进文风会风，加强经费及资产管理，推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动网上办事，提高行政效率，降低行政成本效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果较好的，2分；一般1分；无效果或者效果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不明显0分。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0"/>
                <w:color w:val="auto"/>
                <w:sz w:val="21"/>
                <w:szCs w:val="21"/>
                <w:rFonts w:ascii="宋体" w:eastAsia="宋体" w:hAnsi="宋体" w:cs="宋体"/>
              </w:rPr>
              <w:t>2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t>行政效能较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t>好</w:t>
            </w:r>
          </w:p>
        </w:tc>
      </w:tr>
      <w:tr>
        <w:trPr>
          <w:trHeight w:hRule="atleast" w:val="578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社会满意度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以调查问卷为依据，员工满意度≥95%计3分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；每低5%扣0.5分，满意度＜75%计0分。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3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t>96%</w:t>
            </w:r>
          </w:p>
        </w:tc>
      </w:tr>
      <w:tr>
        <w:trPr>
          <w:trHeight w:hRule="atleast" w:val="1032"/>
        </w:trPr>
        <w:tc>
          <w:tcPr>
            <w:tcW w:type="dxa" w:w="70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1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575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5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以调查问卷为依据，社会公众或服务对象满意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度≥95%计5分；每低5%扣1分，满意度＜75%计</w:t>
            </w: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0分。</w:t>
            </w:r>
          </w:p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满意度=满意人数/被调查人数×100%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宋体" w:eastAsia="宋体" w:hAnsi="宋体" w:cs="宋体"/>
              </w:rPr>
              <w:t>5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18"/>
                <w:szCs w:val="18"/>
                <w:rFonts w:ascii="仿宋" w:eastAsia="仿宋" w:hAnsi="仿宋" w:cs="仿宋"/>
              </w:rPr>
              <w:t>97%</w:t>
            </w:r>
          </w:p>
        </w:tc>
      </w:tr>
      <w:tr>
        <w:trPr>
          <w:trHeight w:hRule="atleast" w:val="426"/>
        </w:trPr>
        <w:tc>
          <w:tcPr>
            <w:tcW w:type="dxa" w:w="1419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 xml:space="preserve">总 分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100</w:t>
            </w:r>
          </w:p>
        </w:tc>
        <w:tc>
          <w:tcPr>
            <w:tcW w:type="dxa" w:w="157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　</w:t>
            </w:r>
          </w:p>
        </w:tc>
        <w:tc>
          <w:tcPr>
            <w:tcW w:type="dxa" w:w="53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100</w:t>
            </w:r>
          </w:p>
        </w:tc>
        <w:tc>
          <w:tcPr>
            <w:tcW w:type="dxa" w:w="386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1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1"/>
                <w:color w:val="auto"/>
                <w:sz w:val="21"/>
                <w:szCs w:val="21"/>
                <w:rFonts w:ascii="宋体" w:eastAsia="宋体" w:hAnsi="宋体" w:cs="宋体"/>
              </w:rPr>
              <w:t>　</w:t>
            </w:r>
          </w:p>
        </w:tc>
        <w:tc>
          <w:tcPr>
            <w:tcW w:type="dxa" w:w="7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92</w:t>
            </w:r>
          </w:p>
        </w:tc>
        <w:tc>
          <w:tcPr>
            <w:tcW w:type="dxa" w:w="12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</w:p>
        </w:tc>
      </w:tr>
    </w:tbl>
    <w:p>
      <w:pPr>
        <w:bidi w:val="0"/>
        <w:jc w:val="both"/>
        <w:spacing w:lineRule="auto" w:line="240" w:before="156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1"/>
          <w:szCs w:val="21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1"/>
          <w:szCs w:val="21"/>
          <w:rFonts w:ascii="仿宋_GB2312" w:eastAsia="仿宋_GB2312" w:hAnsi="仿宋_GB2312" w:cs="仿宋_GB2312"/>
        </w:rPr>
        <w:t>备注：如部门（单位）根据本部门实际情况修改调整了《部门整体支出绩效评价指标体系及评分</w:t>
      </w:r>
      <w:r>
        <w:rPr>
          <w:rtl w:val="0"/>
          <w:rStyle w:val="PO1"/>
          <w:spacing w:val="0"/>
          <w:color w:val="auto"/>
          <w:sz w:val="21"/>
          <w:szCs w:val="21"/>
          <w:rFonts w:ascii="仿宋_GB2312" w:eastAsia="仿宋_GB2312" w:hAnsi="仿宋_GB2312" w:cs="仿宋_GB2312"/>
        </w:rPr>
        <w:t>表》，则须相应修改调整本表中的对应部分。</w:t>
      </w:r>
    </w:p>
    <w:p>
      <w:pPr>
        <w:bidi w:val="0"/>
        <w:jc w:val="both"/>
        <w:spacing w:lineRule="auto" w:line="240" w:before="156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1"/>
          <w:szCs w:val="21"/>
          <w:rFonts w:ascii="仿宋_GB2312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both"/>
        <w:spacing w:lineRule="auto" w:line="240" w:before="156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1"/>
          <w:szCs w:val="21"/>
          <w:rFonts w:ascii="仿宋_GB2312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both"/>
        <w:spacing w:lineRule="auto" w:line="240" w:before="156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1"/>
          <w:szCs w:val="21"/>
          <w:rFonts w:ascii="仿宋_GB2312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both"/>
        <w:spacing w:lineRule="auto" w:line="240" w:before="156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1"/>
          <w:szCs w:val="21"/>
          <w:rFonts w:ascii="仿宋_GB2312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both"/>
        <w:spacing w:lineRule="exact" w:line="32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both"/>
        <w:spacing w:lineRule="exact" w:line="32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附件3：</w:t>
      </w:r>
    </w:p>
    <w:p>
      <w:pPr>
        <w:bidi w:val="0"/>
        <w:jc w:val="center"/>
        <w:spacing w:lineRule="exact" w:line="42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6"/>
          <w:szCs w:val="36"/>
          <w:rFonts w:ascii="仿宋_GB2312" w:eastAsia="方正小标宋_GBK" w:hAnsi="方正小标宋_GBK" w:cs="方正小标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36"/>
          <w:szCs w:val="36"/>
          <w:rFonts w:ascii="方正小标宋_GBK" w:eastAsia="方正小标宋_GBK" w:hAnsi="方正小标宋_GBK" w:cs="方正小标宋_GBK"/>
        </w:rPr>
        <w:t>财政支出绩效自评意见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9800" w:type="dxa"/>
        <w:jc w:val="center"/>
        <w:tblLook w:val="000600" w:firstRow="0" w:lastRow="0" w:firstColumn="0" w:lastColumn="0" w:noHBand="1" w:noVBand="1"/>
        <w:tblLayout w:type="fixed"/>
      </w:tblPr>
      <w:tblGrid>
        <w:gridCol w:w="1251"/>
        <w:gridCol w:w="1785"/>
        <w:gridCol w:w="2179"/>
        <w:gridCol w:w="2411"/>
        <w:gridCol w:w="2174"/>
      </w:tblGrid>
      <w:tr>
        <w:trPr>
          <w:trHeight w:hRule="atleast" w:val="510"/>
        </w:trPr>
        <w:tc>
          <w:tcPr>
            <w:tcW w:type="dxa" w:w="1251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t>目标完成</w:t>
            </w:r>
          </w:p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宋体" w:hAnsi="宋体" w:cs="宋体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t>情况概述</w:t>
            </w:r>
          </w:p>
        </w:tc>
        <w:tc>
          <w:tcPr>
            <w:tcW w:type="dxa" w:w="3964"/>
            <w:tcMar>
              <w:left w:w="15" w:type="dxa"/>
              <w:right w:w="15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t>预期目标</w:t>
            </w:r>
          </w:p>
        </w:tc>
        <w:tc>
          <w:tcPr>
            <w:tcW w:type="dxa" w:w="4585"/>
            <w:tcMar>
              <w:left w:w="15" w:type="dxa"/>
              <w:right w:w="15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t>实际完成</w:t>
            </w:r>
          </w:p>
        </w:tc>
      </w:tr>
      <w:tr>
        <w:trPr>
          <w:trHeight w:hRule="atleast" w:val="3330"/>
        </w:trPr>
        <w:tc>
          <w:tcPr>
            <w:tcW w:type="dxa" w:w="125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3964"/>
            <w:tcMar>
              <w:left w:w="15" w:type="dxa"/>
              <w:right w:w="15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rPr>
                <w:rStyle w:val="PO1"/>
                <w:sz w:val="24"/>
                <w:szCs w:val="24"/>
                <w:rFonts w:ascii="仿宋" w:eastAsia="仿宋" w:hAnsi="仿宋" w:cs="仿宋"/>
              </w:rPr>
            </w:pPr>
            <w:r>
              <w:rPr>
                <w:rStyle w:val="PO1"/>
                <w:sz w:val="24"/>
                <w:szCs w:val="24"/>
                <w:rFonts w:ascii="仿宋" w:eastAsia="仿宋" w:hAnsi="仿宋" w:cs="仿宋"/>
              </w:rPr>
              <w:t>1、人员经费按相关政策及时发放到位</w:t>
            </w:r>
          </w:p>
          <w:p>
            <w:pPr>
              <w:pStyle w:val="PO1"/>
              <w:rPr>
                <w:rStyle w:val="PO1"/>
                <w:sz w:val="24"/>
                <w:szCs w:val="24"/>
                <w:rFonts w:ascii="仿宋" w:eastAsia="仿宋" w:hAnsi="仿宋" w:cs="仿宋"/>
              </w:rPr>
            </w:pPr>
            <w:r>
              <w:rPr>
                <w:rStyle w:val="PO1"/>
                <w:sz w:val="24"/>
                <w:szCs w:val="24"/>
                <w:rFonts w:ascii="仿宋" w:eastAsia="仿宋" w:hAnsi="仿宋" w:cs="仿宋"/>
              </w:rPr>
              <w:t>2、严格控制三公经费支出，保障机关</w:t>
            </w:r>
            <w:r>
              <w:rPr>
                <w:rStyle w:val="PO1"/>
                <w:sz w:val="24"/>
                <w:szCs w:val="24"/>
                <w:rFonts w:ascii="仿宋" w:eastAsia="仿宋" w:hAnsi="仿宋" w:cs="仿宋"/>
              </w:rPr>
              <w:t>正常运转经费；</w:t>
            </w:r>
          </w:p>
          <w:p>
            <w:pPr>
              <w:pStyle w:val="PO1"/>
              <w:rPr>
                <w:rStyle w:val="PO1"/>
                <w:sz w:val="24"/>
                <w:szCs w:val="24"/>
                <w:rFonts w:ascii="仿宋" w:eastAsia="仿宋" w:hAnsi="仿宋" w:cs="仿宋"/>
              </w:rPr>
            </w:pPr>
            <w:r>
              <w:rPr>
                <w:rStyle w:val="PO1"/>
                <w:sz w:val="24"/>
                <w:szCs w:val="24"/>
                <w:rFonts w:ascii="仿宋" w:eastAsia="仿宋" w:hAnsi="仿宋" w:cs="仿宋"/>
              </w:rPr>
              <w:t>3、发挥财政资金引导作用，优先保障</w:t>
            </w:r>
            <w:r>
              <w:rPr>
                <w:rStyle w:val="PO1"/>
                <w:sz w:val="24"/>
                <w:szCs w:val="24"/>
                <w:rFonts w:ascii="仿宋" w:eastAsia="仿宋" w:hAnsi="仿宋" w:cs="仿宋"/>
              </w:rPr>
              <w:t>民生项目，确保民生支出及时到位。</w:t>
            </w:r>
          </w:p>
        </w:tc>
        <w:tc>
          <w:tcPr>
            <w:tcW w:type="dxa" w:w="4585"/>
            <w:tcMar>
              <w:left w:w="15" w:type="dxa"/>
              <w:right w:w="15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"/>
              <w:rPr>
                <w:rStyle w:val="PO1"/>
                <w:sz w:val="24"/>
                <w:szCs w:val="24"/>
                <w:rFonts w:ascii="仿宋" w:eastAsia="仿宋" w:hAnsi="仿宋" w:cs="仿宋"/>
              </w:rPr>
            </w:pPr>
            <w:r>
              <w:rPr>
                <w:rStyle w:val="PO1"/>
                <w:sz w:val="24"/>
                <w:szCs w:val="24"/>
                <w:rFonts w:ascii="仿宋" w:eastAsia="仿宋" w:hAnsi="仿宋" w:cs="仿宋"/>
              </w:rPr>
              <w:t>1、基本支出保障机构正常运转，包括人员经</w:t>
            </w:r>
            <w:r>
              <w:rPr>
                <w:rStyle w:val="PO1"/>
                <w:sz w:val="24"/>
                <w:szCs w:val="24"/>
                <w:rFonts w:ascii="仿宋" w:eastAsia="仿宋" w:hAnsi="仿宋" w:cs="仿宋"/>
              </w:rPr>
              <w:t>费和公用经费；</w:t>
            </w:r>
          </w:p>
          <w:p>
            <w:pPr>
              <w:pStyle w:val="PO1"/>
              <w:rPr>
                <w:rStyle w:val="PO1"/>
                <w:sz w:val="24"/>
                <w:szCs w:val="24"/>
                <w:rFonts w:ascii="仿宋" w:eastAsia="仿宋" w:hAnsi="仿宋" w:cs="仿宋"/>
              </w:rPr>
            </w:pPr>
            <w:r>
              <w:rPr>
                <w:rStyle w:val="PO1"/>
                <w:sz w:val="24"/>
                <w:szCs w:val="24"/>
                <w:rFonts w:ascii="仿宋" w:eastAsia="仿宋" w:hAnsi="仿宋" w:cs="仿宋"/>
              </w:rPr>
              <w:t>2、“三公经费”控制率100%；</w:t>
            </w:r>
          </w:p>
          <w:p>
            <w:pPr>
              <w:pStyle w:val="PO1"/>
              <w:rPr>
                <w:rStyle w:val="PO1"/>
                <w:sz w:val="24"/>
                <w:szCs w:val="24"/>
                <w:rFonts w:ascii="仿宋" w:eastAsia="仿宋" w:hAnsi="仿宋" w:cs="仿宋"/>
              </w:rPr>
            </w:pPr>
            <w:r>
              <w:rPr>
                <w:rStyle w:val="PO1"/>
                <w:sz w:val="24"/>
                <w:szCs w:val="24"/>
                <w:rFonts w:ascii="仿宋" w:eastAsia="仿宋" w:hAnsi="仿宋" w:cs="仿宋"/>
              </w:rPr>
              <w:t>3、持续推进脱贫攻坚工作，2019年度我镇在</w:t>
            </w:r>
            <w:r>
              <w:rPr>
                <w:rStyle w:val="PO1"/>
                <w:sz w:val="24"/>
                <w:szCs w:val="24"/>
                <w:rFonts w:ascii="仿宋" w:eastAsia="仿宋" w:hAnsi="仿宋" w:cs="仿宋"/>
              </w:rPr>
              <w:t>迎接省、市扶贫考核中取得优异成绩；</w:t>
            </w:r>
          </w:p>
          <w:p>
            <w:pPr>
              <w:pStyle w:val="PO1"/>
              <w:rPr>
                <w:rStyle w:val="PO1"/>
                <w:sz w:val="24"/>
                <w:szCs w:val="24"/>
                <w:rFonts w:ascii="仿宋" w:eastAsia="仿宋" w:hAnsi="仿宋" w:cs="仿宋"/>
              </w:rPr>
            </w:pPr>
            <w:r>
              <w:rPr>
                <w:rStyle w:val="PO1"/>
                <w:sz w:val="24"/>
                <w:szCs w:val="24"/>
                <w:rFonts w:ascii="仿宋" w:eastAsia="仿宋" w:hAnsi="仿宋" w:cs="仿宋"/>
              </w:rPr>
              <w:t>4、突出社会保障，各项民生支出及时到</w:t>
            </w:r>
            <w:r>
              <w:rPr>
                <w:rStyle w:val="PO1"/>
                <w:sz w:val="24"/>
                <w:szCs w:val="24"/>
                <w:rFonts w:ascii="仿宋" w:eastAsia="仿宋" w:hAnsi="仿宋" w:cs="仿宋"/>
              </w:rPr>
              <w:t>位，社会事业协调稳步推进。</w:t>
            </w:r>
          </w:p>
        </w:tc>
      </w:tr>
      <w:tr>
        <w:trPr>
          <w:trHeight w:hRule="atleast" w:val="510"/>
        </w:trPr>
        <w:tc>
          <w:tcPr>
            <w:tcW w:type="dxa" w:w="3036"/>
            <w:tcMar>
              <w:left w:w="15" w:type="dxa"/>
              <w:right w:w="15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t>绩效自评综合得分</w:t>
            </w:r>
          </w:p>
        </w:tc>
        <w:tc>
          <w:tcPr>
            <w:tcW w:type="dxa" w:w="2179"/>
            <w:tcMar>
              <w:left w:w="15" w:type="dxa"/>
              <w:right w:w="1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t>92</w:t>
            </w:r>
          </w:p>
        </w:tc>
        <w:tc>
          <w:tcPr>
            <w:tcW w:type="dxa" w:w="2411"/>
            <w:tcMar>
              <w:left w:w="15" w:type="dxa"/>
              <w:right w:w="1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t>综合评价等级</w:t>
            </w:r>
          </w:p>
        </w:tc>
        <w:tc>
          <w:tcPr>
            <w:tcW w:type="dxa" w:w="2174"/>
            <w:tcMar>
              <w:left w:w="15" w:type="dxa"/>
              <w:right w:w="1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snapToGrid w:val="on"/>
              <w:autoSpaceDE w:val="1"/>
              <w:autoSpaceDN w:val="0"/>
            </w:pPr>
          </w:p>
        </w:tc>
      </w:tr>
      <w:tr>
        <w:trPr>
          <w:trHeight w:hRule="atleast" w:val="454"/>
        </w:trPr>
        <w:tc>
          <w:tcPr>
            <w:tcW w:type="dxa" w:w="1251"/>
            <w:tcMar>
              <w:left w:w="15" w:type="dxa"/>
              <w:right w:w="15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t>评价人员</w:t>
            </w:r>
          </w:p>
        </w:tc>
        <w:tc>
          <w:tcPr>
            <w:tcW w:type="dxa" w:w="1785"/>
            <w:tcMar>
              <w:left w:w="15" w:type="dxa"/>
              <w:right w:w="1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t xml:space="preserve">姓  名</w:t>
            </w:r>
          </w:p>
        </w:tc>
        <w:tc>
          <w:tcPr>
            <w:tcW w:type="dxa" w:w="4590"/>
            <w:tcMar>
              <w:left w:w="15" w:type="dxa"/>
              <w:right w:w="15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t>单位及职务/职称</w:t>
            </w:r>
          </w:p>
        </w:tc>
        <w:tc>
          <w:tcPr>
            <w:tcW w:type="dxa" w:w="2174"/>
            <w:tcMar>
              <w:left w:w="15" w:type="dxa"/>
              <w:right w:w="1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宋体" w:eastAsia="宋体" w:hAnsi="宋体" w:cs="宋体"/>
              </w:rPr>
              <w:t xml:space="preserve">签  字</w:t>
            </w:r>
          </w:p>
        </w:tc>
      </w:tr>
      <w:tr>
        <w:trPr>
          <w:trHeight w:hRule="atleast" w:val="454"/>
        </w:trPr>
        <w:tc>
          <w:tcPr>
            <w:tcW w:type="dxa" w:w="125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785"/>
            <w:tcMar>
              <w:left w:w="15" w:type="dxa"/>
              <w:right w:w="1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</w:tc>
        <w:tc>
          <w:tcPr>
            <w:tcW w:type="dxa" w:w="4590"/>
            <w:tcMar>
              <w:left w:w="15" w:type="dxa"/>
              <w:right w:w="15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</w:tc>
        <w:tc>
          <w:tcPr>
            <w:tcW w:type="dxa" w:w="2174"/>
            <w:tcMar>
              <w:left w:w="15" w:type="dxa"/>
              <w:right w:w="1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</w:tc>
      </w:tr>
      <w:tr>
        <w:trPr>
          <w:trHeight w:hRule="atleast" w:val="454"/>
        </w:trPr>
        <w:tc>
          <w:tcPr>
            <w:tcW w:type="dxa" w:w="125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785"/>
            <w:tcMar>
              <w:left w:w="15" w:type="dxa"/>
              <w:right w:w="1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</w:tc>
        <w:tc>
          <w:tcPr>
            <w:tcW w:type="dxa" w:w="4590"/>
            <w:tcMar>
              <w:left w:w="15" w:type="dxa"/>
              <w:right w:w="15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</w:tc>
        <w:tc>
          <w:tcPr>
            <w:tcW w:type="dxa" w:w="2174"/>
            <w:tcMar>
              <w:left w:w="15" w:type="dxa"/>
              <w:right w:w="1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</w:tc>
      </w:tr>
      <w:tr>
        <w:trPr>
          <w:trHeight w:hRule="atleast" w:val="454"/>
        </w:trPr>
        <w:tc>
          <w:tcPr>
            <w:tcW w:type="dxa" w:w="125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785"/>
            <w:tcMar>
              <w:left w:w="15" w:type="dxa"/>
              <w:right w:w="1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</w:tc>
        <w:tc>
          <w:tcPr>
            <w:tcW w:type="dxa" w:w="4590"/>
            <w:tcMar>
              <w:left w:w="15" w:type="dxa"/>
              <w:right w:w="15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</w:tc>
        <w:tc>
          <w:tcPr>
            <w:tcW w:type="dxa" w:w="2174"/>
            <w:tcMar>
              <w:left w:w="15" w:type="dxa"/>
              <w:right w:w="1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</w:tc>
      </w:tr>
      <w:tr>
        <w:trPr>
          <w:trHeight w:hRule="atleast" w:val="454"/>
        </w:trPr>
        <w:tc>
          <w:tcPr>
            <w:tcW w:type="dxa" w:w="1251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1785"/>
            <w:tcMar>
              <w:left w:w="15" w:type="dxa"/>
              <w:right w:w="1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</w:tc>
        <w:tc>
          <w:tcPr>
            <w:tcW w:type="dxa" w:w="4590"/>
            <w:tcMar>
              <w:left w:w="15" w:type="dxa"/>
              <w:right w:w="15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</w:tc>
        <w:tc>
          <w:tcPr>
            <w:tcW w:type="dxa" w:w="2174"/>
            <w:tcMar>
              <w:left w:w="15" w:type="dxa"/>
              <w:right w:w="1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</w:tc>
      </w:tr>
      <w:tr>
        <w:trPr>
          <w:trHeight w:hRule="atleast" w:val="1757"/>
        </w:trPr>
        <w:tc>
          <w:tcPr>
            <w:tcW w:type="dxa" w:w="9800"/>
            <w:tcMar>
              <w:left w:w="15" w:type="dxa"/>
              <w:right w:w="15" w:type="dxa"/>
            </w:tcMar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>评价组组长意见</w:t>
            </w: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t>：</w:t>
            </w:r>
          </w:p>
          <w:p>
            <w:pPr>
              <w:bidi w:val="0"/>
              <w:jc w:val="left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  <w:p>
            <w:pPr>
              <w:bidi w:val="0"/>
              <w:jc w:val="left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  <w:p>
            <w:pPr>
              <w:bidi w:val="0"/>
              <w:jc w:val="left"/>
              <w:spacing w:lineRule="exact" w:line="320" w:before="0" w:after="0"/>
              <w:pageBreakBefore w:val="0"/>
              <w:ind w:left="0" w:right="0" w:firstLine="576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t>评价组组长（签字）：</w:t>
            </w:r>
          </w:p>
          <w:p>
            <w:pPr>
              <w:bidi w:val="0"/>
              <w:jc w:val="left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t xml:space="preserve">                                                               年    月    日</w:t>
            </w:r>
          </w:p>
        </w:tc>
      </w:tr>
      <w:tr>
        <w:trPr>
          <w:trHeight w:hRule="atleast" w:val="2009"/>
        </w:trPr>
        <w:tc>
          <w:tcPr>
            <w:tcW w:type="dxa" w:w="9800"/>
            <w:tcMar>
              <w:left w:w="15" w:type="dxa"/>
              <w:right w:w="15" w:type="dxa"/>
            </w:tcMar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>部门（单位）意见</w:t>
            </w: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t>：</w:t>
            </w:r>
          </w:p>
          <w:p>
            <w:pPr>
              <w:bidi w:val="0"/>
              <w:jc w:val="left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  <w:p>
            <w:pPr>
              <w:bidi w:val="0"/>
              <w:jc w:val="left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  <w:p>
            <w:pPr>
              <w:bidi w:val="0"/>
              <w:jc w:val="left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</w:p>
          <w:p>
            <w:pPr>
              <w:bidi w:val="0"/>
              <w:jc w:val="left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t xml:space="preserve">                                       部门（单位）负责人（签章）：</w:t>
            </w:r>
          </w:p>
          <w:p>
            <w:pPr>
              <w:bidi w:val="0"/>
              <w:jc w:val="left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t xml:space="preserve">                                                               年    月    日</w:t>
            </w:r>
          </w:p>
        </w:tc>
      </w:tr>
      <w:tr>
        <w:trPr>
          <w:trHeight w:hRule="atleast" w:val="1875"/>
        </w:trPr>
        <w:tc>
          <w:tcPr>
            <w:tcW w:type="dxa" w:w="9800"/>
            <w:tcMar>
              <w:left w:w="15" w:type="dxa"/>
              <w:right w:w="15" w:type="dxa"/>
            </w:tcMar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Calibri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宋体" w:eastAsia="宋体" w:hAnsi="宋体" w:cs="宋体"/>
              </w:rPr>
              <w:t>财政局归口业务股室意见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Calibri" w:eastAsia="仿宋_GB2312" w:hAnsi="仿宋_GB2312" w:cs="仿宋_GB2312"/>
              </w:rPr>
              <w:t>：</w:t>
            </w:r>
          </w:p>
          <w:p>
            <w:pPr>
              <w:bidi w:val="0"/>
              <w:jc w:val="both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Calibri" w:eastAsia="仿宋_GB2312" w:hAnsi="仿宋_GB2312" w:cs="仿宋_GB2312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both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Calibri" w:eastAsia="仿宋_GB2312" w:hAnsi="仿宋_GB2312" w:cs="仿宋_GB2312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both"/>
              <w:spacing w:lineRule="exact" w:line="2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Calibri" w:eastAsia="仿宋_GB2312" w:hAnsi="仿宋_GB2312" w:cs="仿宋_GB2312"/>
              </w:rPr>
              <w:snapToGrid w:val="on"/>
              <w:autoSpaceDE w:val="1"/>
              <w:autoSpaceDN w:val="1"/>
            </w:pPr>
          </w:p>
          <w:p>
            <w:pPr>
              <w:bidi w:val="0"/>
              <w:jc w:val="both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Calibri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Calibri" w:eastAsia="仿宋_GB2312" w:hAnsi="仿宋_GB2312" w:cs="仿宋_GB2312"/>
              </w:rPr>
              <w:t xml:space="preserve">                                                 股室负责人（签章）：</w:t>
            </w:r>
          </w:p>
          <w:p>
            <w:pPr>
              <w:bidi w:val="0"/>
              <w:jc w:val="left"/>
              <w:spacing w:lineRule="exact" w:line="32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0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Calibri" w:eastAsia="仿宋_GB2312" w:hAnsi="仿宋_GB2312" w:cs="仿宋_GB2312"/>
              </w:rPr>
              <w:t xml:space="preserve">                                                                 年    月   日</w:t>
            </w:r>
          </w:p>
        </w:tc>
      </w:tr>
    </w:tbl>
    <w:p>
      <w:pPr>
        <w:bidi w:val="0"/>
        <w:jc w:val="both"/>
        <w:spacing w:lineRule="exact" w:line="60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1"/>
          <w:szCs w:val="21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28"/>
          <w:szCs w:val="28"/>
          <w:rFonts w:ascii="仿宋_GB2312" w:eastAsia="仿宋_GB2312" w:hAnsi="仿宋_GB2312" w:cs="仿宋_GB2312"/>
        </w:rPr>
        <w:t xml:space="preserve">填报人（签名）：               联系电话：</w:t>
      </w:r>
    </w:p>
    <w:sectPr>
      <w:pgSz w:w="11906" w:h="16838"/>
      <w:pgMar w:top="1440" w:left="1523" w:bottom="1440" w:right="1595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6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64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64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64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"/>
    <w:family w:val="swiss"/>
    <w:pitch w:val="default"/>
    <w:sig w:usb0="00000000" w:usb1="00000000" w:usb2="00000000" w:usb3="00000000" w:csb0="0000019f" w:csb1="00000000"/>
  </w:font>
  <w:font w:name="方正小标宋_GBK">
    <w:panose1 w:val="03000509000000000000"/>
    <w:charset w:val="64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chineseCounting"/>
      <w:start w:val="6"/>
      <w:suff w:val="nothing"/>
      <w:rPr>
        <w:rFonts w:hint="eastAsia"/>
      </w:rPr>
      <w:lvlText w:val="%1、"/>
    </w:lvl>
    <w:lvl w:ilvl="1">
      <w:lvlJc w:val="left"/>
      <w:numFmt w:val="chineseCounting"/>
      <w:start w:val="6"/>
      <w:suff w:val="nothing"/>
      <w:rPr>
        <w:rFonts w:hint="eastAsia"/>
      </w:rPr>
      <w:lvlText w:val="%1、"/>
    </w:lvl>
    <w:lvl w:ilvl="2">
      <w:lvlJc w:val="left"/>
      <w:numFmt w:val="chineseCounting"/>
      <w:start w:val="6"/>
      <w:suff w:val="nothing"/>
      <w:rPr>
        <w:rFonts w:hint="eastAsia"/>
      </w:rPr>
      <w:lvlText w:val="%1、"/>
    </w:lvl>
    <w:lvl w:ilvl="3">
      <w:lvlJc w:val="left"/>
      <w:numFmt w:val="chineseCounting"/>
      <w:start w:val="6"/>
      <w:suff w:val="nothing"/>
      <w:rPr>
        <w:rFonts w:hint="eastAsia"/>
      </w:rPr>
      <w:lvlText w:val="%1、"/>
    </w:lvl>
    <w:lvl w:ilvl="4">
      <w:lvlJc w:val="left"/>
      <w:numFmt w:val="chineseCounting"/>
      <w:start w:val="6"/>
      <w:suff w:val="nothing"/>
      <w:rPr>
        <w:rFonts w:hint="eastAsia"/>
      </w:rPr>
      <w:lvlText w:val="%1、"/>
    </w:lvl>
    <w:lvl w:ilvl="5">
      <w:lvlJc w:val="left"/>
      <w:numFmt w:val="chineseCounting"/>
      <w:start w:val="6"/>
      <w:suff w:val="nothing"/>
      <w:rPr>
        <w:rFonts w:hint="eastAsia"/>
      </w:rPr>
      <w:lvlText w:val="%1、"/>
    </w:lvl>
    <w:lvl w:ilvl="6">
      <w:lvlJc w:val="left"/>
      <w:numFmt w:val="chineseCounting"/>
      <w:start w:val="6"/>
      <w:suff w:val="nothing"/>
      <w:rPr>
        <w:rFonts w:hint="eastAsia"/>
      </w:rPr>
      <w:lvlText w:val="%1、"/>
    </w:lvl>
    <w:lvl w:ilvl="7">
      <w:lvlJc w:val="left"/>
      <w:numFmt w:val="chineseCounting"/>
      <w:start w:val="6"/>
      <w:suff w:val="nothing"/>
      <w:rPr>
        <w:rFonts w:hint="eastAsia"/>
      </w:rPr>
      <w:lvlText w:val="%1、"/>
    </w:lvl>
    <w:lvl w:ilvl="8">
      <w:lvlJc w:val="left"/>
      <w:numFmt w:val="chineseCounting"/>
      <w:start w:val="6"/>
      <w:suff w:val="nothing"/>
      <w:rPr>
        <w:rFonts w:hint="eastAsia"/>
      </w:rPr>
      <w:lvlText w:val="%1、"/>
    </w:lvl>
  </w:abstractNum>
  <w:abstractNum w:abstractNumId="1">
    <w:multiLevelType w:val="hybridMultilevel"/>
    <w:nsid w:val="2F000001"/>
    <w:tmpl w:val="1F002411"/>
    <w:lvl w:ilvl="0">
      <w:lvlJc w:val="left"/>
      <w:numFmt w:val="chineseCounting"/>
      <w:start w:val="7"/>
      <w:suff w:val="nothing"/>
      <w:rPr>
        <w:rFonts w:hint="eastAsia"/>
      </w:rPr>
      <w:lvlText w:val="（%1）"/>
    </w:lvl>
    <w:lvl w:ilvl="1">
      <w:lvlJc w:val="left"/>
      <w:numFmt w:val="chineseCounting"/>
      <w:start w:val="7"/>
      <w:suff w:val="nothing"/>
      <w:rPr>
        <w:rFonts w:hint="eastAsia"/>
      </w:rPr>
      <w:lvlText w:val="（%1）"/>
    </w:lvl>
    <w:lvl w:ilvl="2">
      <w:lvlJc w:val="left"/>
      <w:numFmt w:val="chineseCounting"/>
      <w:start w:val="7"/>
      <w:suff w:val="nothing"/>
      <w:rPr>
        <w:rFonts w:hint="eastAsia"/>
      </w:rPr>
      <w:lvlText w:val="（%1）"/>
    </w:lvl>
    <w:lvl w:ilvl="3">
      <w:lvlJc w:val="left"/>
      <w:numFmt w:val="chineseCounting"/>
      <w:start w:val="7"/>
      <w:suff w:val="nothing"/>
      <w:rPr>
        <w:rFonts w:hint="eastAsia"/>
      </w:rPr>
      <w:lvlText w:val="（%1）"/>
    </w:lvl>
    <w:lvl w:ilvl="4">
      <w:lvlJc w:val="left"/>
      <w:numFmt w:val="chineseCounting"/>
      <w:start w:val="7"/>
      <w:suff w:val="nothing"/>
      <w:rPr>
        <w:rFonts w:hint="eastAsia"/>
      </w:rPr>
      <w:lvlText w:val="（%1）"/>
    </w:lvl>
    <w:lvl w:ilvl="5">
      <w:lvlJc w:val="left"/>
      <w:numFmt w:val="chineseCounting"/>
      <w:start w:val="7"/>
      <w:suff w:val="nothing"/>
      <w:rPr>
        <w:rFonts w:hint="eastAsia"/>
      </w:rPr>
      <w:lvlText w:val="（%1）"/>
    </w:lvl>
    <w:lvl w:ilvl="6">
      <w:lvlJc w:val="left"/>
      <w:numFmt w:val="chineseCounting"/>
      <w:start w:val="7"/>
      <w:suff w:val="nothing"/>
      <w:rPr>
        <w:rFonts w:hint="eastAsia"/>
      </w:rPr>
      <w:lvlText w:val="（%1）"/>
    </w:lvl>
    <w:lvl w:ilvl="7">
      <w:lvlJc w:val="left"/>
      <w:numFmt w:val="chineseCounting"/>
      <w:start w:val="7"/>
      <w:suff w:val="nothing"/>
      <w:rPr>
        <w:rFonts w:hint="eastAsia"/>
      </w:rPr>
      <w:lvlText w:val="（%1）"/>
    </w:lvl>
    <w:lvl w:ilvl="8">
      <w:lvlJc w:val="left"/>
      <w:numFmt w:val="chineseCounting"/>
      <w:start w:val="7"/>
      <w:suff w:val="nothing"/>
      <w:rPr>
        <w:rFonts w:hint="eastAsia"/>
      </w:rPr>
      <w:lvlText w:val="（%1）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1"/>
      <w:suff w:val="nothing"/>
      <w:rPr/>
      <w:lvlText w:val="%1、"/>
    </w:lvl>
    <w:lvl w:ilvl="1">
      <w:lvlJc w:val="left"/>
      <w:numFmt w:val="decimal"/>
      <w:start w:val="1"/>
      <w:suff w:val="nothing"/>
      <w:rPr/>
      <w:lvlText w:val="%1、"/>
    </w:lvl>
    <w:lvl w:ilvl="2">
      <w:lvlJc w:val="left"/>
      <w:numFmt w:val="decimal"/>
      <w:start w:val="1"/>
      <w:suff w:val="nothing"/>
      <w:rPr/>
      <w:lvlText w:val="%1、"/>
    </w:lvl>
    <w:lvl w:ilvl="3">
      <w:lvlJc w:val="left"/>
      <w:numFmt w:val="decimal"/>
      <w:start w:val="1"/>
      <w:suff w:val="nothing"/>
      <w:rPr/>
      <w:lvlText w:val="%1、"/>
    </w:lvl>
    <w:lvl w:ilvl="4">
      <w:lvlJc w:val="left"/>
      <w:numFmt w:val="decimal"/>
      <w:start w:val="1"/>
      <w:suff w:val="nothing"/>
      <w:rPr/>
      <w:lvlText w:val="%1、"/>
    </w:lvl>
    <w:lvl w:ilvl="5">
      <w:lvlJc w:val="left"/>
      <w:numFmt w:val="decimal"/>
      <w:start w:val="1"/>
      <w:suff w:val="nothing"/>
      <w:rPr/>
      <w:lvlText w:val="%1、"/>
    </w:lvl>
    <w:lvl w:ilvl="6">
      <w:lvlJc w:val="left"/>
      <w:numFmt w:val="decimal"/>
      <w:start w:val="1"/>
      <w:suff w:val="nothing"/>
      <w:rPr/>
      <w:lvlText w:val="%1、"/>
    </w:lvl>
    <w:lvl w:ilvl="7">
      <w:lvlJc w:val="left"/>
      <w:numFmt w:val="decimal"/>
      <w:start w:val="1"/>
      <w:suff w:val="nothing"/>
      <w:rPr/>
      <w:lvlText w:val="%1、"/>
    </w:lvl>
    <w:lvl w:ilvl="8">
      <w:lvlJc w:val="left"/>
      <w:numFmt w:val="decimal"/>
      <w:start w:val="1"/>
      <w:suff w:val="nothing"/>
      <w:rPr/>
      <w:lvlText w:val="%1、"/>
    </w:lvl>
  </w:abstractNum>
  <w:abstractNum w:abstractNumId="3">
    <w:multiLevelType w:val="hybridMultilevel"/>
    <w:nsid w:val="2F000003"/>
    <w:tmpl w:val="1F0033C2"/>
    <w:lvl w:ilvl="0">
      <w:lvlJc w:val="left"/>
      <w:numFmt w:val="chineseCounting"/>
      <w:start w:val="2"/>
      <w:suff w:val="nothing"/>
      <w:pPr>
        <w:ind w:left="640" w:firstLine="0" w:leftChars="640"/>
        <w:rPr/>
      </w:pPr>
      <w:rPr>
        <w:rFonts w:ascii="宋体" w:eastAsia="宋体" w:hAnsi="宋体" w:cs="宋体"/>
      </w:rPr>
      <w:lvlText w:val="%1、"/>
    </w:lvl>
    <w:lvl w:ilvl="1">
      <w:lvlJc w:val="left"/>
      <w:numFmt w:val="chineseCounting"/>
      <w:start w:val="2"/>
      <w:suff w:val="nothing"/>
      <w:pPr>
        <w:ind w:left="640" w:firstLine="0" w:leftChars="640"/>
        <w:rPr/>
      </w:pPr>
      <w:rPr>
        <w:rFonts w:ascii="宋体" w:eastAsia="宋体" w:hAnsi="宋体" w:cs="宋体"/>
      </w:rPr>
      <w:lvlText w:val="%1、"/>
    </w:lvl>
    <w:lvl w:ilvl="2">
      <w:lvlJc w:val="left"/>
      <w:numFmt w:val="chineseCounting"/>
      <w:start w:val="2"/>
      <w:suff w:val="nothing"/>
      <w:pPr>
        <w:ind w:left="640" w:firstLine="0" w:leftChars="640"/>
        <w:rPr/>
      </w:pPr>
      <w:rPr>
        <w:rFonts w:ascii="宋体" w:eastAsia="宋体" w:hAnsi="宋体" w:cs="宋体"/>
      </w:rPr>
      <w:lvlText w:val="%1、"/>
    </w:lvl>
    <w:lvl w:ilvl="3">
      <w:lvlJc w:val="left"/>
      <w:numFmt w:val="chineseCounting"/>
      <w:start w:val="2"/>
      <w:suff w:val="nothing"/>
      <w:pPr>
        <w:ind w:left="640" w:firstLine="0" w:leftChars="640"/>
        <w:rPr/>
      </w:pPr>
      <w:rPr>
        <w:rFonts w:ascii="宋体" w:eastAsia="宋体" w:hAnsi="宋体" w:cs="宋体"/>
      </w:rPr>
      <w:lvlText w:val="%1、"/>
    </w:lvl>
    <w:lvl w:ilvl="4">
      <w:lvlJc w:val="left"/>
      <w:numFmt w:val="chineseCounting"/>
      <w:start w:val="2"/>
      <w:suff w:val="nothing"/>
      <w:pPr>
        <w:ind w:left="640" w:firstLine="0" w:leftChars="640"/>
        <w:rPr/>
      </w:pPr>
      <w:rPr>
        <w:rFonts w:ascii="宋体" w:eastAsia="宋体" w:hAnsi="宋体" w:cs="宋体"/>
      </w:rPr>
      <w:lvlText w:val="%1、"/>
    </w:lvl>
    <w:lvl w:ilvl="5">
      <w:lvlJc w:val="left"/>
      <w:numFmt w:val="chineseCounting"/>
      <w:start w:val="2"/>
      <w:suff w:val="nothing"/>
      <w:pPr>
        <w:ind w:left="640" w:firstLine="0" w:leftChars="640"/>
        <w:rPr/>
      </w:pPr>
      <w:rPr>
        <w:rFonts w:ascii="宋体" w:eastAsia="宋体" w:hAnsi="宋体" w:cs="宋体"/>
      </w:rPr>
      <w:lvlText w:val="%1、"/>
    </w:lvl>
    <w:lvl w:ilvl="6">
      <w:lvlJc w:val="left"/>
      <w:numFmt w:val="chineseCounting"/>
      <w:start w:val="2"/>
      <w:suff w:val="nothing"/>
      <w:pPr>
        <w:ind w:left="640" w:firstLine="0" w:leftChars="640"/>
        <w:rPr/>
      </w:pPr>
      <w:rPr>
        <w:rFonts w:ascii="宋体" w:eastAsia="宋体" w:hAnsi="宋体" w:cs="宋体"/>
      </w:rPr>
      <w:lvlText w:val="%1、"/>
    </w:lvl>
    <w:lvl w:ilvl="7">
      <w:lvlJc w:val="left"/>
      <w:numFmt w:val="chineseCounting"/>
      <w:start w:val="2"/>
      <w:suff w:val="nothing"/>
      <w:pPr>
        <w:ind w:left="640" w:firstLine="0" w:leftChars="640"/>
        <w:rPr/>
      </w:pPr>
      <w:rPr>
        <w:rFonts w:ascii="宋体" w:eastAsia="宋体" w:hAnsi="宋体" w:cs="宋体"/>
      </w:rPr>
      <w:lvlText w:val="%1、"/>
    </w:lvl>
    <w:lvl w:ilvl="8">
      <w:lvlJc w:val="left"/>
      <w:numFmt w:val="chineseCounting"/>
      <w:start w:val="2"/>
      <w:suff w:val="nothing"/>
      <w:pPr>
        <w:ind w:left="640" w:firstLine="0" w:leftChars="640"/>
        <w:rPr/>
      </w:pPr>
      <w:rPr>
        <w:rFonts w:ascii="宋体" w:eastAsia="宋体" w:hAnsi="宋体" w:cs="宋体"/>
      </w:rPr>
      <w:lvlText w:val="%1、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2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Times New Roman" w:eastAsia="宋体" w:hAnsi="Times New Roman" w:cs="Times New Roman"/>
      <w:lang w:bidi="ar-SA" w:eastAsia="zh-CN" w:val="en-US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7" w:type="paragraph">
    <w:name w:val="heading 1"/>
    <w:basedOn w:val="PO1"/>
    <w:next w:val="PO1"/>
    <w:qFormat/>
    <w:uiPriority w:val="7"/>
    <w:pPr>
      <w:jc w:val="left"/>
      <w:spacing w:lineRule="auto" w:line="360" w:before="120" w:after="120"/>
      <w:rPr/>
      <w:outlineLvl w:val="0"/>
    </w:pPr>
    <w:rPr>
      <w:sz w:val="32"/>
      <w:szCs w:val="32"/>
      <w:rFonts w:eastAsia="黑体"/>
    </w:rPr>
  </w:style>
  <w:style w:styleId="PO8" w:type="paragraph">
    <w:name w:val="heading 2"/>
    <w:basedOn w:val="PO1"/>
    <w:next w:val="PO1"/>
    <w:qFormat/>
    <w:uiPriority w:val="8"/>
    <w:pPr>
      <w:jc w:val="left"/>
      <w:spacing w:lineRule="auto" w:line="412"/>
      <w:rPr/>
      <w:outlineLvl w:val="1"/>
    </w:pPr>
    <w:rPr>
      <w:b w:val="1"/>
      <w:sz w:val="32"/>
      <w:szCs w:val="32"/>
      <w:rFonts w:ascii="Arial" w:eastAsia="楷体" w:hAnsi="Arial"/>
    </w:rPr>
  </w:style>
  <w:style w:styleId="PO28" w:type="paragraph">
    <w:name w:val="toc 1"/>
    <w:basedOn w:val="PO1"/>
    <w:next w:val="PO1"/>
    <w:qFormat/>
    <w:uiPriority w:val="28"/>
    <w:pPr>
      <w:spacing w:before="120" w:after="120"/>
      <w:tabs>
        <w:tab w:val="right" w:leader="dot" w:pos="8778"/>
      </w:tabs>
      <w:rPr/>
    </w:pPr>
    <w:rPr>
      <w:b w:val="1"/>
      <w:sz w:val="36"/>
      <w:szCs w:val="36"/>
      <w:caps/>
    </w:rPr>
  </w:style>
  <w:style w:styleId="PO29" w:type="paragraph">
    <w:name w:val="toc 2"/>
    <w:basedOn w:val="PO1"/>
    <w:next w:val="PO1"/>
    <w:qFormat/>
    <w:uiPriority w:val="29"/>
    <w:pPr>
      <w:ind w:left="420" w:firstLine="0" w:leftChars="420"/>
      <w:rPr/>
    </w:pPr>
    <w:rPr/>
  </w:style>
  <w:style w:styleId="PO30" w:type="paragraph">
    <w:name w:val="toc 3"/>
    <w:basedOn w:val="PO1"/>
    <w:next w:val="PO1"/>
    <w:qFormat/>
    <w:uiPriority w:val="30"/>
    <w:pPr>
      <w:ind w:left="840" w:firstLine="0" w:leftChars="840"/>
      <w:rPr/>
    </w:pPr>
    <w:rPr/>
  </w:style>
  <w:style w:styleId="PO37" w:type="table">
    <w:name w:val="Table Grid"/>
    <w:basedOn w:val="PO3"/>
    <w:qFormat/>
    <w:uiPriority w:val="37"/>
    <w:pPr>
      <w:jc w:val="both"/>
      <w:rPr/>
    </w:pPr>
    <w:rPr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</w:tblPr>
  </w:style>
  <w:style w:styleId="PO151" w:type="paragraph">
    <w:name w:val="Document Map"/>
    <w:basedOn w:val="PO1"/>
    <w:link w:val="PO170"/>
    <w:qFormat/>
    <w:uiPriority w:val="151"/>
    <w:rPr>
      <w:sz w:val="18"/>
      <w:szCs w:val="18"/>
      <w:rFonts w:ascii="宋体"/>
    </w:rPr>
  </w:style>
  <w:style w:styleId="PO152" w:type="paragraph">
    <w:name w:val="annotation text"/>
    <w:basedOn w:val="PO1"/>
    <w:link w:val="PO167"/>
    <w:qFormat/>
    <w:uiPriority w:val="152"/>
    <w:pPr>
      <w:jc w:val="left"/>
      <w:rPr/>
    </w:pPr>
    <w:rPr/>
  </w:style>
  <w:style w:styleId="PO153" w:type="paragraph">
    <w:name w:val="Body Text"/>
    <w:basedOn w:val="PO1"/>
    <w:qFormat/>
    <w:uiPriority w:val="153"/>
    <w:unhideWhenUsed/>
    <w:pPr>
      <w:ind w:left="120" w:firstLine="0"/>
      <w:rPr/>
    </w:pPr>
    <w:rPr>
      <w:sz w:val="32"/>
      <w:szCs w:val="32"/>
      <w:rFonts w:ascii="仿宋" w:eastAsia="仿宋" w:hAnsi="仿宋" w:cs="仿宋"/>
      <w:lang w:bidi="zh-CN" w:val="zh-CN"/>
    </w:rPr>
  </w:style>
  <w:style w:styleId="PO154" w:type="paragraph">
    <w:name w:val="Balloon Text"/>
    <w:basedOn w:val="PO1"/>
    <w:link w:val="PO169"/>
    <w:qFormat/>
    <w:uiPriority w:val="154"/>
    <w:rPr>
      <w:sz w:val="18"/>
      <w:szCs w:val="18"/>
    </w:rPr>
  </w:style>
  <w:style w:styleId="PO155" w:type="paragraph">
    <w:name w:val="footer"/>
    <w:basedOn w:val="PO1"/>
    <w:link w:val="PO166"/>
    <w:qFormat/>
    <w:uiPriority w:val="155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6" w:type="paragraph">
    <w:name w:val="header"/>
    <w:basedOn w:val="PO1"/>
    <w:link w:val="PO165"/>
    <w:qFormat/>
    <w:uiPriority w:val="156"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7" w:type="paragraph">
    <w:name w:val="annotation subject"/>
    <w:basedOn w:val="PO152"/>
    <w:next w:val="PO152"/>
    <w:link w:val="PO168"/>
    <w:qFormat/>
    <w:uiPriority w:val="157"/>
    <w:rPr>
      <w:b w:val="1"/>
    </w:rPr>
  </w:style>
  <w:style w:styleId="PO158" w:type="character">
    <w:name w:val="Hyperlink"/>
    <w:basedOn w:val="PO2"/>
    <w:qFormat/>
    <w:uiPriority w:val="158"/>
    <w:unhideWhenUsed/>
    <w:rPr>
      <w:color w:val="0563C1" w:themeColor="hyperlink"/>
      <w:u w:val="single"/>
    </w:rPr>
  </w:style>
  <w:style w:styleId="PO159" w:type="character">
    <w:name w:val="annotation reference"/>
    <w:basedOn w:val="PO2"/>
    <w:qFormat/>
    <w:uiPriority w:val="159"/>
    <w:rPr>
      <w:sz w:val="21"/>
      <w:szCs w:val="21"/>
    </w:rPr>
  </w:style>
  <w:style w:customStyle="1" w:styleId="PO160" w:type="character">
    <w:name w:val="font01"/>
    <w:basedOn w:val="PO2"/>
    <w:qFormat/>
    <w:uiPriority w:val="160"/>
    <w:rPr>
      <w:color w:val="000000"/>
      <w:sz w:val="22"/>
      <w:szCs w:val="22"/>
      <w:u w:val="none"/>
      <w:rFonts w:ascii="宋体" w:eastAsia="宋体" w:hAnsi="宋体" w:cs="宋体" w:hint="eastAsia"/>
    </w:rPr>
  </w:style>
  <w:style w:customStyle="1" w:styleId="PO161" w:type="character">
    <w:name w:val="font91"/>
    <w:basedOn w:val="PO2"/>
    <w:qFormat/>
    <w:uiPriority w:val="161"/>
    <w:rPr>
      <w:color w:val="333333"/>
      <w:sz w:val="20"/>
      <w:szCs w:val="20"/>
      <w:u w:val="none"/>
      <w:rFonts w:ascii="仿宋_GB2312" w:eastAsia="仿宋_GB2312" w:cs="仿宋_GB2312" w:hint="default"/>
    </w:rPr>
  </w:style>
  <w:style w:customStyle="1" w:styleId="PO162" w:type="character">
    <w:name w:val="font31"/>
    <w:basedOn w:val="PO2"/>
    <w:qFormat/>
    <w:uiPriority w:val="162"/>
    <w:rPr>
      <w:color w:val="333333"/>
      <w:sz w:val="20"/>
      <w:szCs w:val="20"/>
      <w:u w:val="none"/>
      <w:rFonts w:ascii="宋体" w:eastAsia="宋体" w:hAnsi="宋体" w:cs="宋体" w:hint="eastAsia"/>
    </w:rPr>
  </w:style>
  <w:style w:customStyle="1" w:styleId="PO163" w:type="character">
    <w:name w:val="font11"/>
    <w:basedOn w:val="PO2"/>
    <w:qFormat/>
    <w:uiPriority w:val="163"/>
    <w:rPr>
      <w:color w:val="FF0000"/>
      <w:sz w:val="20"/>
      <w:szCs w:val="20"/>
      <w:u w:val="none"/>
      <w:rFonts w:ascii="仿宋_GB2312" w:eastAsia="仿宋_GB2312" w:cs="仿宋_GB2312" w:hint="default"/>
    </w:rPr>
  </w:style>
  <w:style w:customStyle="1" w:styleId="PO164" w:type="character">
    <w:name w:val="font101"/>
    <w:basedOn w:val="PO2"/>
    <w:qFormat/>
    <w:uiPriority w:val="164"/>
    <w:rPr>
      <w:color w:val="FF0000"/>
      <w:sz w:val="20"/>
      <w:szCs w:val="20"/>
      <w:u w:val="none"/>
      <w:rFonts w:ascii="宋体" w:eastAsia="宋体" w:hAnsi="宋体" w:cs="宋体" w:hint="eastAsia"/>
    </w:rPr>
  </w:style>
  <w:style w:customStyle="1" w:styleId="PO165" w:type="character">
    <w:name w:val="页眉 Char"/>
    <w:basedOn w:val="PO2"/>
    <w:link w:val="PO156"/>
    <w:qFormat/>
    <w:uiPriority w:val="165"/>
    <w:rPr>
      <w:sz w:val="18"/>
      <w:szCs w:val="18"/>
    </w:rPr>
  </w:style>
  <w:style w:customStyle="1" w:styleId="PO166" w:type="character">
    <w:name w:val="页脚 Char"/>
    <w:basedOn w:val="PO2"/>
    <w:link w:val="PO155"/>
    <w:qFormat/>
    <w:uiPriority w:val="166"/>
    <w:rPr>
      <w:sz w:val="18"/>
      <w:szCs w:val="18"/>
    </w:rPr>
  </w:style>
  <w:style w:customStyle="1" w:styleId="PO167" w:type="character">
    <w:name w:val="批注文字 Char"/>
    <w:basedOn w:val="PO2"/>
    <w:link w:val="PO152"/>
    <w:qFormat/>
    <w:uiPriority w:val="167"/>
    <w:rPr>
      <w:sz w:val="21"/>
      <w:szCs w:val="21"/>
    </w:rPr>
  </w:style>
  <w:style w:customStyle="1" w:styleId="PO168" w:type="character">
    <w:name w:val="批注主题 Char"/>
    <w:basedOn w:val="PO167"/>
    <w:link w:val="PO157"/>
    <w:qFormat/>
    <w:uiPriority w:val="168"/>
    <w:rPr>
      <w:b w:val="1"/>
      <w:sz w:val="21"/>
      <w:szCs w:val="21"/>
    </w:rPr>
  </w:style>
  <w:style w:customStyle="1" w:styleId="PO169" w:type="character">
    <w:name w:val="批注框文本 Char"/>
    <w:basedOn w:val="PO2"/>
    <w:link w:val="PO154"/>
    <w:qFormat/>
    <w:uiPriority w:val="169"/>
    <w:rPr>
      <w:sz w:val="18"/>
      <w:szCs w:val="18"/>
    </w:rPr>
  </w:style>
  <w:style w:customStyle="1" w:styleId="PO170" w:type="character">
    <w:name w:val="文档结构图 Char"/>
    <w:basedOn w:val="PO2"/>
    <w:link w:val="PO151"/>
    <w:qFormat/>
    <w:uiPriority w:val="170"/>
    <w:rPr>
      <w:sz w:val="18"/>
      <w:szCs w:val="18"/>
      <w:rFonts w:ascii="宋体"/>
    </w:rPr>
  </w:style>
  <w:style w:customStyle="1" w:styleId="PO171" w:type="paragraph">
    <w:name w:val="WPSOffice手动目录 1"/>
    <w:qFormat/>
    <w:uiPriority w:val="171"/>
    <w:rPr>
      <w:rFonts w:ascii="Times New Roman" w:eastAsia="宋体" w:hAnsi="Times New Roman" w:cs="Times New Roman"/>
      <w:lang w:bidi="ar-SA" w:eastAsia="zh-CN" w:val="en-US"/>
    </w:rPr>
  </w:style>
  <w:style w:customStyle="1" w:styleId="PO172" w:type="paragraph">
    <w:name w:val="TOC 标题1"/>
    <w:basedOn w:val="PO7"/>
    <w:next w:val="PO1"/>
    <w:qFormat/>
    <w:uiPriority w:val="172"/>
    <w:semiHidden/>
    <w:unhideWhenUsed/>
    <w:pPr>
      <w:spacing w:lineRule="auto" w:line="276" w:before="480" w:after="0"/>
      <w:rPr/>
      <w:outlineLvl w:val="9"/>
    </w:pPr>
    <w:rPr>
      <w:b w:val="1"/>
      <w:color w:val="2E75B5" w:themeColor="accent1" w:themeShade="BF"/>
      <w:sz w:val="28"/>
      <w:szCs w:val="28"/>
      <w:rFonts w:asciiTheme="majorHAnsi" w:eastAsiaTheme="majorEastAsia" w:hAnsiTheme="majorHAnsi" w:cstheme="minorBidi"/>
    </w:rPr>
  </w:style>
  <w:style w:styleId="PO173" w:type="paragraph">
    <w:name w:val="Normal (Web)"/>
    <w:basedOn w:val="PO1"/>
    <w:uiPriority w:val="173"/>
    <w:unhideWhenUsed/>
    <w:pPr>
      <w:jc w:val="left"/>
      <w:spacing w:before="100" w:beforeAutospacing="1" w:afterAutospacing="1" w:after="100"/>
      <w:rPr/>
    </w:pPr>
    <w:rPr>
      <w:sz w:val="24"/>
      <w:szCs w:val="24"/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143</Lines>
  <LinksUpToDate>false</LinksUpToDate>
  <Pages>13</Pages>
  <Paragraphs>40</Paragraphs>
  <Words>3012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隐形贫困人口</dc:creator>
  <cp:lastModifiedBy/>
  <dcterms:modified xsi:type="dcterms:W3CDTF">2020-01-13T03:42:50Z</dcterms:modified>
</cp:coreProperties>
</file>