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rPr>
          <w:b/>
          <w:sz w:val="36"/>
          <w:szCs w:val="36"/>
        </w:rPr>
      </w:pPr>
    </w:p>
    <w:p>
      <w:pPr>
        <w:jc w:val="center"/>
        <w:rPr>
          <w:rFonts w:eastAsia="方正小标宋_GBK"/>
          <w:sz w:val="44"/>
          <w:szCs w:val="44"/>
        </w:rPr>
      </w:pPr>
      <w:r>
        <w:rPr>
          <w:rFonts w:hAnsi="方正小标宋_GBK" w:eastAsia="方正小标宋_GBK"/>
          <w:sz w:val="44"/>
          <w:szCs w:val="44"/>
        </w:rPr>
        <w:t>衡阳县岘山镇人民政府</w:t>
      </w:r>
    </w:p>
    <w:p>
      <w:pPr>
        <w:jc w:val="center"/>
        <w:rPr>
          <w:rFonts w:eastAsia="方正小标宋_GBK"/>
          <w:sz w:val="44"/>
          <w:szCs w:val="44"/>
        </w:rPr>
      </w:pPr>
      <w:r>
        <w:rPr>
          <w:rFonts w:eastAsia="方正小标宋_GBK"/>
          <w:sz w:val="44"/>
          <w:szCs w:val="44"/>
        </w:rPr>
        <w:t>2018</w:t>
      </w:r>
      <w:r>
        <w:rPr>
          <w:rFonts w:hAnsi="方正小标宋_GBK" w:eastAsia="方正小标宋_GBK"/>
          <w:sz w:val="44"/>
          <w:szCs w:val="44"/>
        </w:rPr>
        <w:t>年度部门整体支出</w:t>
      </w:r>
    </w:p>
    <w:p>
      <w:pPr>
        <w:jc w:val="center"/>
        <w:rPr>
          <w:rFonts w:eastAsia="方正小标宋_GBK"/>
          <w:sz w:val="44"/>
          <w:szCs w:val="44"/>
        </w:rPr>
      </w:pPr>
      <w:r>
        <w:rPr>
          <w:rFonts w:hAnsi="方正小标宋_GBK" w:eastAsia="方正小标宋_GBK"/>
          <w:sz w:val="44"/>
          <w:szCs w:val="44"/>
        </w:rPr>
        <w:t>绩效评价报告</w:t>
      </w:r>
    </w:p>
    <w:p>
      <w:pPr>
        <w:jc w:val="center"/>
        <w:rPr>
          <w:rFonts w:eastAsia="方正小标宋_GBK"/>
          <w:sz w:val="44"/>
          <w:szCs w:val="44"/>
        </w:rPr>
      </w:pPr>
    </w:p>
    <w:p>
      <w:pPr>
        <w:pStyle w:val="2"/>
        <w:rPr>
          <w:b/>
          <w:bCs w:val="0"/>
        </w:rPr>
      </w:pPr>
    </w:p>
    <w:p>
      <w:pPr>
        <w:pStyle w:val="6"/>
        <w:ind w:left="0"/>
        <w:rPr>
          <w:rFonts w:ascii="Times New Roman" w:hAnsi="Times New Roman" w:eastAsia="楷体" w:cs="Times New Roman"/>
          <w:b/>
          <w:bCs/>
          <w:sz w:val="72"/>
        </w:rPr>
      </w:pPr>
    </w:p>
    <w:p>
      <w:pPr>
        <w:pStyle w:val="6"/>
        <w:ind w:left="0"/>
        <w:rPr>
          <w:rFonts w:ascii="Times New Roman" w:hAnsi="Times New Roman" w:eastAsia="楷体" w:cs="Times New Roman"/>
          <w:b/>
          <w:bCs/>
          <w:sz w:val="72"/>
        </w:rPr>
      </w:pPr>
    </w:p>
    <w:p>
      <w:pPr>
        <w:pStyle w:val="6"/>
        <w:ind w:left="0"/>
        <w:rPr>
          <w:rFonts w:ascii="Times New Roman" w:hAnsi="Times New Roman" w:eastAsia="楷体" w:cs="Times New Roman"/>
          <w:b/>
          <w:bCs/>
          <w:sz w:val="72"/>
        </w:rPr>
      </w:pPr>
    </w:p>
    <w:p>
      <w:pPr>
        <w:pStyle w:val="6"/>
        <w:ind w:left="0"/>
        <w:rPr>
          <w:rFonts w:ascii="Times New Roman" w:hAnsi="Times New Roman" w:eastAsia="楷体" w:cs="Times New Roman"/>
          <w:b/>
          <w:bCs/>
          <w:sz w:val="72"/>
        </w:rPr>
      </w:pPr>
    </w:p>
    <w:p>
      <w:pPr>
        <w:pStyle w:val="6"/>
        <w:ind w:left="0"/>
        <w:rPr>
          <w:rFonts w:ascii="Times New Roman" w:hAnsi="Times New Roman" w:eastAsia="楷体" w:cs="Times New Roman"/>
          <w:b/>
          <w:bCs/>
          <w:sz w:val="72"/>
        </w:rPr>
      </w:pPr>
    </w:p>
    <w:p>
      <w:pPr>
        <w:ind w:firstLine="900" w:firstLineChars="300"/>
        <w:rPr>
          <w:rFonts w:eastAsia="仿宋"/>
          <w:sz w:val="30"/>
          <w:szCs w:val="30"/>
        </w:rPr>
      </w:pPr>
      <w:bookmarkStart w:id="0" w:name="_Toc6555"/>
      <w:bookmarkStart w:id="1" w:name="_Toc11219"/>
      <w:r>
        <w:rPr>
          <w:rFonts w:hAnsi="宋体"/>
          <w:sz w:val="30"/>
          <w:szCs w:val="30"/>
        </w:rPr>
        <w:t>委托部门：</w:t>
      </w:r>
      <w:r>
        <w:rPr>
          <w:rFonts w:hAnsi="仿宋" w:eastAsia="仿宋"/>
          <w:sz w:val="30"/>
          <w:szCs w:val="30"/>
          <w:u w:val="single"/>
        </w:rPr>
        <w:t>湖南省衡阳县财政局</w:t>
      </w:r>
      <w:bookmarkEnd w:id="0"/>
      <w:bookmarkEnd w:id="1"/>
      <w:r>
        <w:rPr>
          <w:rFonts w:eastAsia="仿宋"/>
          <w:sz w:val="30"/>
          <w:szCs w:val="30"/>
          <w:u w:val="single"/>
        </w:rPr>
        <w:t xml:space="preserve">                  </w:t>
      </w:r>
    </w:p>
    <w:p>
      <w:pPr>
        <w:ind w:firstLine="900" w:firstLineChars="300"/>
        <w:rPr>
          <w:rFonts w:eastAsia="仿宋"/>
          <w:sz w:val="30"/>
          <w:szCs w:val="30"/>
        </w:rPr>
      </w:pPr>
      <w:bookmarkStart w:id="2" w:name="_Toc18146"/>
      <w:bookmarkStart w:id="3" w:name="_Toc8783"/>
      <w:r>
        <w:rPr>
          <w:rFonts w:hAnsi="宋体"/>
          <w:sz w:val="30"/>
          <w:szCs w:val="30"/>
        </w:rPr>
        <w:t>评价机构：</w:t>
      </w:r>
      <w:r>
        <w:rPr>
          <w:rFonts w:hAnsi="仿宋" w:eastAsia="仿宋"/>
          <w:sz w:val="30"/>
          <w:szCs w:val="30"/>
          <w:u w:val="single"/>
        </w:rPr>
        <w:t>湖南友谊联合会计师事务所</w:t>
      </w:r>
      <w:bookmarkEnd w:id="2"/>
      <w:bookmarkEnd w:id="3"/>
      <w:r>
        <w:rPr>
          <w:rFonts w:hAnsi="仿宋" w:eastAsia="仿宋"/>
          <w:sz w:val="30"/>
          <w:szCs w:val="30"/>
          <w:u w:val="single"/>
        </w:rPr>
        <w:t>（普通合伙）</w:t>
      </w:r>
    </w:p>
    <w:p>
      <w:pPr>
        <w:ind w:firstLine="420" w:firstLineChars="200"/>
        <w:jc w:val="center"/>
        <w:rPr>
          <w:szCs w:val="21"/>
        </w:rPr>
      </w:pPr>
    </w:p>
    <w:p>
      <w:pPr>
        <w:ind w:firstLine="420" w:firstLineChars="200"/>
        <w:jc w:val="center"/>
        <w:rPr>
          <w:szCs w:val="21"/>
        </w:rPr>
      </w:pPr>
    </w:p>
    <w:p>
      <w:pPr>
        <w:ind w:firstLine="420" w:firstLineChars="200"/>
        <w:jc w:val="center"/>
        <w:rPr>
          <w:szCs w:val="21"/>
        </w:rPr>
      </w:pPr>
    </w:p>
    <w:p>
      <w:pPr>
        <w:ind w:firstLine="420" w:firstLineChars="200"/>
        <w:jc w:val="center"/>
        <w:rPr>
          <w:szCs w:val="21"/>
        </w:rPr>
        <w:sectPr>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b w:val="0"/>
          <w:bCs w:val="0"/>
          <w:color w:val="auto"/>
          <w:kern w:val="2"/>
          <w:sz w:val="21"/>
          <w:szCs w:val="24"/>
          <w:lang w:val="zh-CN"/>
        </w:rPr>
        <w:id w:val="592000422"/>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31"/>
            <w:jc w:val="center"/>
            <w:rPr>
              <w:rFonts w:ascii="Times New Roman" w:hAnsi="Times New Roman" w:cs="Times New Roman"/>
            </w:rPr>
          </w:pPr>
          <w:r>
            <w:rPr>
              <w:rFonts w:ascii="Times New Roman" w:cs="Times New Roman"/>
              <w:color w:val="auto"/>
              <w:lang w:val="zh-CN"/>
            </w:rPr>
            <w:t>目录</w:t>
          </w:r>
        </w:p>
        <w:p>
          <w:pPr>
            <w:pStyle w:val="11"/>
            <w:rPr>
              <w:rFonts w:eastAsiaTheme="minorEastAsia"/>
              <w:b w:val="0"/>
              <w:caps w:val="0"/>
              <w:sz w:val="24"/>
              <w:szCs w:val="24"/>
            </w:rPr>
          </w:pPr>
          <w:r>
            <w:fldChar w:fldCharType="begin"/>
          </w:r>
          <w:r>
            <w:instrText xml:space="preserve"> TOC \o "1-3" \h \z \u </w:instrText>
          </w:r>
          <w:r>
            <w:fldChar w:fldCharType="separate"/>
          </w:r>
          <w:r>
            <w:fldChar w:fldCharType="begin"/>
          </w:r>
          <w:r>
            <w:instrText xml:space="preserve"> HYPERLINK \l "_Toc25938871" </w:instrText>
          </w:r>
          <w:r>
            <w:fldChar w:fldCharType="separate"/>
          </w:r>
          <w:r>
            <w:rPr>
              <w:rStyle w:val="17"/>
              <w:rFonts w:hAnsi="黑体" w:eastAsia="黑体"/>
              <w:bCs/>
              <w:sz w:val="24"/>
              <w:szCs w:val="24"/>
            </w:rPr>
            <w:t>一、部门概况</w:t>
          </w:r>
          <w:r>
            <w:rPr>
              <w:sz w:val="24"/>
              <w:szCs w:val="24"/>
            </w:rPr>
            <w:tab/>
          </w:r>
          <w:r>
            <w:rPr>
              <w:sz w:val="24"/>
              <w:szCs w:val="24"/>
            </w:rPr>
            <w:fldChar w:fldCharType="begin"/>
          </w:r>
          <w:r>
            <w:rPr>
              <w:sz w:val="24"/>
              <w:szCs w:val="24"/>
            </w:rPr>
            <w:instrText xml:space="preserve"> PAGEREF _Toc25938871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2"/>
            <w:tabs>
              <w:tab w:val="right" w:leader="dot" w:pos="8296"/>
            </w:tabs>
            <w:rPr>
              <w:rFonts w:eastAsiaTheme="minorEastAsia"/>
              <w:sz w:val="20"/>
              <w:szCs w:val="20"/>
            </w:rPr>
          </w:pPr>
          <w:r>
            <w:fldChar w:fldCharType="begin"/>
          </w:r>
          <w:r>
            <w:instrText xml:space="preserve"> HYPERLINK \l "_Toc25938872" </w:instrText>
          </w:r>
          <w:r>
            <w:fldChar w:fldCharType="separate"/>
          </w:r>
          <w:r>
            <w:rPr>
              <w:rStyle w:val="17"/>
              <w:rFonts w:hAnsi="楷体" w:eastAsia="楷体"/>
              <w:b/>
              <w:bCs/>
              <w:sz w:val="20"/>
              <w:szCs w:val="20"/>
            </w:rPr>
            <w:t>（一）部门机构设置及在职人员情况</w:t>
          </w:r>
          <w:r>
            <w:rPr>
              <w:sz w:val="20"/>
              <w:szCs w:val="20"/>
            </w:rPr>
            <w:tab/>
          </w:r>
          <w:r>
            <w:rPr>
              <w:sz w:val="20"/>
              <w:szCs w:val="20"/>
            </w:rPr>
            <w:fldChar w:fldCharType="begin"/>
          </w:r>
          <w:r>
            <w:rPr>
              <w:sz w:val="20"/>
              <w:szCs w:val="20"/>
            </w:rPr>
            <w:instrText xml:space="preserve"> PAGEREF _Toc25938872 \h </w:instrText>
          </w:r>
          <w:r>
            <w:rPr>
              <w:sz w:val="20"/>
              <w:szCs w:val="20"/>
            </w:rPr>
            <w:fldChar w:fldCharType="separate"/>
          </w:r>
          <w:r>
            <w:rPr>
              <w:sz w:val="20"/>
              <w:szCs w:val="20"/>
            </w:rPr>
            <w:t>2</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"_Toc25938873" </w:instrText>
          </w:r>
          <w:r>
            <w:fldChar w:fldCharType="separate"/>
          </w:r>
          <w:r>
            <w:rPr>
              <w:rStyle w:val="17"/>
              <w:rFonts w:hAnsi="楷体" w:eastAsia="楷体"/>
              <w:b/>
              <w:bCs/>
              <w:sz w:val="20"/>
              <w:szCs w:val="20"/>
            </w:rPr>
            <w:t>（二）主要工作职能</w:t>
          </w:r>
          <w:r>
            <w:rPr>
              <w:sz w:val="20"/>
              <w:szCs w:val="20"/>
            </w:rPr>
            <w:tab/>
          </w:r>
          <w:r>
            <w:rPr>
              <w:sz w:val="20"/>
              <w:szCs w:val="20"/>
            </w:rPr>
            <w:fldChar w:fldCharType="begin"/>
          </w:r>
          <w:r>
            <w:rPr>
              <w:sz w:val="20"/>
              <w:szCs w:val="20"/>
            </w:rPr>
            <w:instrText xml:space="preserve"> PAGEREF _Toc25938873 \h </w:instrText>
          </w:r>
          <w:r>
            <w:rPr>
              <w:sz w:val="20"/>
              <w:szCs w:val="20"/>
            </w:rPr>
            <w:fldChar w:fldCharType="separate"/>
          </w:r>
          <w:r>
            <w:rPr>
              <w:sz w:val="20"/>
              <w:szCs w:val="20"/>
            </w:rPr>
            <w:t>3</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"_Toc25938874" </w:instrText>
          </w:r>
          <w:r>
            <w:fldChar w:fldCharType="separate"/>
          </w:r>
          <w:r>
            <w:rPr>
              <w:rStyle w:val="17"/>
              <w:rFonts w:hAnsi="楷体" w:eastAsia="楷体"/>
              <w:b/>
              <w:bCs/>
              <w:sz w:val="20"/>
              <w:szCs w:val="20"/>
            </w:rPr>
            <w:t>（三）年度工作计划</w:t>
          </w:r>
          <w:r>
            <w:rPr>
              <w:sz w:val="20"/>
              <w:szCs w:val="20"/>
            </w:rPr>
            <w:tab/>
          </w:r>
          <w:r>
            <w:rPr>
              <w:sz w:val="20"/>
              <w:szCs w:val="20"/>
            </w:rPr>
            <w:fldChar w:fldCharType="begin"/>
          </w:r>
          <w:r>
            <w:rPr>
              <w:sz w:val="20"/>
              <w:szCs w:val="20"/>
            </w:rPr>
            <w:instrText xml:space="preserve"> PAGEREF _Toc25938874 \h </w:instrText>
          </w:r>
          <w:r>
            <w:rPr>
              <w:sz w:val="20"/>
              <w:szCs w:val="20"/>
            </w:rPr>
            <w:fldChar w:fldCharType="separate"/>
          </w:r>
          <w:r>
            <w:rPr>
              <w:sz w:val="20"/>
              <w:szCs w:val="20"/>
            </w:rPr>
            <w:t>3</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"_Toc25938875" </w:instrText>
          </w:r>
          <w:r>
            <w:fldChar w:fldCharType="separate"/>
          </w:r>
          <w:r>
            <w:rPr>
              <w:rStyle w:val="17"/>
              <w:rFonts w:hAnsi="楷体" w:eastAsia="楷体"/>
              <w:b/>
              <w:bCs/>
              <w:sz w:val="20"/>
              <w:szCs w:val="20"/>
            </w:rPr>
            <w:t>（四）</w:t>
          </w:r>
          <w:r>
            <w:rPr>
              <w:rStyle w:val="17"/>
              <w:rFonts w:eastAsia="楷体"/>
              <w:b/>
              <w:bCs/>
              <w:sz w:val="20"/>
              <w:szCs w:val="20"/>
            </w:rPr>
            <w:t>2018</w:t>
          </w:r>
          <w:r>
            <w:rPr>
              <w:rStyle w:val="17"/>
              <w:rFonts w:hAnsi="楷体" w:eastAsia="楷体"/>
              <w:b/>
              <w:bCs/>
              <w:sz w:val="20"/>
              <w:szCs w:val="20"/>
            </w:rPr>
            <w:t>年度绩效目标设定情况</w:t>
          </w:r>
          <w:r>
            <w:rPr>
              <w:sz w:val="20"/>
              <w:szCs w:val="20"/>
            </w:rPr>
            <w:tab/>
          </w:r>
          <w:r>
            <w:rPr>
              <w:sz w:val="20"/>
              <w:szCs w:val="20"/>
            </w:rPr>
            <w:fldChar w:fldCharType="begin"/>
          </w:r>
          <w:r>
            <w:rPr>
              <w:sz w:val="20"/>
              <w:szCs w:val="20"/>
            </w:rPr>
            <w:instrText xml:space="preserve"> PAGEREF _Toc25938875 \h </w:instrText>
          </w:r>
          <w:r>
            <w:rPr>
              <w:sz w:val="20"/>
              <w:szCs w:val="20"/>
            </w:rPr>
            <w:fldChar w:fldCharType="separate"/>
          </w:r>
          <w:r>
            <w:rPr>
              <w:sz w:val="20"/>
              <w:szCs w:val="20"/>
            </w:rPr>
            <w:t>5</w:t>
          </w:r>
          <w:r>
            <w:rPr>
              <w:sz w:val="20"/>
              <w:szCs w:val="20"/>
            </w:rPr>
            <w:fldChar w:fldCharType="end"/>
          </w:r>
          <w:r>
            <w:rPr>
              <w:sz w:val="20"/>
              <w:szCs w:val="20"/>
            </w:rPr>
            <w:fldChar w:fldCharType="end"/>
          </w:r>
        </w:p>
        <w:p>
          <w:pPr>
            <w:pStyle w:val="11"/>
            <w:rPr>
              <w:rFonts w:eastAsiaTheme="minorEastAsia"/>
              <w:b w:val="0"/>
              <w:caps w:val="0"/>
              <w:sz w:val="24"/>
              <w:szCs w:val="24"/>
            </w:rPr>
          </w:pPr>
          <w:r>
            <w:fldChar w:fldCharType="begin"/>
          </w:r>
          <w:r>
            <w:instrText xml:space="preserve"> HYPERLINK \l "_Toc25938876" </w:instrText>
          </w:r>
          <w:r>
            <w:fldChar w:fldCharType="separate"/>
          </w:r>
          <w:r>
            <w:rPr>
              <w:rStyle w:val="17"/>
              <w:rFonts w:eastAsia="黑体"/>
              <w:sz w:val="24"/>
              <w:szCs w:val="24"/>
            </w:rPr>
            <w:t>二、绩效评价工作情况</w:t>
          </w:r>
          <w:r>
            <w:rPr>
              <w:sz w:val="24"/>
              <w:szCs w:val="24"/>
            </w:rPr>
            <w:tab/>
          </w:r>
          <w:r>
            <w:rPr>
              <w:sz w:val="24"/>
              <w:szCs w:val="24"/>
            </w:rPr>
            <w:fldChar w:fldCharType="begin"/>
          </w:r>
          <w:r>
            <w:rPr>
              <w:sz w:val="24"/>
              <w:szCs w:val="24"/>
            </w:rPr>
            <w:instrText xml:space="preserve"> PAGEREF _Toc25938876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right" w:leader="dot" w:pos="8296"/>
            </w:tabs>
            <w:rPr>
              <w:rFonts w:eastAsiaTheme="minorEastAsia"/>
              <w:sz w:val="20"/>
              <w:szCs w:val="20"/>
            </w:rPr>
          </w:pPr>
          <w:r>
            <w:fldChar w:fldCharType="begin"/>
          </w:r>
          <w:r>
            <w:instrText xml:space="preserve"> HYPERLINK \l "_Toc25938877" </w:instrText>
          </w:r>
          <w:r>
            <w:fldChar w:fldCharType="separate"/>
          </w:r>
          <w:r>
            <w:rPr>
              <w:rStyle w:val="17"/>
              <w:rFonts w:hAnsi="楷体" w:eastAsia="楷体"/>
              <w:b/>
              <w:bCs/>
              <w:sz w:val="20"/>
              <w:szCs w:val="20"/>
            </w:rPr>
            <w:t>（一）绩效评价目的</w:t>
          </w:r>
          <w:r>
            <w:rPr>
              <w:sz w:val="20"/>
              <w:szCs w:val="20"/>
            </w:rPr>
            <w:tab/>
          </w:r>
          <w:r>
            <w:rPr>
              <w:sz w:val="20"/>
              <w:szCs w:val="20"/>
            </w:rPr>
            <w:fldChar w:fldCharType="begin"/>
          </w:r>
          <w:r>
            <w:rPr>
              <w:sz w:val="20"/>
              <w:szCs w:val="20"/>
            </w:rPr>
            <w:instrText xml:space="preserve"> PAGEREF _Toc25938877 \h </w:instrText>
          </w:r>
          <w:r>
            <w:rPr>
              <w:sz w:val="20"/>
              <w:szCs w:val="20"/>
            </w:rPr>
            <w:fldChar w:fldCharType="separate"/>
          </w:r>
          <w:r>
            <w:rPr>
              <w:sz w:val="20"/>
              <w:szCs w:val="20"/>
            </w:rPr>
            <w:t>5</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"_Toc25938878" </w:instrText>
          </w:r>
          <w:r>
            <w:fldChar w:fldCharType="separate"/>
          </w:r>
          <w:r>
            <w:rPr>
              <w:rStyle w:val="17"/>
              <w:rFonts w:hAnsi="楷体" w:eastAsia="楷体"/>
              <w:b/>
              <w:bCs/>
              <w:sz w:val="20"/>
              <w:szCs w:val="20"/>
            </w:rPr>
            <w:t>（二）绩效评价原则、评价指标体系、评价方法</w:t>
          </w:r>
          <w:r>
            <w:rPr>
              <w:sz w:val="20"/>
              <w:szCs w:val="20"/>
            </w:rPr>
            <w:tab/>
          </w:r>
          <w:r>
            <w:rPr>
              <w:sz w:val="20"/>
              <w:szCs w:val="20"/>
            </w:rPr>
            <w:fldChar w:fldCharType="begin"/>
          </w:r>
          <w:r>
            <w:rPr>
              <w:sz w:val="20"/>
              <w:szCs w:val="20"/>
            </w:rPr>
            <w:instrText xml:space="preserve"> PAGEREF _Toc25938878 \h </w:instrText>
          </w:r>
          <w:r>
            <w:rPr>
              <w:sz w:val="20"/>
              <w:szCs w:val="20"/>
            </w:rPr>
            <w:fldChar w:fldCharType="separate"/>
          </w:r>
          <w:r>
            <w:rPr>
              <w:sz w:val="20"/>
              <w:szCs w:val="20"/>
            </w:rPr>
            <w:t>6</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"_Toc25938879" </w:instrText>
          </w:r>
          <w:r>
            <w:fldChar w:fldCharType="separate"/>
          </w:r>
          <w:r>
            <w:rPr>
              <w:rStyle w:val="17"/>
              <w:rFonts w:hAnsi="楷体" w:eastAsia="楷体"/>
              <w:b/>
              <w:bCs/>
              <w:sz w:val="20"/>
              <w:szCs w:val="20"/>
            </w:rPr>
            <w:t>（三）绩效评价工作过程</w:t>
          </w:r>
          <w:r>
            <w:rPr>
              <w:sz w:val="20"/>
              <w:szCs w:val="20"/>
            </w:rPr>
            <w:tab/>
          </w:r>
          <w:r>
            <w:rPr>
              <w:sz w:val="20"/>
              <w:szCs w:val="20"/>
            </w:rPr>
            <w:fldChar w:fldCharType="begin"/>
          </w:r>
          <w:r>
            <w:rPr>
              <w:sz w:val="20"/>
              <w:szCs w:val="20"/>
            </w:rPr>
            <w:instrText xml:space="preserve"> PAGEREF _Toc25938879 \h </w:instrText>
          </w:r>
          <w:r>
            <w:rPr>
              <w:sz w:val="20"/>
              <w:szCs w:val="20"/>
            </w:rPr>
            <w:fldChar w:fldCharType="separate"/>
          </w:r>
          <w:r>
            <w:rPr>
              <w:sz w:val="20"/>
              <w:szCs w:val="20"/>
            </w:rPr>
            <w:t>7</w:t>
          </w:r>
          <w:r>
            <w:rPr>
              <w:sz w:val="20"/>
              <w:szCs w:val="20"/>
            </w:rPr>
            <w:fldChar w:fldCharType="end"/>
          </w:r>
          <w:r>
            <w:rPr>
              <w:sz w:val="20"/>
              <w:szCs w:val="20"/>
            </w:rPr>
            <w:fldChar w:fldCharType="end"/>
          </w:r>
        </w:p>
        <w:p>
          <w:pPr>
            <w:pStyle w:val="11"/>
            <w:rPr>
              <w:rFonts w:eastAsiaTheme="minorEastAsia"/>
              <w:b w:val="0"/>
              <w:caps w:val="0"/>
              <w:sz w:val="24"/>
              <w:szCs w:val="24"/>
            </w:rPr>
          </w:pPr>
          <w:r>
            <w:fldChar w:fldCharType="begin"/>
          </w:r>
          <w:r>
            <w:instrText xml:space="preserve"> HYPERLINK \l "_Toc25938880" </w:instrText>
          </w:r>
          <w:r>
            <w:fldChar w:fldCharType="separate"/>
          </w:r>
          <w:r>
            <w:rPr>
              <w:rStyle w:val="17"/>
              <w:rFonts w:hAnsi="黑体" w:eastAsia="黑体"/>
              <w:bCs/>
              <w:sz w:val="24"/>
              <w:szCs w:val="24"/>
            </w:rPr>
            <w:t>三、部门整体支出管理及使用情况</w:t>
          </w:r>
          <w:r>
            <w:rPr>
              <w:sz w:val="24"/>
              <w:szCs w:val="24"/>
            </w:rPr>
            <w:tab/>
          </w:r>
          <w:r>
            <w:rPr>
              <w:sz w:val="24"/>
              <w:szCs w:val="24"/>
            </w:rPr>
            <w:fldChar w:fldCharType="begin"/>
          </w:r>
          <w:r>
            <w:rPr>
              <w:sz w:val="24"/>
              <w:szCs w:val="24"/>
            </w:rPr>
            <w:instrText xml:space="preserve"> PAGEREF _Toc25938880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2"/>
            <w:tabs>
              <w:tab w:val="right" w:leader="dot" w:pos="8296"/>
            </w:tabs>
            <w:rPr>
              <w:rFonts w:eastAsiaTheme="minorEastAsia"/>
              <w:sz w:val="20"/>
              <w:szCs w:val="20"/>
            </w:rPr>
          </w:pPr>
          <w:r>
            <w:fldChar w:fldCharType="begin"/>
          </w:r>
          <w:r>
            <w:instrText xml:space="preserve"> HYPERLINK \l "_Toc25938881" </w:instrText>
          </w:r>
          <w:r>
            <w:fldChar w:fldCharType="separate"/>
          </w:r>
          <w:r>
            <w:rPr>
              <w:rStyle w:val="17"/>
              <w:rFonts w:hAnsi="楷体" w:eastAsia="楷体"/>
              <w:b/>
              <w:bCs/>
              <w:sz w:val="20"/>
              <w:szCs w:val="20"/>
            </w:rPr>
            <w:t>（一）基本支出</w:t>
          </w:r>
          <w:r>
            <w:rPr>
              <w:sz w:val="20"/>
              <w:szCs w:val="20"/>
            </w:rPr>
            <w:tab/>
          </w:r>
          <w:r>
            <w:rPr>
              <w:sz w:val="20"/>
              <w:szCs w:val="20"/>
            </w:rPr>
            <w:fldChar w:fldCharType="begin"/>
          </w:r>
          <w:r>
            <w:rPr>
              <w:sz w:val="20"/>
              <w:szCs w:val="20"/>
            </w:rPr>
            <w:instrText xml:space="preserve"> PAGEREF _Toc25938881 \h </w:instrText>
          </w:r>
          <w:r>
            <w:rPr>
              <w:sz w:val="20"/>
              <w:szCs w:val="20"/>
            </w:rPr>
            <w:fldChar w:fldCharType="separate"/>
          </w:r>
          <w:r>
            <w:rPr>
              <w:sz w:val="20"/>
              <w:szCs w:val="20"/>
            </w:rPr>
            <w:t>9</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"_Toc25938882" </w:instrText>
          </w:r>
          <w:r>
            <w:fldChar w:fldCharType="separate"/>
          </w:r>
          <w:r>
            <w:rPr>
              <w:rStyle w:val="17"/>
              <w:rFonts w:hAnsi="楷体" w:eastAsia="楷体"/>
              <w:b/>
              <w:bCs/>
              <w:sz w:val="20"/>
              <w:szCs w:val="20"/>
            </w:rPr>
            <w:t>（二）</w:t>
          </w:r>
          <w:r>
            <w:rPr>
              <w:rStyle w:val="17"/>
              <w:rFonts w:eastAsia="楷体"/>
              <w:b/>
              <w:bCs/>
              <w:sz w:val="20"/>
              <w:szCs w:val="20"/>
            </w:rPr>
            <w:t>“</w:t>
          </w:r>
          <w:r>
            <w:rPr>
              <w:rStyle w:val="17"/>
              <w:rFonts w:hAnsi="楷体" w:eastAsia="楷体"/>
              <w:b/>
              <w:bCs/>
              <w:sz w:val="20"/>
              <w:szCs w:val="20"/>
            </w:rPr>
            <w:t>三公经费</w:t>
          </w:r>
          <w:r>
            <w:rPr>
              <w:rStyle w:val="17"/>
              <w:rFonts w:eastAsia="楷体"/>
              <w:b/>
              <w:bCs/>
              <w:sz w:val="20"/>
              <w:szCs w:val="20"/>
            </w:rPr>
            <w:t>”</w:t>
          </w:r>
          <w:r>
            <w:rPr>
              <w:rStyle w:val="17"/>
              <w:rFonts w:hAnsi="楷体" w:eastAsia="楷体"/>
              <w:b/>
              <w:bCs/>
              <w:sz w:val="20"/>
              <w:szCs w:val="20"/>
            </w:rPr>
            <w:t>使用和管理情况</w:t>
          </w:r>
          <w:r>
            <w:rPr>
              <w:sz w:val="20"/>
              <w:szCs w:val="20"/>
            </w:rPr>
            <w:tab/>
          </w:r>
          <w:r>
            <w:rPr>
              <w:sz w:val="20"/>
              <w:szCs w:val="20"/>
            </w:rPr>
            <w:fldChar w:fldCharType="begin"/>
          </w:r>
          <w:r>
            <w:rPr>
              <w:sz w:val="20"/>
              <w:szCs w:val="20"/>
            </w:rPr>
            <w:instrText xml:space="preserve"> PAGEREF _Toc25938882 \h </w:instrText>
          </w:r>
          <w:r>
            <w:rPr>
              <w:sz w:val="20"/>
              <w:szCs w:val="20"/>
            </w:rPr>
            <w:fldChar w:fldCharType="separate"/>
          </w:r>
          <w:r>
            <w:rPr>
              <w:sz w:val="20"/>
              <w:szCs w:val="20"/>
            </w:rPr>
            <w:t>11</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"_Toc25938883" </w:instrText>
          </w:r>
          <w:r>
            <w:fldChar w:fldCharType="separate"/>
          </w:r>
          <w:r>
            <w:rPr>
              <w:rStyle w:val="17"/>
              <w:rFonts w:hAnsi="楷体" w:eastAsia="楷体"/>
              <w:b/>
              <w:bCs/>
              <w:sz w:val="20"/>
              <w:szCs w:val="20"/>
            </w:rPr>
            <w:t>（三）项目支出</w:t>
          </w:r>
          <w:r>
            <w:rPr>
              <w:sz w:val="20"/>
              <w:szCs w:val="20"/>
            </w:rPr>
            <w:tab/>
          </w:r>
          <w:r>
            <w:rPr>
              <w:sz w:val="20"/>
              <w:szCs w:val="20"/>
            </w:rPr>
            <w:fldChar w:fldCharType="begin"/>
          </w:r>
          <w:r>
            <w:rPr>
              <w:sz w:val="20"/>
              <w:szCs w:val="20"/>
            </w:rPr>
            <w:instrText xml:space="preserve"> PAGEREF _Toc25938883 \h </w:instrText>
          </w:r>
          <w:r>
            <w:rPr>
              <w:sz w:val="20"/>
              <w:szCs w:val="20"/>
            </w:rPr>
            <w:fldChar w:fldCharType="separate"/>
          </w:r>
          <w:r>
            <w:rPr>
              <w:sz w:val="20"/>
              <w:szCs w:val="20"/>
            </w:rPr>
            <w:t>11</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"_Toc25938884" </w:instrText>
          </w:r>
          <w:r>
            <w:fldChar w:fldCharType="separate"/>
          </w:r>
          <w:r>
            <w:rPr>
              <w:rStyle w:val="17"/>
              <w:rFonts w:hAnsi="楷体" w:eastAsia="楷体"/>
              <w:b/>
              <w:bCs/>
              <w:sz w:val="20"/>
              <w:szCs w:val="20"/>
            </w:rPr>
            <w:t>（四）部门整体支出组织及管理情况</w:t>
          </w:r>
          <w:r>
            <w:rPr>
              <w:sz w:val="20"/>
              <w:szCs w:val="20"/>
            </w:rPr>
            <w:tab/>
          </w:r>
          <w:r>
            <w:rPr>
              <w:sz w:val="20"/>
              <w:szCs w:val="20"/>
            </w:rPr>
            <w:fldChar w:fldCharType="begin"/>
          </w:r>
          <w:r>
            <w:rPr>
              <w:sz w:val="20"/>
              <w:szCs w:val="20"/>
            </w:rPr>
            <w:instrText xml:space="preserve"> PAGEREF _Toc25938884 \h </w:instrText>
          </w:r>
          <w:r>
            <w:rPr>
              <w:sz w:val="20"/>
              <w:szCs w:val="20"/>
            </w:rPr>
            <w:fldChar w:fldCharType="separate"/>
          </w:r>
          <w:r>
            <w:rPr>
              <w:sz w:val="20"/>
              <w:szCs w:val="20"/>
            </w:rPr>
            <w:t>13</w:t>
          </w:r>
          <w:r>
            <w:rPr>
              <w:sz w:val="20"/>
              <w:szCs w:val="20"/>
            </w:rPr>
            <w:fldChar w:fldCharType="end"/>
          </w:r>
          <w:r>
            <w:rPr>
              <w:sz w:val="20"/>
              <w:szCs w:val="20"/>
            </w:rPr>
            <w:fldChar w:fldCharType="end"/>
          </w:r>
        </w:p>
        <w:p>
          <w:pPr>
            <w:pStyle w:val="11"/>
            <w:rPr>
              <w:rFonts w:eastAsiaTheme="minorEastAsia"/>
              <w:b w:val="0"/>
              <w:caps w:val="0"/>
              <w:sz w:val="24"/>
              <w:szCs w:val="24"/>
            </w:rPr>
          </w:pPr>
          <w:r>
            <w:fldChar w:fldCharType="begin"/>
          </w:r>
          <w:r>
            <w:instrText xml:space="preserve"> HYPERLINK \l "_Toc25938885" </w:instrText>
          </w:r>
          <w:r>
            <w:fldChar w:fldCharType="separate"/>
          </w:r>
          <w:r>
            <w:rPr>
              <w:rStyle w:val="17"/>
              <w:rFonts w:hAnsi="黑体" w:eastAsia="黑体"/>
              <w:bCs/>
              <w:sz w:val="24"/>
              <w:szCs w:val="24"/>
            </w:rPr>
            <w:t>四、部门整体支出绩效情况</w:t>
          </w:r>
          <w:r>
            <w:rPr>
              <w:sz w:val="24"/>
              <w:szCs w:val="24"/>
            </w:rPr>
            <w:tab/>
          </w:r>
          <w:r>
            <w:rPr>
              <w:sz w:val="24"/>
              <w:szCs w:val="24"/>
            </w:rPr>
            <w:fldChar w:fldCharType="begin"/>
          </w:r>
          <w:r>
            <w:rPr>
              <w:sz w:val="24"/>
              <w:szCs w:val="24"/>
            </w:rPr>
            <w:instrText xml:space="preserve"> PAGEREF _Toc25938885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2"/>
            <w:tabs>
              <w:tab w:val="right" w:leader="dot" w:pos="8296"/>
            </w:tabs>
            <w:rPr>
              <w:rFonts w:eastAsiaTheme="minorEastAsia"/>
              <w:sz w:val="20"/>
              <w:szCs w:val="20"/>
            </w:rPr>
          </w:pPr>
          <w:r>
            <w:fldChar w:fldCharType="begin"/>
          </w:r>
          <w:r>
            <w:instrText xml:space="preserve"> HYPERLINK \l "_Toc25938886" </w:instrText>
          </w:r>
          <w:r>
            <w:fldChar w:fldCharType="separate"/>
          </w:r>
          <w:r>
            <w:rPr>
              <w:rStyle w:val="17"/>
              <w:rFonts w:hAnsi="楷体" w:eastAsia="楷体"/>
              <w:b/>
              <w:bCs/>
              <w:sz w:val="20"/>
              <w:szCs w:val="20"/>
            </w:rPr>
            <w:t>（一）综合评价结论</w:t>
          </w:r>
          <w:r>
            <w:rPr>
              <w:sz w:val="20"/>
              <w:szCs w:val="20"/>
            </w:rPr>
            <w:tab/>
          </w:r>
          <w:r>
            <w:rPr>
              <w:sz w:val="20"/>
              <w:szCs w:val="20"/>
            </w:rPr>
            <w:fldChar w:fldCharType="begin"/>
          </w:r>
          <w:r>
            <w:rPr>
              <w:sz w:val="20"/>
              <w:szCs w:val="20"/>
            </w:rPr>
            <w:instrText xml:space="preserve"> PAGEREF _Toc25938886 \h </w:instrText>
          </w:r>
          <w:r>
            <w:rPr>
              <w:sz w:val="20"/>
              <w:szCs w:val="20"/>
            </w:rPr>
            <w:fldChar w:fldCharType="separate"/>
          </w:r>
          <w:r>
            <w:rPr>
              <w:sz w:val="20"/>
              <w:szCs w:val="20"/>
            </w:rPr>
            <w:t>15</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"_Toc25938887" </w:instrText>
          </w:r>
          <w:r>
            <w:fldChar w:fldCharType="separate"/>
          </w:r>
          <w:r>
            <w:rPr>
              <w:rStyle w:val="17"/>
              <w:rFonts w:hAnsi="楷体" w:eastAsia="楷体"/>
              <w:b/>
              <w:bCs/>
              <w:sz w:val="20"/>
              <w:szCs w:val="20"/>
            </w:rPr>
            <w:t>（二）综合评价情况</w:t>
          </w:r>
          <w:r>
            <w:rPr>
              <w:sz w:val="20"/>
              <w:szCs w:val="20"/>
            </w:rPr>
            <w:tab/>
          </w:r>
          <w:r>
            <w:rPr>
              <w:sz w:val="20"/>
              <w:szCs w:val="20"/>
            </w:rPr>
            <w:fldChar w:fldCharType="begin"/>
          </w:r>
          <w:r>
            <w:rPr>
              <w:sz w:val="20"/>
              <w:szCs w:val="20"/>
            </w:rPr>
            <w:instrText xml:space="preserve"> PAGEREF _Toc25938887 \h </w:instrText>
          </w:r>
          <w:r>
            <w:rPr>
              <w:sz w:val="20"/>
              <w:szCs w:val="20"/>
            </w:rPr>
            <w:fldChar w:fldCharType="separate"/>
          </w:r>
          <w:r>
            <w:rPr>
              <w:sz w:val="20"/>
              <w:szCs w:val="20"/>
            </w:rPr>
            <w:t>15</w:t>
          </w:r>
          <w:r>
            <w:rPr>
              <w:sz w:val="20"/>
              <w:szCs w:val="20"/>
            </w:rPr>
            <w:fldChar w:fldCharType="end"/>
          </w:r>
          <w:r>
            <w:rPr>
              <w:sz w:val="20"/>
              <w:szCs w:val="20"/>
            </w:rPr>
            <w:fldChar w:fldCharType="end"/>
          </w:r>
        </w:p>
        <w:p>
          <w:pPr>
            <w:pStyle w:val="11"/>
            <w:rPr>
              <w:rFonts w:eastAsiaTheme="minorEastAsia"/>
              <w:b w:val="0"/>
              <w:caps w:val="0"/>
              <w:sz w:val="24"/>
              <w:szCs w:val="24"/>
            </w:rPr>
          </w:pPr>
          <w:r>
            <w:fldChar w:fldCharType="begin"/>
          </w:r>
          <w:r>
            <w:instrText xml:space="preserve"> HYPERLINK \l "_Toc25938888" </w:instrText>
          </w:r>
          <w:r>
            <w:fldChar w:fldCharType="separate"/>
          </w:r>
          <w:r>
            <w:rPr>
              <w:rStyle w:val="17"/>
              <w:rFonts w:hAnsi="黑体" w:eastAsia="黑体"/>
              <w:bCs/>
              <w:sz w:val="24"/>
              <w:szCs w:val="24"/>
            </w:rPr>
            <w:t>五、存在的主要问题</w:t>
          </w:r>
          <w:r>
            <w:rPr>
              <w:sz w:val="24"/>
              <w:szCs w:val="24"/>
            </w:rPr>
            <w:tab/>
          </w:r>
          <w:r>
            <w:rPr>
              <w:sz w:val="24"/>
              <w:szCs w:val="24"/>
            </w:rPr>
            <w:fldChar w:fldCharType="begin"/>
          </w:r>
          <w:r>
            <w:rPr>
              <w:sz w:val="24"/>
              <w:szCs w:val="24"/>
            </w:rPr>
            <w:instrText xml:space="preserve"> PAGEREF _Toc25938888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2"/>
            <w:tabs>
              <w:tab w:val="right" w:leader="dot" w:pos="8296"/>
            </w:tabs>
            <w:rPr>
              <w:rFonts w:eastAsiaTheme="minorEastAsia"/>
              <w:sz w:val="20"/>
              <w:szCs w:val="20"/>
            </w:rPr>
          </w:pPr>
          <w:r>
            <w:fldChar w:fldCharType="begin"/>
          </w:r>
          <w:r>
            <w:instrText xml:space="preserve"> HYPERLINK \l "_Toc25938889" </w:instrText>
          </w:r>
          <w:r>
            <w:fldChar w:fldCharType="separate"/>
          </w:r>
          <w:r>
            <w:rPr>
              <w:rStyle w:val="17"/>
              <w:rFonts w:hAnsi="楷体" w:eastAsia="楷体"/>
              <w:b/>
              <w:bCs/>
              <w:sz w:val="20"/>
              <w:szCs w:val="20"/>
            </w:rPr>
            <w:t>（一）财务核算欠准确</w:t>
          </w:r>
          <w:r>
            <w:rPr>
              <w:sz w:val="20"/>
              <w:szCs w:val="20"/>
            </w:rPr>
            <w:tab/>
          </w:r>
          <w:r>
            <w:rPr>
              <w:sz w:val="20"/>
              <w:szCs w:val="20"/>
            </w:rPr>
            <w:fldChar w:fldCharType="begin"/>
          </w:r>
          <w:r>
            <w:rPr>
              <w:sz w:val="20"/>
              <w:szCs w:val="20"/>
            </w:rPr>
            <w:instrText xml:space="preserve"> PAGEREF _Toc25938889 \h </w:instrText>
          </w:r>
          <w:r>
            <w:rPr>
              <w:sz w:val="20"/>
              <w:szCs w:val="20"/>
            </w:rPr>
            <w:fldChar w:fldCharType="separate"/>
          </w:r>
          <w:r>
            <w:rPr>
              <w:sz w:val="20"/>
              <w:szCs w:val="20"/>
            </w:rPr>
            <w:t>19</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"_Toc25938890" </w:instrText>
          </w:r>
          <w:r>
            <w:fldChar w:fldCharType="separate"/>
          </w:r>
          <w:r>
            <w:rPr>
              <w:rStyle w:val="17"/>
              <w:rFonts w:hAnsi="楷体" w:eastAsia="楷体"/>
              <w:b/>
              <w:bCs/>
              <w:sz w:val="20"/>
              <w:szCs w:val="20"/>
            </w:rPr>
            <w:t>（二）发票抬头欠规范</w:t>
          </w:r>
          <w:r>
            <w:rPr>
              <w:sz w:val="20"/>
              <w:szCs w:val="20"/>
            </w:rPr>
            <w:tab/>
          </w:r>
          <w:r>
            <w:rPr>
              <w:sz w:val="20"/>
              <w:szCs w:val="20"/>
            </w:rPr>
            <w:fldChar w:fldCharType="begin"/>
          </w:r>
          <w:r>
            <w:rPr>
              <w:sz w:val="20"/>
              <w:szCs w:val="20"/>
            </w:rPr>
            <w:instrText xml:space="preserve"> PAGEREF _Toc25938890 \h </w:instrText>
          </w:r>
          <w:r>
            <w:rPr>
              <w:sz w:val="20"/>
              <w:szCs w:val="20"/>
            </w:rPr>
            <w:fldChar w:fldCharType="separate"/>
          </w:r>
          <w:r>
            <w:rPr>
              <w:sz w:val="20"/>
              <w:szCs w:val="20"/>
            </w:rPr>
            <w:t>20</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"_Toc25938891" </w:instrText>
          </w:r>
          <w:r>
            <w:fldChar w:fldCharType="separate"/>
          </w:r>
          <w:r>
            <w:rPr>
              <w:rStyle w:val="17"/>
              <w:rFonts w:hAnsi="楷体" w:eastAsia="楷体"/>
              <w:b/>
              <w:bCs/>
              <w:sz w:val="20"/>
              <w:szCs w:val="20"/>
            </w:rPr>
            <w:t>（三）库存现金大额支出</w:t>
          </w:r>
          <w:r>
            <w:rPr>
              <w:sz w:val="20"/>
              <w:szCs w:val="20"/>
            </w:rPr>
            <w:tab/>
          </w:r>
          <w:r>
            <w:rPr>
              <w:sz w:val="20"/>
              <w:szCs w:val="20"/>
            </w:rPr>
            <w:fldChar w:fldCharType="begin"/>
          </w:r>
          <w:r>
            <w:rPr>
              <w:sz w:val="20"/>
              <w:szCs w:val="20"/>
            </w:rPr>
            <w:instrText xml:space="preserve"> PAGEREF _Toc25938891 \h </w:instrText>
          </w:r>
          <w:r>
            <w:rPr>
              <w:sz w:val="20"/>
              <w:szCs w:val="20"/>
            </w:rPr>
            <w:fldChar w:fldCharType="separate"/>
          </w:r>
          <w:r>
            <w:rPr>
              <w:sz w:val="20"/>
              <w:szCs w:val="20"/>
            </w:rPr>
            <w:t>20</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"_Toc25938892" </w:instrText>
          </w:r>
          <w:r>
            <w:fldChar w:fldCharType="separate"/>
          </w:r>
          <w:r>
            <w:rPr>
              <w:rStyle w:val="17"/>
              <w:rFonts w:hAnsi="楷体" w:eastAsia="楷体"/>
              <w:b/>
              <w:bCs/>
              <w:sz w:val="20"/>
              <w:szCs w:val="20"/>
            </w:rPr>
            <w:t>（四）未执行合同约定事项</w:t>
          </w:r>
          <w:r>
            <w:rPr>
              <w:sz w:val="20"/>
              <w:szCs w:val="20"/>
            </w:rPr>
            <w:tab/>
          </w:r>
          <w:r>
            <w:rPr>
              <w:sz w:val="20"/>
              <w:szCs w:val="20"/>
            </w:rPr>
            <w:fldChar w:fldCharType="begin"/>
          </w:r>
          <w:r>
            <w:rPr>
              <w:sz w:val="20"/>
              <w:szCs w:val="20"/>
            </w:rPr>
            <w:instrText xml:space="preserve"> PAGEREF _Toc25938892 \h </w:instrText>
          </w:r>
          <w:r>
            <w:rPr>
              <w:sz w:val="20"/>
              <w:szCs w:val="20"/>
            </w:rPr>
            <w:fldChar w:fldCharType="separate"/>
          </w:r>
          <w:r>
            <w:rPr>
              <w:sz w:val="20"/>
              <w:szCs w:val="20"/>
            </w:rPr>
            <w:t>20</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"_Toc25938893" </w:instrText>
          </w:r>
          <w:r>
            <w:fldChar w:fldCharType="separate"/>
          </w:r>
          <w:r>
            <w:rPr>
              <w:rStyle w:val="17"/>
              <w:rFonts w:hAnsi="楷体" w:eastAsia="楷体"/>
              <w:b/>
              <w:bCs/>
              <w:sz w:val="20"/>
              <w:szCs w:val="20"/>
            </w:rPr>
            <w:t>（五）绩效理念有待加强</w:t>
          </w:r>
          <w:r>
            <w:rPr>
              <w:sz w:val="20"/>
              <w:szCs w:val="20"/>
            </w:rPr>
            <w:tab/>
          </w:r>
          <w:r>
            <w:rPr>
              <w:sz w:val="20"/>
              <w:szCs w:val="20"/>
            </w:rPr>
            <w:fldChar w:fldCharType="begin"/>
          </w:r>
          <w:r>
            <w:rPr>
              <w:sz w:val="20"/>
              <w:szCs w:val="20"/>
            </w:rPr>
            <w:instrText xml:space="preserve"> PAGEREF _Toc25938893 \h </w:instrText>
          </w:r>
          <w:r>
            <w:rPr>
              <w:sz w:val="20"/>
              <w:szCs w:val="20"/>
            </w:rPr>
            <w:fldChar w:fldCharType="separate"/>
          </w:r>
          <w:r>
            <w:rPr>
              <w:sz w:val="20"/>
              <w:szCs w:val="20"/>
            </w:rPr>
            <w:t>20</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"_Toc25938894" </w:instrText>
          </w:r>
          <w:r>
            <w:fldChar w:fldCharType="separate"/>
          </w:r>
          <w:r>
            <w:rPr>
              <w:rStyle w:val="17"/>
              <w:rFonts w:hAnsi="楷体" w:eastAsia="楷体"/>
              <w:b/>
              <w:bCs/>
              <w:sz w:val="20"/>
              <w:szCs w:val="20"/>
            </w:rPr>
            <w:t>（六）合同管理欠规范</w:t>
          </w:r>
          <w:r>
            <w:rPr>
              <w:sz w:val="20"/>
              <w:szCs w:val="20"/>
            </w:rPr>
            <w:tab/>
          </w:r>
          <w:r>
            <w:rPr>
              <w:sz w:val="20"/>
              <w:szCs w:val="20"/>
            </w:rPr>
            <w:fldChar w:fldCharType="begin"/>
          </w:r>
          <w:r>
            <w:rPr>
              <w:sz w:val="20"/>
              <w:szCs w:val="20"/>
            </w:rPr>
            <w:instrText xml:space="preserve"> PAGEREF _Toc25938894 \h </w:instrText>
          </w:r>
          <w:r>
            <w:rPr>
              <w:sz w:val="20"/>
              <w:szCs w:val="20"/>
            </w:rPr>
            <w:fldChar w:fldCharType="separate"/>
          </w:r>
          <w:r>
            <w:rPr>
              <w:sz w:val="20"/>
              <w:szCs w:val="20"/>
            </w:rPr>
            <w:t>21</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"_Toc25938895" </w:instrText>
          </w:r>
          <w:r>
            <w:fldChar w:fldCharType="separate"/>
          </w:r>
          <w:r>
            <w:rPr>
              <w:rStyle w:val="17"/>
              <w:rFonts w:hAnsi="楷体" w:eastAsia="楷体"/>
              <w:b/>
              <w:bCs/>
              <w:sz w:val="20"/>
              <w:szCs w:val="20"/>
            </w:rPr>
            <w:t>（七）</w:t>
          </w:r>
          <w:r>
            <w:rPr>
              <w:rStyle w:val="17"/>
              <w:rFonts w:eastAsia="楷体"/>
              <w:b/>
              <w:bCs/>
              <w:sz w:val="20"/>
              <w:szCs w:val="20"/>
            </w:rPr>
            <w:t xml:space="preserve"> </w:t>
          </w:r>
          <w:r>
            <w:rPr>
              <w:rStyle w:val="17"/>
              <w:rFonts w:hAnsi="楷体" w:eastAsia="楷体"/>
              <w:b/>
              <w:bCs/>
              <w:sz w:val="20"/>
              <w:szCs w:val="20"/>
            </w:rPr>
            <w:t>决算编制欠准确</w:t>
          </w:r>
          <w:r>
            <w:rPr>
              <w:sz w:val="20"/>
              <w:szCs w:val="20"/>
            </w:rPr>
            <w:tab/>
          </w:r>
          <w:r>
            <w:rPr>
              <w:sz w:val="20"/>
              <w:szCs w:val="20"/>
            </w:rPr>
            <w:fldChar w:fldCharType="begin"/>
          </w:r>
          <w:r>
            <w:rPr>
              <w:sz w:val="20"/>
              <w:szCs w:val="20"/>
            </w:rPr>
            <w:instrText xml:space="preserve"> PAGEREF _Toc25938895 \h </w:instrText>
          </w:r>
          <w:r>
            <w:rPr>
              <w:sz w:val="20"/>
              <w:szCs w:val="20"/>
            </w:rPr>
            <w:fldChar w:fldCharType="separate"/>
          </w:r>
          <w:r>
            <w:rPr>
              <w:sz w:val="20"/>
              <w:szCs w:val="20"/>
            </w:rPr>
            <w:t>21</w:t>
          </w:r>
          <w:r>
            <w:rPr>
              <w:sz w:val="20"/>
              <w:szCs w:val="20"/>
            </w:rPr>
            <w:fldChar w:fldCharType="end"/>
          </w:r>
          <w:r>
            <w:rPr>
              <w:sz w:val="20"/>
              <w:szCs w:val="20"/>
            </w:rPr>
            <w:fldChar w:fldCharType="end"/>
          </w:r>
        </w:p>
        <w:p>
          <w:pPr>
            <w:pStyle w:val="11"/>
            <w:rPr>
              <w:rFonts w:eastAsiaTheme="minorEastAsia"/>
              <w:b w:val="0"/>
              <w:caps w:val="0"/>
              <w:sz w:val="24"/>
              <w:szCs w:val="24"/>
            </w:rPr>
          </w:pPr>
          <w:r>
            <w:fldChar w:fldCharType="begin"/>
          </w:r>
          <w:r>
            <w:instrText xml:space="preserve"> HYPERLINK \l "_Toc25938896" </w:instrText>
          </w:r>
          <w:r>
            <w:fldChar w:fldCharType="separate"/>
          </w:r>
          <w:r>
            <w:rPr>
              <w:rStyle w:val="17"/>
              <w:rFonts w:hAnsi="黑体" w:eastAsia="黑体"/>
              <w:bCs/>
              <w:sz w:val="24"/>
              <w:szCs w:val="24"/>
            </w:rPr>
            <w:t>六、</w:t>
          </w:r>
          <w:r>
            <w:rPr>
              <w:rStyle w:val="17"/>
              <w:rFonts w:eastAsia="黑体"/>
              <w:bCs/>
              <w:sz w:val="24"/>
              <w:szCs w:val="24"/>
            </w:rPr>
            <w:t xml:space="preserve"> </w:t>
          </w:r>
          <w:r>
            <w:rPr>
              <w:rStyle w:val="17"/>
              <w:rFonts w:hAnsi="黑体" w:eastAsia="黑体"/>
              <w:bCs/>
              <w:sz w:val="24"/>
              <w:szCs w:val="24"/>
            </w:rPr>
            <w:t>改进措施和有关建议</w:t>
          </w:r>
          <w:r>
            <w:rPr>
              <w:sz w:val="24"/>
              <w:szCs w:val="24"/>
            </w:rPr>
            <w:tab/>
          </w:r>
          <w:r>
            <w:rPr>
              <w:sz w:val="24"/>
              <w:szCs w:val="24"/>
            </w:rPr>
            <w:fldChar w:fldCharType="begin"/>
          </w:r>
          <w:r>
            <w:rPr>
              <w:sz w:val="24"/>
              <w:szCs w:val="24"/>
            </w:rPr>
            <w:instrText xml:space="preserve"> PAGEREF _Toc25938896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2"/>
            <w:tabs>
              <w:tab w:val="right" w:leader="dot" w:pos="8296"/>
            </w:tabs>
            <w:rPr>
              <w:rFonts w:eastAsiaTheme="minorEastAsia"/>
              <w:sz w:val="20"/>
              <w:szCs w:val="20"/>
            </w:rPr>
          </w:pPr>
          <w:r>
            <w:fldChar w:fldCharType="begin"/>
          </w:r>
          <w:r>
            <w:instrText xml:space="preserve"> HYPERLINK \l "_Toc25938897" </w:instrText>
          </w:r>
          <w:r>
            <w:fldChar w:fldCharType="separate"/>
          </w:r>
          <w:r>
            <w:rPr>
              <w:rStyle w:val="17"/>
              <w:rFonts w:hAnsi="楷体" w:eastAsia="楷体"/>
              <w:b/>
              <w:bCs/>
              <w:sz w:val="20"/>
              <w:szCs w:val="20"/>
            </w:rPr>
            <w:t>（一）加强预算绩效评价基础工作</w:t>
          </w:r>
          <w:r>
            <w:rPr>
              <w:sz w:val="20"/>
              <w:szCs w:val="20"/>
            </w:rPr>
            <w:tab/>
          </w:r>
          <w:r>
            <w:rPr>
              <w:sz w:val="20"/>
              <w:szCs w:val="20"/>
            </w:rPr>
            <w:fldChar w:fldCharType="begin"/>
          </w:r>
          <w:r>
            <w:rPr>
              <w:sz w:val="20"/>
              <w:szCs w:val="20"/>
            </w:rPr>
            <w:instrText xml:space="preserve"> PAGEREF _Toc25938897 \h </w:instrText>
          </w:r>
          <w:r>
            <w:rPr>
              <w:sz w:val="20"/>
              <w:szCs w:val="20"/>
            </w:rPr>
            <w:fldChar w:fldCharType="separate"/>
          </w:r>
          <w:r>
            <w:rPr>
              <w:sz w:val="20"/>
              <w:szCs w:val="20"/>
            </w:rPr>
            <w:t>21</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"_Toc25938898" </w:instrText>
          </w:r>
          <w:r>
            <w:fldChar w:fldCharType="separate"/>
          </w:r>
          <w:r>
            <w:rPr>
              <w:rStyle w:val="17"/>
              <w:rFonts w:hAnsi="楷体" w:eastAsia="楷体"/>
              <w:b/>
              <w:bCs/>
              <w:sz w:val="20"/>
              <w:szCs w:val="20"/>
            </w:rPr>
            <w:t>（二）推进财务管理</w:t>
          </w:r>
          <w:r>
            <w:rPr>
              <w:sz w:val="20"/>
              <w:szCs w:val="20"/>
            </w:rPr>
            <w:tab/>
          </w:r>
          <w:r>
            <w:rPr>
              <w:sz w:val="20"/>
              <w:szCs w:val="20"/>
            </w:rPr>
            <w:fldChar w:fldCharType="begin"/>
          </w:r>
          <w:r>
            <w:rPr>
              <w:sz w:val="20"/>
              <w:szCs w:val="20"/>
            </w:rPr>
            <w:instrText xml:space="preserve"> PAGEREF _Toc25938898 \h </w:instrText>
          </w:r>
          <w:r>
            <w:rPr>
              <w:sz w:val="20"/>
              <w:szCs w:val="20"/>
            </w:rPr>
            <w:fldChar w:fldCharType="separate"/>
          </w:r>
          <w:r>
            <w:rPr>
              <w:sz w:val="20"/>
              <w:szCs w:val="20"/>
            </w:rPr>
            <w:t>22</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"_Toc25938899" </w:instrText>
          </w:r>
          <w:r>
            <w:fldChar w:fldCharType="separate"/>
          </w:r>
          <w:r>
            <w:rPr>
              <w:rStyle w:val="17"/>
              <w:rFonts w:hAnsi="楷体" w:eastAsia="楷体"/>
              <w:b/>
              <w:bCs/>
              <w:sz w:val="20"/>
              <w:szCs w:val="20"/>
            </w:rPr>
            <w:t>（三）加强资金监管</w:t>
          </w:r>
          <w:r>
            <w:rPr>
              <w:sz w:val="20"/>
              <w:szCs w:val="20"/>
            </w:rPr>
            <w:tab/>
          </w:r>
          <w:r>
            <w:rPr>
              <w:sz w:val="20"/>
              <w:szCs w:val="20"/>
            </w:rPr>
            <w:fldChar w:fldCharType="begin"/>
          </w:r>
          <w:r>
            <w:rPr>
              <w:sz w:val="20"/>
              <w:szCs w:val="20"/>
            </w:rPr>
            <w:instrText xml:space="preserve"> PAGEREF _Toc25938899 \h </w:instrText>
          </w:r>
          <w:r>
            <w:rPr>
              <w:sz w:val="20"/>
              <w:szCs w:val="20"/>
            </w:rPr>
            <w:fldChar w:fldCharType="separate"/>
          </w:r>
          <w:r>
            <w:rPr>
              <w:sz w:val="20"/>
              <w:szCs w:val="20"/>
            </w:rPr>
            <w:t>22</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"_Toc25938900" </w:instrText>
          </w:r>
          <w:r>
            <w:fldChar w:fldCharType="separate"/>
          </w:r>
          <w:r>
            <w:rPr>
              <w:rStyle w:val="17"/>
              <w:rFonts w:hAnsi="楷体" w:eastAsia="楷体"/>
              <w:b/>
              <w:bCs/>
              <w:sz w:val="20"/>
              <w:szCs w:val="20"/>
            </w:rPr>
            <w:t>（四）规范合同管理</w:t>
          </w:r>
          <w:r>
            <w:rPr>
              <w:sz w:val="20"/>
              <w:szCs w:val="20"/>
            </w:rPr>
            <w:tab/>
          </w:r>
          <w:r>
            <w:rPr>
              <w:sz w:val="20"/>
              <w:szCs w:val="20"/>
            </w:rPr>
            <w:fldChar w:fldCharType="begin"/>
          </w:r>
          <w:r>
            <w:rPr>
              <w:sz w:val="20"/>
              <w:szCs w:val="20"/>
            </w:rPr>
            <w:instrText xml:space="preserve"> PAGEREF _Toc25938900 \h </w:instrText>
          </w:r>
          <w:r>
            <w:rPr>
              <w:sz w:val="20"/>
              <w:szCs w:val="20"/>
            </w:rPr>
            <w:fldChar w:fldCharType="separate"/>
          </w:r>
          <w:r>
            <w:rPr>
              <w:sz w:val="20"/>
              <w:szCs w:val="20"/>
            </w:rPr>
            <w:t>22</w:t>
          </w:r>
          <w:r>
            <w:rPr>
              <w:sz w:val="20"/>
              <w:szCs w:val="20"/>
            </w:rPr>
            <w:fldChar w:fldCharType="end"/>
          </w:r>
          <w:r>
            <w:rPr>
              <w:sz w:val="20"/>
              <w:szCs w:val="20"/>
            </w:rPr>
            <w:fldChar w:fldCharType="end"/>
          </w:r>
        </w:p>
        <w:p>
          <w:pPr>
            <w:pStyle w:val="12"/>
            <w:tabs>
              <w:tab w:val="right" w:leader="dot" w:pos="8296"/>
            </w:tabs>
            <w:rPr>
              <w:rFonts w:eastAsiaTheme="minorEastAsia"/>
              <w:sz w:val="20"/>
              <w:szCs w:val="20"/>
            </w:rPr>
          </w:pPr>
          <w:r>
            <w:fldChar w:fldCharType="begin"/>
          </w:r>
          <w:r>
            <w:instrText xml:space="preserve"> HYPERLINK \l "_Toc25938901" </w:instrText>
          </w:r>
          <w:r>
            <w:fldChar w:fldCharType="separate"/>
          </w:r>
          <w:r>
            <w:rPr>
              <w:rStyle w:val="17"/>
              <w:rFonts w:hAnsi="楷体" w:eastAsia="楷体"/>
              <w:b/>
              <w:bCs/>
              <w:sz w:val="20"/>
              <w:szCs w:val="20"/>
            </w:rPr>
            <w:t>（五）加强决算编制工作</w:t>
          </w:r>
          <w:r>
            <w:rPr>
              <w:sz w:val="20"/>
              <w:szCs w:val="20"/>
            </w:rPr>
            <w:tab/>
          </w:r>
          <w:r>
            <w:rPr>
              <w:sz w:val="20"/>
              <w:szCs w:val="20"/>
            </w:rPr>
            <w:fldChar w:fldCharType="begin"/>
          </w:r>
          <w:r>
            <w:rPr>
              <w:sz w:val="20"/>
              <w:szCs w:val="20"/>
            </w:rPr>
            <w:instrText xml:space="preserve"> PAGEREF _Toc25938901 \h </w:instrText>
          </w:r>
          <w:r>
            <w:rPr>
              <w:sz w:val="20"/>
              <w:szCs w:val="20"/>
            </w:rPr>
            <w:fldChar w:fldCharType="separate"/>
          </w:r>
          <w:r>
            <w:rPr>
              <w:sz w:val="20"/>
              <w:szCs w:val="20"/>
            </w:rPr>
            <w:t>23</w:t>
          </w:r>
          <w:r>
            <w:rPr>
              <w:sz w:val="20"/>
              <w:szCs w:val="20"/>
            </w:rPr>
            <w:fldChar w:fldCharType="end"/>
          </w:r>
          <w:r>
            <w:rPr>
              <w:sz w:val="20"/>
              <w:szCs w:val="20"/>
            </w:rPr>
            <w:fldChar w:fldCharType="end"/>
          </w:r>
        </w:p>
        <w:p>
          <w:pPr>
            <w:pStyle w:val="11"/>
            <w:rPr>
              <w:rFonts w:eastAsiaTheme="minorEastAsia"/>
              <w:b w:val="0"/>
              <w:caps w:val="0"/>
              <w:sz w:val="24"/>
              <w:szCs w:val="24"/>
            </w:rPr>
          </w:pPr>
          <w:r>
            <w:fldChar w:fldCharType="begin"/>
          </w:r>
          <w:r>
            <w:instrText xml:space="preserve"> HYPERLINK \l "_Toc25938902" </w:instrText>
          </w:r>
          <w:r>
            <w:fldChar w:fldCharType="separate"/>
          </w:r>
          <w:r>
            <w:rPr>
              <w:rStyle w:val="17"/>
              <w:rFonts w:hAnsi="黑体" w:eastAsia="黑体"/>
              <w:bCs/>
              <w:sz w:val="24"/>
              <w:szCs w:val="24"/>
            </w:rPr>
            <w:t>七、绩效评价结果应用建议</w:t>
          </w:r>
          <w:r>
            <w:rPr>
              <w:sz w:val="24"/>
              <w:szCs w:val="24"/>
            </w:rPr>
            <w:tab/>
          </w:r>
          <w:r>
            <w:rPr>
              <w:sz w:val="24"/>
              <w:szCs w:val="24"/>
            </w:rPr>
            <w:fldChar w:fldCharType="begin"/>
          </w:r>
          <w:r>
            <w:rPr>
              <w:sz w:val="24"/>
              <w:szCs w:val="24"/>
            </w:rPr>
            <w:instrText xml:space="preserve"> PAGEREF _Toc25938902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1"/>
            <w:rPr>
              <w:rFonts w:eastAsiaTheme="minorEastAsia"/>
              <w:b w:val="0"/>
              <w:caps w:val="0"/>
              <w:sz w:val="24"/>
              <w:szCs w:val="24"/>
            </w:rPr>
          </w:pPr>
          <w:r>
            <w:fldChar w:fldCharType="begin"/>
          </w:r>
          <w:r>
            <w:instrText xml:space="preserve"> HYPERLINK \l "_Toc25938903" </w:instrText>
          </w:r>
          <w:r>
            <w:fldChar w:fldCharType="separate"/>
          </w:r>
          <w:r>
            <w:rPr>
              <w:rStyle w:val="17"/>
              <w:rFonts w:hAnsi="黑体" w:eastAsia="黑体"/>
              <w:bCs/>
              <w:sz w:val="24"/>
              <w:szCs w:val="24"/>
            </w:rPr>
            <w:t>八、报告附表</w:t>
          </w:r>
          <w:r>
            <w:rPr>
              <w:sz w:val="24"/>
              <w:szCs w:val="24"/>
            </w:rPr>
            <w:tab/>
          </w:r>
          <w:r>
            <w:rPr>
              <w:sz w:val="24"/>
              <w:szCs w:val="24"/>
            </w:rPr>
            <w:fldChar w:fldCharType="begin"/>
          </w:r>
          <w:r>
            <w:rPr>
              <w:sz w:val="24"/>
              <w:szCs w:val="24"/>
            </w:rPr>
            <w:instrText xml:space="preserve"> PAGEREF _Toc25938903 \h </w:instrText>
          </w:r>
          <w:r>
            <w:rPr>
              <w:sz w:val="24"/>
              <w:szCs w:val="24"/>
            </w:rPr>
            <w:fldChar w:fldCharType="separate"/>
          </w:r>
          <w:r>
            <w:rPr>
              <w:sz w:val="24"/>
              <w:szCs w:val="24"/>
            </w:rPr>
            <w:t>23</w:t>
          </w:r>
          <w:r>
            <w:rPr>
              <w:sz w:val="24"/>
              <w:szCs w:val="24"/>
            </w:rPr>
            <w:fldChar w:fldCharType="end"/>
          </w:r>
          <w:r>
            <w:rPr>
              <w:sz w:val="24"/>
              <w:szCs w:val="24"/>
            </w:rPr>
            <w:fldChar w:fldCharType="end"/>
          </w:r>
        </w:p>
        <w:p>
          <w:r>
            <w:fldChar w:fldCharType="end"/>
          </w:r>
        </w:p>
      </w:sdtContent>
    </w:sdt>
    <w:p>
      <w:pPr>
        <w:ind w:firstLine="420" w:firstLineChars="200"/>
        <w:jc w:val="center"/>
        <w:rPr>
          <w:szCs w:val="21"/>
        </w:rPr>
      </w:pPr>
    </w:p>
    <w:p>
      <w:pPr>
        <w:pStyle w:val="11"/>
        <w:spacing w:before="0" w:after="0"/>
        <w:jc w:val="center"/>
        <w:rPr>
          <w:rFonts w:eastAsia="仿宋_GB2312"/>
          <w:sz w:val="28"/>
          <w:szCs w:val="28"/>
        </w:rPr>
        <w:sectPr>
          <w:pgSz w:w="11906" w:h="16838"/>
          <w:pgMar w:top="1440" w:right="1800" w:bottom="1440" w:left="1800" w:header="851" w:footer="992" w:gutter="0"/>
          <w:cols w:space="425" w:num="1"/>
          <w:docGrid w:type="lines" w:linePitch="312" w:charSpace="0"/>
        </w:sectPr>
      </w:pPr>
    </w:p>
    <w:p/>
    <w:p>
      <w:pPr>
        <w:rPr>
          <w:rFonts w:eastAsia="仿宋_GB2312"/>
          <w:sz w:val="28"/>
          <w:szCs w:val="28"/>
        </w:rPr>
      </w:pPr>
    </w:p>
    <w:p>
      <w:pPr>
        <w:rPr>
          <w:rFonts w:eastAsia="仿宋_GB2312"/>
          <w:szCs w:val="21"/>
        </w:rPr>
      </w:pPr>
    </w:p>
    <w:p>
      <w:pPr>
        <w:rPr>
          <w:rFonts w:eastAsia="仿宋_GB2312"/>
          <w:szCs w:val="21"/>
        </w:rPr>
      </w:pPr>
    </w:p>
    <w:p>
      <w:pPr>
        <w:pStyle w:val="11"/>
        <w:spacing w:before="0" w:after="0"/>
        <w:jc w:val="center"/>
        <w:rPr>
          <w:rFonts w:eastAsia="黑体"/>
          <w:color w:val="000000"/>
        </w:rPr>
      </w:pPr>
      <w:r>
        <w:rPr>
          <w:rFonts w:eastAsia="仿宋_GB2312"/>
          <w:sz w:val="28"/>
          <w:szCs w:val="28"/>
        </w:rPr>
        <w:t>湘谊咨字[2019]第00</w:t>
      </w:r>
      <w:r>
        <w:rPr>
          <w:rFonts w:hint="eastAsia" w:eastAsia="仿宋_GB2312"/>
          <w:sz w:val="28"/>
          <w:szCs w:val="28"/>
        </w:rPr>
        <w:t>30</w:t>
      </w:r>
      <w:r>
        <w:rPr>
          <w:rFonts w:eastAsia="仿宋_GB2312"/>
          <w:sz w:val="28"/>
          <w:szCs w:val="28"/>
        </w:rPr>
        <w:t>号</w:t>
      </w:r>
    </w:p>
    <w:p/>
    <w:p/>
    <w:p>
      <w:pPr>
        <w:pStyle w:val="11"/>
        <w:spacing w:before="0" w:after="0"/>
        <w:jc w:val="center"/>
        <w:rPr>
          <w:rFonts w:eastAsia="方正小标宋_GBK"/>
          <w:b w:val="0"/>
          <w:color w:val="000000"/>
        </w:rPr>
      </w:pPr>
      <w:r>
        <w:rPr>
          <w:rFonts w:hAnsi="方正小标宋_GBK" w:eastAsia="方正小标宋_GBK"/>
          <w:b w:val="0"/>
          <w:color w:val="000000"/>
        </w:rPr>
        <w:t>衡阳县岘山镇人民政府</w:t>
      </w:r>
    </w:p>
    <w:p>
      <w:pPr>
        <w:pStyle w:val="11"/>
        <w:spacing w:before="0" w:after="0"/>
        <w:jc w:val="center"/>
        <w:rPr>
          <w:rFonts w:eastAsia="方正小标宋_GBK"/>
          <w:b w:val="0"/>
          <w:color w:val="000000"/>
        </w:rPr>
      </w:pPr>
      <w:r>
        <w:rPr>
          <w:rFonts w:eastAsia="方正小标宋_GBK"/>
          <w:b w:val="0"/>
          <w:color w:val="000000"/>
        </w:rPr>
        <w:t>2018</w:t>
      </w:r>
      <w:r>
        <w:rPr>
          <w:rFonts w:hAnsi="方正小标宋_GBK" w:eastAsia="方正小标宋_GBK"/>
          <w:b w:val="0"/>
          <w:color w:val="000000"/>
        </w:rPr>
        <w:t>年度部门整体支出绩效评价报告</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640" w:firstLineChars="200"/>
        <w:rPr>
          <w:rFonts w:eastAsia="仿宋_GB2312"/>
          <w:sz w:val="32"/>
          <w:szCs w:val="32"/>
          <w:highlight w:val="yellow"/>
        </w:rPr>
      </w:pPr>
      <w:r>
        <w:rPr>
          <w:rFonts w:hAnsi="仿宋_GB2312" w:eastAsia="仿宋_GB2312"/>
          <w:sz w:val="32"/>
          <w:szCs w:val="32"/>
        </w:rPr>
        <w:t>为进一步规范财政资金管理，强化绩效理念，提高预算单位责任意识，切实提高资金使用效益，根据《中共湖南省委办公厅</w:t>
      </w:r>
      <w:r>
        <w:rPr>
          <w:rFonts w:eastAsia="仿宋_GB2312"/>
          <w:sz w:val="32"/>
          <w:szCs w:val="32"/>
        </w:rPr>
        <w:t xml:space="preserve"> </w:t>
      </w:r>
      <w:r>
        <w:rPr>
          <w:rFonts w:hAnsi="仿宋_GB2312" w:eastAsia="仿宋_GB2312"/>
          <w:sz w:val="32"/>
          <w:szCs w:val="32"/>
        </w:rPr>
        <w:t>湖南省人民政府办公厅关于全面实施预算绩效管理的实施意见》（湘办发〔</w:t>
      </w:r>
      <w:r>
        <w:rPr>
          <w:rFonts w:eastAsia="仿宋_GB2312"/>
          <w:sz w:val="32"/>
          <w:szCs w:val="32"/>
        </w:rPr>
        <w:t>2019</w:t>
      </w:r>
      <w:r>
        <w:rPr>
          <w:rFonts w:hAnsi="仿宋_GB2312" w:eastAsia="仿宋_GB2312"/>
          <w:sz w:val="32"/>
          <w:szCs w:val="32"/>
        </w:rPr>
        <w:t>〕</w:t>
      </w:r>
      <w:r>
        <w:rPr>
          <w:rFonts w:eastAsia="仿宋_GB2312"/>
          <w:sz w:val="32"/>
          <w:szCs w:val="32"/>
        </w:rPr>
        <w:t>10</w:t>
      </w:r>
      <w:r>
        <w:rPr>
          <w:rFonts w:hAnsi="仿宋_GB2312" w:eastAsia="仿宋_GB2312"/>
          <w:sz w:val="32"/>
          <w:szCs w:val="32"/>
        </w:rPr>
        <w:t>号）、《衡阳市人民政府关于全面推行预算绩效管理实施意见》（衡政函〔</w:t>
      </w:r>
      <w:r>
        <w:rPr>
          <w:rFonts w:eastAsia="仿宋_GB2312"/>
          <w:sz w:val="32"/>
          <w:szCs w:val="32"/>
        </w:rPr>
        <w:t>2014</w:t>
      </w:r>
      <w:r>
        <w:rPr>
          <w:rFonts w:hAnsi="仿宋_GB2312" w:eastAsia="仿宋_GB2312"/>
          <w:sz w:val="32"/>
          <w:szCs w:val="32"/>
        </w:rPr>
        <w:t>〕</w:t>
      </w:r>
      <w:r>
        <w:rPr>
          <w:rFonts w:eastAsia="仿宋_GB2312"/>
          <w:sz w:val="32"/>
          <w:szCs w:val="32"/>
        </w:rPr>
        <w:t>73</w:t>
      </w:r>
      <w:r>
        <w:rPr>
          <w:rFonts w:hAnsi="仿宋_GB2312" w:eastAsia="仿宋_GB2312"/>
          <w:sz w:val="32"/>
          <w:szCs w:val="32"/>
        </w:rPr>
        <w:t>号）、《衡阳县人民政府关于全面推进预算绩效管理的实施意见》（蒸政发〔</w:t>
      </w:r>
      <w:r>
        <w:rPr>
          <w:rFonts w:eastAsia="仿宋_GB2312"/>
          <w:sz w:val="32"/>
          <w:szCs w:val="32"/>
        </w:rPr>
        <w:t>2015</w:t>
      </w:r>
      <w:r>
        <w:rPr>
          <w:rFonts w:hAnsi="仿宋_GB2312" w:eastAsia="仿宋_GB2312"/>
          <w:sz w:val="32"/>
          <w:szCs w:val="32"/>
        </w:rPr>
        <w:t>〕</w:t>
      </w:r>
      <w:r>
        <w:rPr>
          <w:rFonts w:eastAsia="仿宋_GB2312"/>
          <w:sz w:val="32"/>
          <w:szCs w:val="32"/>
        </w:rPr>
        <w:t>12</w:t>
      </w:r>
      <w:r>
        <w:rPr>
          <w:rFonts w:hAnsi="仿宋_GB2312" w:eastAsia="仿宋_GB2312"/>
          <w:sz w:val="32"/>
          <w:szCs w:val="32"/>
        </w:rPr>
        <w:t>号）、《衡阳县财政局关于开展</w:t>
      </w:r>
      <w:r>
        <w:rPr>
          <w:rFonts w:eastAsia="仿宋_GB2312"/>
          <w:sz w:val="32"/>
          <w:szCs w:val="32"/>
        </w:rPr>
        <w:t>2018</w:t>
      </w:r>
      <w:r>
        <w:rPr>
          <w:rFonts w:hAnsi="仿宋_GB2312" w:eastAsia="仿宋_GB2312"/>
          <w:sz w:val="32"/>
          <w:szCs w:val="32"/>
        </w:rPr>
        <w:t>年度绩效评价工作的通知》（蒸财〔</w:t>
      </w:r>
      <w:r>
        <w:rPr>
          <w:rFonts w:eastAsia="仿宋_GB2312"/>
          <w:sz w:val="32"/>
          <w:szCs w:val="32"/>
        </w:rPr>
        <w:t>2019</w:t>
      </w:r>
      <w:r>
        <w:rPr>
          <w:rFonts w:hAnsi="仿宋_GB2312" w:eastAsia="仿宋_GB2312"/>
          <w:sz w:val="32"/>
          <w:szCs w:val="32"/>
        </w:rPr>
        <w:t>〕</w:t>
      </w:r>
      <w:r>
        <w:rPr>
          <w:rFonts w:eastAsia="仿宋_GB2312"/>
          <w:sz w:val="32"/>
          <w:szCs w:val="32"/>
        </w:rPr>
        <w:t>110</w:t>
      </w:r>
      <w:r>
        <w:rPr>
          <w:rFonts w:hAnsi="仿宋_GB2312" w:eastAsia="仿宋_GB2312"/>
          <w:sz w:val="32"/>
          <w:szCs w:val="32"/>
        </w:rPr>
        <w:t>号）等文件精神，湖南友谊联合会计师事务所（普通合伙）接受衡阳县财政局的委托，于</w:t>
      </w:r>
      <w:r>
        <w:rPr>
          <w:rFonts w:eastAsia="仿宋_GB2312"/>
          <w:sz w:val="32"/>
          <w:szCs w:val="32"/>
        </w:rPr>
        <w:t>2019</w:t>
      </w:r>
      <w:r>
        <w:rPr>
          <w:rFonts w:hAnsi="仿宋_GB2312" w:eastAsia="仿宋_GB2312"/>
          <w:sz w:val="32"/>
          <w:szCs w:val="32"/>
        </w:rPr>
        <w:t>年</w:t>
      </w:r>
      <w:r>
        <w:rPr>
          <w:rFonts w:eastAsia="仿宋_GB2312"/>
          <w:sz w:val="32"/>
          <w:szCs w:val="32"/>
        </w:rPr>
        <w:t>11</w:t>
      </w:r>
      <w:r>
        <w:rPr>
          <w:rFonts w:hAnsi="仿宋_GB2312" w:eastAsia="仿宋_GB2312"/>
          <w:sz w:val="32"/>
          <w:szCs w:val="32"/>
        </w:rPr>
        <w:t>月对衡阳县岘山镇人民政府（以下简称</w:t>
      </w:r>
      <w:r>
        <w:rPr>
          <w:rFonts w:eastAsia="仿宋_GB2312"/>
          <w:sz w:val="32"/>
          <w:szCs w:val="32"/>
        </w:rPr>
        <w:t>“</w:t>
      </w:r>
      <w:r>
        <w:rPr>
          <w:rFonts w:hAnsi="仿宋_GB2312" w:eastAsia="仿宋_GB2312"/>
          <w:sz w:val="32"/>
          <w:szCs w:val="32"/>
        </w:rPr>
        <w:t>岘山镇政府</w:t>
      </w:r>
      <w:r>
        <w:rPr>
          <w:rFonts w:eastAsia="仿宋_GB2312"/>
          <w:sz w:val="32"/>
          <w:szCs w:val="32"/>
        </w:rPr>
        <w:t>”</w:t>
      </w:r>
      <w:r>
        <w:rPr>
          <w:rFonts w:hAnsi="仿宋_GB2312" w:eastAsia="仿宋_GB2312"/>
          <w:sz w:val="32"/>
          <w:szCs w:val="32"/>
        </w:rPr>
        <w:t>）</w:t>
      </w:r>
      <w:r>
        <w:rPr>
          <w:rFonts w:eastAsia="仿宋_GB2312"/>
          <w:sz w:val="32"/>
          <w:szCs w:val="32"/>
        </w:rPr>
        <w:t>2018</w:t>
      </w:r>
      <w:r>
        <w:rPr>
          <w:rFonts w:hAnsi="仿宋_GB2312" w:eastAsia="仿宋_GB2312"/>
          <w:sz w:val="32"/>
          <w:szCs w:val="32"/>
        </w:rPr>
        <w:t>年度部门整体支出的绩效情况进行了评价。</w:t>
      </w:r>
    </w:p>
    <w:p>
      <w:pPr>
        <w:spacing w:line="360" w:lineRule="auto"/>
        <w:ind w:firstLine="643" w:firstLineChars="200"/>
        <w:outlineLvl w:val="0"/>
        <w:rPr>
          <w:rFonts w:eastAsia="黑体"/>
          <w:b/>
          <w:bCs/>
          <w:sz w:val="32"/>
          <w:szCs w:val="32"/>
        </w:rPr>
      </w:pPr>
    </w:p>
    <w:p>
      <w:pPr>
        <w:spacing w:line="360" w:lineRule="auto"/>
        <w:ind w:firstLine="643" w:firstLineChars="200"/>
        <w:outlineLvl w:val="0"/>
        <w:rPr>
          <w:rFonts w:eastAsia="黑体"/>
          <w:b/>
          <w:bCs/>
          <w:sz w:val="32"/>
          <w:szCs w:val="32"/>
        </w:rPr>
      </w:pPr>
      <w:bookmarkStart w:id="4" w:name="_Toc25938871"/>
      <w:r>
        <w:rPr>
          <w:rFonts w:hAnsi="黑体" w:eastAsia="黑体"/>
          <w:b/>
          <w:bCs/>
          <w:sz w:val="32"/>
          <w:szCs w:val="32"/>
        </w:rPr>
        <w:t>一、部门概况</w:t>
      </w:r>
      <w:bookmarkEnd w:id="4"/>
    </w:p>
    <w:p>
      <w:pPr>
        <w:spacing w:line="360" w:lineRule="auto"/>
        <w:ind w:firstLine="643" w:firstLineChars="200"/>
        <w:outlineLvl w:val="1"/>
        <w:rPr>
          <w:rFonts w:eastAsia="楷体"/>
          <w:b/>
          <w:bCs/>
          <w:sz w:val="32"/>
          <w:szCs w:val="32"/>
        </w:rPr>
      </w:pPr>
      <w:bookmarkStart w:id="5" w:name="_Toc25938872"/>
      <w:r>
        <w:rPr>
          <w:rFonts w:hAnsi="楷体" w:eastAsia="楷体"/>
          <w:b/>
          <w:bCs/>
          <w:sz w:val="32"/>
          <w:szCs w:val="32"/>
        </w:rPr>
        <w:t>（一）部门机构设置及在职人员情况</w:t>
      </w:r>
      <w:bookmarkEnd w:id="5"/>
    </w:p>
    <w:p>
      <w:pPr>
        <w:spacing w:line="360" w:lineRule="auto"/>
        <w:ind w:firstLine="640" w:firstLineChars="200"/>
        <w:rPr>
          <w:rFonts w:eastAsia="仿宋_GB2312"/>
          <w:sz w:val="32"/>
          <w:szCs w:val="32"/>
        </w:rPr>
      </w:pPr>
      <w:r>
        <w:rPr>
          <w:rFonts w:hAnsi="仿宋_GB2312" w:eastAsia="仿宋_GB2312"/>
          <w:sz w:val="32"/>
          <w:szCs w:val="32"/>
        </w:rPr>
        <w:t>岘山镇位于衡阳县西南部，东接西渡，南抵衡南，西至井头，北临演陂。全境西高东低，武水河穿境而过，总面积</w:t>
      </w:r>
      <w:r>
        <w:rPr>
          <w:rFonts w:eastAsia="仿宋_GB2312"/>
          <w:sz w:val="32"/>
          <w:szCs w:val="32"/>
        </w:rPr>
        <w:t>156.61</w:t>
      </w:r>
      <w:r>
        <w:rPr>
          <w:rFonts w:hAnsi="仿宋_GB2312" w:eastAsia="仿宋_GB2312"/>
          <w:sz w:val="32"/>
          <w:szCs w:val="32"/>
        </w:rPr>
        <w:t>平方公里，南北长</w:t>
      </w:r>
      <w:r>
        <w:rPr>
          <w:rFonts w:eastAsia="仿宋_GB2312"/>
          <w:sz w:val="32"/>
          <w:szCs w:val="32"/>
        </w:rPr>
        <w:t>17</w:t>
      </w:r>
      <w:r>
        <w:rPr>
          <w:rFonts w:hAnsi="仿宋_GB2312" w:eastAsia="仿宋_GB2312"/>
          <w:sz w:val="32"/>
          <w:szCs w:val="32"/>
        </w:rPr>
        <w:t>公里，东西宽</w:t>
      </w:r>
      <w:r>
        <w:rPr>
          <w:rFonts w:eastAsia="仿宋_GB2312"/>
          <w:sz w:val="32"/>
          <w:szCs w:val="32"/>
        </w:rPr>
        <w:t>27.5</w:t>
      </w:r>
      <w:r>
        <w:rPr>
          <w:rFonts w:hAnsi="仿宋_GB2312" w:eastAsia="仿宋_GB2312"/>
          <w:sz w:val="32"/>
          <w:szCs w:val="32"/>
        </w:rPr>
        <w:t>公里，辖</w:t>
      </w:r>
      <w:r>
        <w:rPr>
          <w:rFonts w:eastAsia="仿宋_GB2312"/>
          <w:sz w:val="32"/>
          <w:szCs w:val="32"/>
        </w:rPr>
        <w:t>28</w:t>
      </w:r>
      <w:r>
        <w:rPr>
          <w:rFonts w:hAnsi="仿宋_GB2312" w:eastAsia="仿宋_GB2312"/>
          <w:sz w:val="32"/>
          <w:szCs w:val="32"/>
        </w:rPr>
        <w:t>个行政村、</w:t>
      </w:r>
      <w:r>
        <w:rPr>
          <w:rFonts w:eastAsia="仿宋_GB2312"/>
          <w:sz w:val="32"/>
          <w:szCs w:val="32"/>
        </w:rPr>
        <w:t>2</w:t>
      </w:r>
      <w:r>
        <w:rPr>
          <w:rFonts w:hAnsi="仿宋_GB2312" w:eastAsia="仿宋_GB2312"/>
          <w:sz w:val="32"/>
          <w:szCs w:val="32"/>
        </w:rPr>
        <w:t>个居委会，</w:t>
      </w:r>
      <w:r>
        <w:rPr>
          <w:rFonts w:eastAsia="仿宋_GB2312"/>
          <w:sz w:val="32"/>
          <w:szCs w:val="32"/>
        </w:rPr>
        <w:t>658</w:t>
      </w:r>
      <w:r>
        <w:rPr>
          <w:rFonts w:hAnsi="仿宋_GB2312" w:eastAsia="仿宋_GB2312"/>
          <w:sz w:val="32"/>
          <w:szCs w:val="32"/>
        </w:rPr>
        <w:t>个村（居）民小组，总人口</w:t>
      </w:r>
      <w:r>
        <w:rPr>
          <w:rFonts w:eastAsia="仿宋_GB2312"/>
          <w:sz w:val="32"/>
          <w:szCs w:val="32"/>
        </w:rPr>
        <w:t>67381</w:t>
      </w:r>
      <w:r>
        <w:rPr>
          <w:rFonts w:hAnsi="仿宋_GB2312" w:eastAsia="仿宋_GB2312"/>
          <w:sz w:val="32"/>
          <w:szCs w:val="32"/>
        </w:rPr>
        <w:t>人，总户数</w:t>
      </w:r>
      <w:r>
        <w:rPr>
          <w:rFonts w:eastAsia="仿宋_GB2312"/>
          <w:sz w:val="32"/>
          <w:szCs w:val="32"/>
        </w:rPr>
        <w:t>19620</w:t>
      </w:r>
      <w:r>
        <w:rPr>
          <w:rFonts w:hAnsi="仿宋_GB2312" w:eastAsia="仿宋_GB2312"/>
          <w:sz w:val="32"/>
          <w:szCs w:val="32"/>
        </w:rPr>
        <w:t>户，耕地面积</w:t>
      </w:r>
      <w:r>
        <w:rPr>
          <w:rFonts w:eastAsia="仿宋_GB2312"/>
          <w:sz w:val="32"/>
          <w:szCs w:val="32"/>
        </w:rPr>
        <w:t>55110</w:t>
      </w:r>
      <w:r>
        <w:rPr>
          <w:rFonts w:hAnsi="仿宋_GB2312" w:eastAsia="仿宋_GB2312"/>
          <w:sz w:val="32"/>
          <w:szCs w:val="32"/>
        </w:rPr>
        <w:t>亩。</w:t>
      </w:r>
    </w:p>
    <w:p>
      <w:pPr>
        <w:spacing w:line="360" w:lineRule="auto"/>
        <w:ind w:firstLine="640" w:firstLineChars="200"/>
        <w:rPr>
          <w:rFonts w:eastAsia="仿宋_GB2312"/>
          <w:sz w:val="32"/>
          <w:szCs w:val="32"/>
        </w:rPr>
      </w:pPr>
      <w:r>
        <w:rPr>
          <w:rFonts w:hAnsi="仿宋_GB2312" w:eastAsia="仿宋_GB2312"/>
          <w:sz w:val="32"/>
          <w:szCs w:val="32"/>
        </w:rPr>
        <w:t>岘山镇政府系衡阳县人民政府下辖的一个乡镇行政单位，级别为正科级。内设党政综合办公室（加挂统计管理办公室和民政事务办公室牌子）、经济发展办公室、食品药品安全和安全生产监管办公室、综合治理办公室、人口和计划生育办公室；另设</w:t>
      </w:r>
      <w:r>
        <w:rPr>
          <w:rFonts w:eastAsia="仿宋_GB2312"/>
          <w:sz w:val="32"/>
          <w:szCs w:val="32"/>
        </w:rPr>
        <w:t>9</w:t>
      </w:r>
      <w:r>
        <w:rPr>
          <w:rFonts w:hAnsi="仿宋_GB2312" w:eastAsia="仿宋_GB2312"/>
          <w:sz w:val="32"/>
          <w:szCs w:val="32"/>
        </w:rPr>
        <w:t>个事业机构，即农机服务站、农技服务站、动物防检服务站、水利管理服务站、文化综合服务站、人口与计划生育服务站、农村经营管理站、民营经济和信息化管理服务站、林业管理站。</w:t>
      </w:r>
    </w:p>
    <w:p>
      <w:pPr>
        <w:spacing w:line="360" w:lineRule="auto"/>
        <w:ind w:firstLine="640" w:firstLineChars="200"/>
        <w:rPr>
          <w:rFonts w:eastAsia="仿宋_GB2312"/>
          <w:sz w:val="32"/>
          <w:szCs w:val="32"/>
        </w:rPr>
      </w:pPr>
      <w:r>
        <w:rPr>
          <w:rFonts w:hAnsi="仿宋_GB2312" w:eastAsia="仿宋_GB2312"/>
          <w:sz w:val="32"/>
          <w:szCs w:val="32"/>
        </w:rPr>
        <w:t>岘山镇政府</w:t>
      </w:r>
      <w:r>
        <w:rPr>
          <w:rFonts w:eastAsia="仿宋_GB2312"/>
          <w:sz w:val="32"/>
          <w:szCs w:val="32"/>
        </w:rPr>
        <w:t>2018</w:t>
      </w:r>
      <w:r>
        <w:rPr>
          <w:rFonts w:hAnsi="仿宋_GB2312" w:eastAsia="仿宋_GB2312"/>
          <w:sz w:val="32"/>
          <w:szCs w:val="32"/>
        </w:rPr>
        <w:t>年编制数</w:t>
      </w:r>
      <w:r>
        <w:rPr>
          <w:rFonts w:eastAsia="仿宋_GB2312"/>
          <w:sz w:val="32"/>
          <w:szCs w:val="32"/>
        </w:rPr>
        <w:t>143</w:t>
      </w:r>
      <w:r>
        <w:rPr>
          <w:rFonts w:hAnsi="仿宋_GB2312" w:eastAsia="仿宋_GB2312"/>
          <w:sz w:val="32"/>
          <w:szCs w:val="32"/>
        </w:rPr>
        <w:t>个，其中镇机关行政编制</w:t>
      </w:r>
      <w:r>
        <w:rPr>
          <w:rFonts w:eastAsia="仿宋_GB2312"/>
          <w:sz w:val="32"/>
          <w:szCs w:val="32"/>
        </w:rPr>
        <w:t>52</w:t>
      </w:r>
      <w:r>
        <w:rPr>
          <w:rFonts w:hAnsi="仿宋_GB2312" w:eastAsia="仿宋_GB2312"/>
          <w:sz w:val="32"/>
          <w:szCs w:val="32"/>
        </w:rPr>
        <w:t>个，事业编制</w:t>
      </w:r>
      <w:r>
        <w:rPr>
          <w:rFonts w:eastAsia="仿宋_GB2312"/>
          <w:sz w:val="32"/>
          <w:szCs w:val="32"/>
        </w:rPr>
        <w:t>91</w:t>
      </w:r>
      <w:r>
        <w:rPr>
          <w:rFonts w:hAnsi="仿宋_GB2312" w:eastAsia="仿宋_GB2312"/>
          <w:sz w:val="32"/>
          <w:szCs w:val="32"/>
        </w:rPr>
        <w:t>个；实际在职人数</w:t>
      </w:r>
      <w:r>
        <w:rPr>
          <w:rFonts w:eastAsia="仿宋_GB2312"/>
          <w:sz w:val="32"/>
          <w:szCs w:val="32"/>
        </w:rPr>
        <w:t>137</w:t>
      </w:r>
      <w:r>
        <w:rPr>
          <w:rFonts w:hAnsi="仿宋_GB2312" w:eastAsia="仿宋_GB2312"/>
          <w:sz w:val="32"/>
          <w:szCs w:val="32"/>
        </w:rPr>
        <w:t>人，其中局机关</w:t>
      </w:r>
      <w:r>
        <w:rPr>
          <w:rFonts w:eastAsia="仿宋_GB2312"/>
          <w:sz w:val="32"/>
          <w:szCs w:val="32"/>
        </w:rPr>
        <w:t>36</w:t>
      </w:r>
      <w:r>
        <w:rPr>
          <w:rFonts w:hAnsi="仿宋_GB2312" w:eastAsia="仿宋_GB2312"/>
          <w:sz w:val="32"/>
          <w:szCs w:val="32"/>
        </w:rPr>
        <w:t>人，站所在岗人员</w:t>
      </w:r>
      <w:r>
        <w:rPr>
          <w:rFonts w:eastAsia="仿宋_GB2312"/>
          <w:sz w:val="32"/>
          <w:szCs w:val="32"/>
        </w:rPr>
        <w:t>62</w:t>
      </w:r>
      <w:r>
        <w:rPr>
          <w:rFonts w:hAnsi="仿宋_GB2312" w:eastAsia="仿宋_GB2312"/>
          <w:sz w:val="32"/>
          <w:szCs w:val="32"/>
        </w:rPr>
        <w:t>人，临时人员</w:t>
      </w:r>
      <w:r>
        <w:rPr>
          <w:rFonts w:eastAsia="仿宋_GB2312"/>
          <w:sz w:val="32"/>
          <w:szCs w:val="32"/>
        </w:rPr>
        <w:t>4</w:t>
      </w:r>
      <w:r>
        <w:rPr>
          <w:rFonts w:hAnsi="仿宋_GB2312" w:eastAsia="仿宋_GB2312"/>
          <w:sz w:val="32"/>
          <w:szCs w:val="32"/>
        </w:rPr>
        <w:t>人，停职留薪人员</w:t>
      </w:r>
      <w:r>
        <w:rPr>
          <w:rFonts w:eastAsia="仿宋_GB2312"/>
          <w:sz w:val="32"/>
          <w:szCs w:val="32"/>
        </w:rPr>
        <w:t>35</w:t>
      </w:r>
      <w:r>
        <w:rPr>
          <w:rFonts w:hAnsi="仿宋_GB2312" w:eastAsia="仿宋_GB2312"/>
          <w:sz w:val="32"/>
          <w:szCs w:val="32"/>
        </w:rPr>
        <w:t>人。具体情况见下表：</w:t>
      </w:r>
    </w:p>
    <w:tbl>
      <w:tblPr>
        <w:tblStyle w:val="14"/>
        <w:tblW w:w="4998" w:type="pct"/>
        <w:tblInd w:w="0" w:type="dxa"/>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autofit"/>
        <w:tblCellMar>
          <w:top w:w="0" w:type="dxa"/>
          <w:left w:w="0" w:type="dxa"/>
          <w:bottom w:w="0" w:type="dxa"/>
          <w:right w:w="0" w:type="dxa"/>
        </w:tblCellMar>
      </w:tblPr>
      <w:tblGrid>
        <w:gridCol w:w="3404"/>
        <w:gridCol w:w="555"/>
        <w:gridCol w:w="555"/>
        <w:gridCol w:w="555"/>
        <w:gridCol w:w="1076"/>
        <w:gridCol w:w="1077"/>
        <w:gridCol w:w="555"/>
        <w:gridCol w:w="556"/>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blHeader/>
        </w:trPr>
        <w:tc>
          <w:tcPr>
            <w:tcW w:w="2041" w:type="pct"/>
            <w:vMerge w:val="restart"/>
            <w:tcBorders>
              <w:tl2br w:val="nil"/>
              <w:tr2bl w:val="nil"/>
            </w:tcBorders>
            <w:shd w:val="clear" w:color="auto" w:fill="auto"/>
            <w:tcMar>
              <w:top w:w="15" w:type="dxa"/>
              <w:left w:w="15" w:type="dxa"/>
              <w:right w:w="15" w:type="dxa"/>
            </w:tcMar>
            <w:vAlign w:val="center"/>
          </w:tcPr>
          <w:p>
            <w:pPr>
              <w:widowControl/>
              <w:jc w:val="center"/>
              <w:textAlignment w:val="center"/>
              <w:rPr>
                <w:b/>
                <w:color w:val="000000"/>
                <w:szCs w:val="21"/>
              </w:rPr>
            </w:pPr>
            <w:r>
              <w:rPr>
                <w:rFonts w:hAnsi="宋体"/>
                <w:b/>
                <w:color w:val="000000"/>
                <w:kern w:val="0"/>
                <w:szCs w:val="21"/>
              </w:rPr>
              <w:t>部门</w:t>
            </w:r>
          </w:p>
        </w:tc>
        <w:tc>
          <w:tcPr>
            <w:tcW w:w="666" w:type="pct"/>
            <w:gridSpan w:val="2"/>
            <w:tcBorders>
              <w:tl2br w:val="nil"/>
              <w:tr2bl w:val="nil"/>
            </w:tcBorders>
            <w:shd w:val="clear" w:color="auto" w:fill="auto"/>
            <w:tcMar>
              <w:top w:w="15" w:type="dxa"/>
              <w:left w:w="15" w:type="dxa"/>
              <w:right w:w="15" w:type="dxa"/>
            </w:tcMar>
            <w:vAlign w:val="center"/>
          </w:tcPr>
          <w:p>
            <w:pPr>
              <w:widowControl/>
              <w:jc w:val="center"/>
              <w:textAlignment w:val="center"/>
              <w:rPr>
                <w:b/>
                <w:color w:val="000000"/>
                <w:szCs w:val="21"/>
              </w:rPr>
            </w:pPr>
            <w:r>
              <w:rPr>
                <w:rFonts w:hAnsi="宋体"/>
                <w:b/>
                <w:color w:val="000000"/>
                <w:kern w:val="0"/>
                <w:szCs w:val="21"/>
              </w:rPr>
              <w:t>编制人数</w:t>
            </w:r>
          </w:p>
        </w:tc>
        <w:tc>
          <w:tcPr>
            <w:tcW w:w="1624" w:type="pct"/>
            <w:gridSpan w:val="3"/>
            <w:tcBorders>
              <w:tl2br w:val="nil"/>
              <w:tr2bl w:val="nil"/>
            </w:tcBorders>
            <w:shd w:val="clear" w:color="auto" w:fill="auto"/>
            <w:tcMar>
              <w:top w:w="15" w:type="dxa"/>
              <w:left w:w="15" w:type="dxa"/>
              <w:right w:w="15" w:type="dxa"/>
            </w:tcMar>
            <w:vAlign w:val="center"/>
          </w:tcPr>
          <w:p>
            <w:pPr>
              <w:widowControl/>
              <w:jc w:val="center"/>
              <w:textAlignment w:val="center"/>
              <w:rPr>
                <w:b/>
                <w:color w:val="000000"/>
                <w:szCs w:val="21"/>
              </w:rPr>
            </w:pPr>
            <w:r>
              <w:rPr>
                <w:rFonts w:hAnsi="宋体"/>
                <w:b/>
                <w:color w:val="000000"/>
                <w:kern w:val="0"/>
                <w:szCs w:val="21"/>
              </w:rPr>
              <w:t>实有在职人数</w:t>
            </w:r>
          </w:p>
        </w:tc>
        <w:tc>
          <w:tcPr>
            <w:tcW w:w="666" w:type="pct"/>
            <w:gridSpan w:val="2"/>
            <w:tcBorders>
              <w:tl2br w:val="nil"/>
              <w:tr2bl w:val="nil"/>
            </w:tcBorders>
            <w:shd w:val="clear" w:color="auto" w:fill="auto"/>
            <w:tcMar>
              <w:top w:w="15" w:type="dxa"/>
              <w:left w:w="15" w:type="dxa"/>
              <w:right w:w="15" w:type="dxa"/>
            </w:tcMar>
            <w:vAlign w:val="center"/>
          </w:tcPr>
          <w:p>
            <w:pPr>
              <w:widowControl/>
              <w:jc w:val="center"/>
              <w:textAlignment w:val="center"/>
              <w:rPr>
                <w:b/>
                <w:color w:val="000000"/>
                <w:kern w:val="0"/>
                <w:szCs w:val="21"/>
              </w:rPr>
            </w:pPr>
            <w:r>
              <w:rPr>
                <w:rFonts w:hAnsi="宋体"/>
                <w:b/>
                <w:color w:val="000000"/>
                <w:kern w:val="0"/>
                <w:szCs w:val="21"/>
              </w:rPr>
              <w:t>备注</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5" w:hRule="atLeast"/>
          <w:tblHeader/>
        </w:trPr>
        <w:tc>
          <w:tcPr>
            <w:tcW w:w="2041" w:type="pct"/>
            <w:vMerge w:val="continue"/>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szCs w:val="21"/>
              </w:rPr>
            </w:pPr>
            <w:r>
              <w:rPr>
                <w:rFonts w:hAnsi="宋体"/>
                <w:b/>
                <w:color w:val="000000"/>
                <w:kern w:val="0"/>
                <w:szCs w:val="21"/>
              </w:rPr>
              <w:t>行政</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szCs w:val="21"/>
              </w:rPr>
            </w:pPr>
            <w:r>
              <w:rPr>
                <w:rFonts w:hAnsi="宋体"/>
                <w:b/>
                <w:color w:val="000000"/>
                <w:kern w:val="0"/>
                <w:szCs w:val="21"/>
              </w:rPr>
              <w:t>事业</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szCs w:val="21"/>
              </w:rPr>
            </w:pPr>
            <w:r>
              <w:rPr>
                <w:rFonts w:hAnsi="宋体"/>
                <w:b/>
                <w:color w:val="000000"/>
                <w:kern w:val="0"/>
                <w:szCs w:val="21"/>
              </w:rPr>
              <w:t>在岗</w:t>
            </w:r>
          </w:p>
        </w:tc>
        <w:tc>
          <w:tcPr>
            <w:tcW w:w="645"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szCs w:val="21"/>
              </w:rPr>
            </w:pPr>
            <w:r>
              <w:rPr>
                <w:rFonts w:hAnsi="宋体"/>
                <w:b/>
                <w:color w:val="000000"/>
                <w:kern w:val="0"/>
                <w:szCs w:val="21"/>
              </w:rPr>
              <w:t>停薪留职</w:t>
            </w:r>
          </w:p>
        </w:tc>
        <w:tc>
          <w:tcPr>
            <w:tcW w:w="646"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szCs w:val="21"/>
              </w:rPr>
            </w:pPr>
            <w:r>
              <w:rPr>
                <w:rFonts w:hAnsi="宋体"/>
                <w:b/>
                <w:color w:val="000000"/>
                <w:kern w:val="0"/>
                <w:szCs w:val="21"/>
              </w:rPr>
              <w:t>临时人员</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kern w:val="0"/>
                <w:szCs w:val="21"/>
              </w:rPr>
            </w:pPr>
            <w:r>
              <w:rPr>
                <w:rFonts w:hAnsi="宋体"/>
                <w:b/>
                <w:color w:val="000000"/>
                <w:kern w:val="0"/>
                <w:szCs w:val="21"/>
              </w:rPr>
              <w:t>超编</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kern w:val="0"/>
                <w:szCs w:val="21"/>
              </w:rPr>
            </w:pPr>
            <w:r>
              <w:rPr>
                <w:rFonts w:hAnsi="宋体"/>
                <w:b/>
                <w:color w:val="000000"/>
                <w:kern w:val="0"/>
                <w:szCs w:val="21"/>
              </w:rPr>
              <w:t>缺编</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041" w:type="pct"/>
            <w:tcBorders>
              <w:tl2br w:val="nil"/>
              <w:tr2bl w:val="nil"/>
            </w:tcBorders>
            <w:shd w:val="clear" w:color="auto" w:fill="auto"/>
            <w:tcMar>
              <w:top w:w="15" w:type="dxa"/>
              <w:left w:w="15" w:type="dxa"/>
              <w:right w:w="15" w:type="dxa"/>
            </w:tcMar>
            <w:vAlign w:val="center"/>
          </w:tcPr>
          <w:p>
            <w:pPr>
              <w:widowControl/>
              <w:textAlignment w:val="center"/>
              <w:rPr>
                <w:color w:val="000000"/>
                <w:szCs w:val="21"/>
              </w:rPr>
            </w:pPr>
            <w:r>
              <w:rPr>
                <w:rFonts w:hAnsi="宋体"/>
                <w:color w:val="000000"/>
                <w:kern w:val="0"/>
                <w:szCs w:val="21"/>
              </w:rPr>
              <w:t>岘山镇行政人员</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52</w:t>
            </w: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36</w:t>
            </w:r>
          </w:p>
        </w:tc>
        <w:tc>
          <w:tcPr>
            <w:tcW w:w="645"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646"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4</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kern w:val="0"/>
                <w:szCs w:val="21"/>
              </w:rPr>
            </w:pPr>
            <w:r>
              <w:rPr>
                <w:color w:val="000000"/>
                <w:kern w:val="0"/>
                <w:szCs w:val="21"/>
              </w:rPr>
              <w:t>16</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041" w:type="pct"/>
            <w:tcBorders>
              <w:tl2br w:val="nil"/>
              <w:tr2bl w:val="nil"/>
            </w:tcBorders>
            <w:shd w:val="clear" w:color="auto" w:fill="auto"/>
            <w:tcMar>
              <w:top w:w="15" w:type="dxa"/>
              <w:left w:w="15" w:type="dxa"/>
              <w:right w:w="15" w:type="dxa"/>
            </w:tcMar>
            <w:vAlign w:val="center"/>
          </w:tcPr>
          <w:p>
            <w:pPr>
              <w:widowControl/>
              <w:textAlignment w:val="center"/>
              <w:rPr>
                <w:color w:val="000000"/>
                <w:szCs w:val="21"/>
              </w:rPr>
            </w:pPr>
            <w:r>
              <w:rPr>
                <w:rFonts w:hAnsi="宋体"/>
                <w:color w:val="000000"/>
                <w:kern w:val="0"/>
                <w:szCs w:val="21"/>
              </w:rPr>
              <w:t>农机服务站</w:t>
            </w: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8</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7</w:t>
            </w:r>
          </w:p>
        </w:tc>
        <w:tc>
          <w:tcPr>
            <w:tcW w:w="645"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4</w:t>
            </w:r>
          </w:p>
        </w:tc>
        <w:tc>
          <w:tcPr>
            <w:tcW w:w="646"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r>
              <w:rPr>
                <w:color w:val="000000"/>
                <w:szCs w:val="21"/>
              </w:rPr>
              <w:t>3</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041" w:type="pct"/>
            <w:tcBorders>
              <w:tl2br w:val="nil"/>
              <w:tr2bl w:val="nil"/>
            </w:tcBorders>
            <w:shd w:val="clear" w:color="auto" w:fill="auto"/>
            <w:tcMar>
              <w:top w:w="15" w:type="dxa"/>
              <w:left w:w="15" w:type="dxa"/>
              <w:right w:w="15" w:type="dxa"/>
            </w:tcMar>
            <w:vAlign w:val="center"/>
          </w:tcPr>
          <w:p>
            <w:pPr>
              <w:widowControl/>
              <w:textAlignment w:val="center"/>
              <w:rPr>
                <w:color w:val="000000"/>
                <w:szCs w:val="21"/>
              </w:rPr>
            </w:pPr>
            <w:r>
              <w:rPr>
                <w:rFonts w:hAnsi="宋体"/>
                <w:color w:val="000000"/>
                <w:kern w:val="0"/>
                <w:szCs w:val="21"/>
              </w:rPr>
              <w:t>农技服务站</w:t>
            </w: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16</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8</w:t>
            </w:r>
          </w:p>
        </w:tc>
        <w:tc>
          <w:tcPr>
            <w:tcW w:w="645"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5</w:t>
            </w:r>
          </w:p>
        </w:tc>
        <w:tc>
          <w:tcPr>
            <w:tcW w:w="646"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r>
              <w:rPr>
                <w:color w:val="000000"/>
                <w:szCs w:val="21"/>
              </w:rPr>
              <w:t>3</w:t>
            </w: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041" w:type="pct"/>
            <w:tcBorders>
              <w:tl2br w:val="nil"/>
              <w:tr2bl w:val="nil"/>
            </w:tcBorders>
            <w:shd w:val="clear" w:color="auto" w:fill="auto"/>
            <w:tcMar>
              <w:top w:w="15" w:type="dxa"/>
              <w:left w:w="15" w:type="dxa"/>
              <w:right w:w="15" w:type="dxa"/>
            </w:tcMar>
            <w:vAlign w:val="center"/>
          </w:tcPr>
          <w:p>
            <w:pPr>
              <w:widowControl/>
              <w:textAlignment w:val="center"/>
              <w:rPr>
                <w:color w:val="000000"/>
                <w:szCs w:val="21"/>
              </w:rPr>
            </w:pPr>
            <w:r>
              <w:rPr>
                <w:rFonts w:hAnsi="宋体"/>
                <w:color w:val="000000"/>
                <w:kern w:val="0"/>
                <w:szCs w:val="21"/>
              </w:rPr>
              <w:t>动物防检服务站</w:t>
            </w: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11</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7</w:t>
            </w:r>
          </w:p>
        </w:tc>
        <w:tc>
          <w:tcPr>
            <w:tcW w:w="645"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2</w:t>
            </w:r>
          </w:p>
        </w:tc>
        <w:tc>
          <w:tcPr>
            <w:tcW w:w="646"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r>
              <w:rPr>
                <w:color w:val="000000"/>
                <w:szCs w:val="21"/>
              </w:rPr>
              <w:t>2</w:t>
            </w: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041" w:type="pct"/>
            <w:tcBorders>
              <w:tl2br w:val="nil"/>
              <w:tr2bl w:val="nil"/>
            </w:tcBorders>
            <w:shd w:val="clear" w:color="auto" w:fill="auto"/>
            <w:tcMar>
              <w:top w:w="15" w:type="dxa"/>
              <w:left w:w="15" w:type="dxa"/>
              <w:right w:w="15" w:type="dxa"/>
            </w:tcMar>
            <w:vAlign w:val="center"/>
          </w:tcPr>
          <w:p>
            <w:pPr>
              <w:widowControl/>
              <w:textAlignment w:val="center"/>
              <w:rPr>
                <w:color w:val="000000"/>
                <w:szCs w:val="21"/>
              </w:rPr>
            </w:pPr>
            <w:r>
              <w:rPr>
                <w:rFonts w:hAnsi="宋体"/>
                <w:color w:val="000000"/>
                <w:kern w:val="0"/>
                <w:szCs w:val="21"/>
              </w:rPr>
              <w:t>水利管理服务站</w:t>
            </w: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11</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10</w:t>
            </w:r>
          </w:p>
        </w:tc>
        <w:tc>
          <w:tcPr>
            <w:tcW w:w="645"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4</w:t>
            </w:r>
          </w:p>
        </w:tc>
        <w:tc>
          <w:tcPr>
            <w:tcW w:w="646"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r>
              <w:rPr>
                <w:color w:val="000000"/>
                <w:szCs w:val="21"/>
              </w:rPr>
              <w:t>3</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041" w:type="pct"/>
            <w:tcBorders>
              <w:tl2br w:val="nil"/>
              <w:tr2bl w:val="nil"/>
            </w:tcBorders>
            <w:shd w:val="clear" w:color="auto" w:fill="auto"/>
            <w:tcMar>
              <w:top w:w="15" w:type="dxa"/>
              <w:left w:w="15" w:type="dxa"/>
              <w:right w:w="15" w:type="dxa"/>
            </w:tcMar>
            <w:vAlign w:val="center"/>
          </w:tcPr>
          <w:p>
            <w:pPr>
              <w:widowControl/>
              <w:textAlignment w:val="center"/>
              <w:rPr>
                <w:color w:val="000000"/>
                <w:szCs w:val="21"/>
              </w:rPr>
            </w:pPr>
            <w:r>
              <w:rPr>
                <w:rFonts w:hAnsi="宋体"/>
                <w:color w:val="000000"/>
                <w:kern w:val="0"/>
                <w:szCs w:val="21"/>
              </w:rPr>
              <w:t>文化综合服务站</w:t>
            </w: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5</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2</w:t>
            </w:r>
          </w:p>
        </w:tc>
        <w:tc>
          <w:tcPr>
            <w:tcW w:w="645"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5</w:t>
            </w:r>
          </w:p>
        </w:tc>
        <w:tc>
          <w:tcPr>
            <w:tcW w:w="646"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r>
              <w:rPr>
                <w:color w:val="000000"/>
                <w:szCs w:val="21"/>
              </w:rPr>
              <w:t>2</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041" w:type="pct"/>
            <w:tcBorders>
              <w:tl2br w:val="nil"/>
              <w:tr2bl w:val="nil"/>
            </w:tcBorders>
            <w:shd w:val="clear" w:color="auto" w:fill="auto"/>
            <w:tcMar>
              <w:top w:w="15" w:type="dxa"/>
              <w:left w:w="15" w:type="dxa"/>
              <w:right w:w="15" w:type="dxa"/>
            </w:tcMar>
            <w:vAlign w:val="center"/>
          </w:tcPr>
          <w:p>
            <w:pPr>
              <w:widowControl/>
              <w:textAlignment w:val="center"/>
              <w:rPr>
                <w:color w:val="000000"/>
                <w:szCs w:val="21"/>
              </w:rPr>
            </w:pPr>
            <w:r>
              <w:rPr>
                <w:rFonts w:hAnsi="宋体"/>
                <w:color w:val="000000"/>
                <w:kern w:val="0"/>
                <w:szCs w:val="21"/>
              </w:rPr>
              <w:t>人口与计划生育服务站</w:t>
            </w: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22</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17</w:t>
            </w:r>
          </w:p>
        </w:tc>
        <w:tc>
          <w:tcPr>
            <w:tcW w:w="645"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10</w:t>
            </w:r>
          </w:p>
        </w:tc>
        <w:tc>
          <w:tcPr>
            <w:tcW w:w="646"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r>
              <w:rPr>
                <w:color w:val="000000"/>
                <w:szCs w:val="21"/>
              </w:rPr>
              <w:t>5</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041" w:type="pct"/>
            <w:tcBorders>
              <w:tl2br w:val="nil"/>
              <w:tr2bl w:val="nil"/>
            </w:tcBorders>
            <w:shd w:val="clear" w:color="auto" w:fill="auto"/>
            <w:tcMar>
              <w:top w:w="15" w:type="dxa"/>
              <w:left w:w="15" w:type="dxa"/>
              <w:right w:w="15" w:type="dxa"/>
            </w:tcMar>
            <w:vAlign w:val="center"/>
          </w:tcPr>
          <w:p>
            <w:pPr>
              <w:widowControl/>
              <w:textAlignment w:val="center"/>
              <w:rPr>
                <w:color w:val="000000"/>
                <w:szCs w:val="21"/>
              </w:rPr>
            </w:pPr>
            <w:r>
              <w:rPr>
                <w:rFonts w:hAnsi="宋体"/>
                <w:color w:val="000000"/>
                <w:kern w:val="0"/>
                <w:szCs w:val="21"/>
              </w:rPr>
              <w:t>农村经营管理站</w:t>
            </w: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7</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5</w:t>
            </w:r>
          </w:p>
        </w:tc>
        <w:tc>
          <w:tcPr>
            <w:tcW w:w="645"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1</w:t>
            </w:r>
          </w:p>
        </w:tc>
        <w:tc>
          <w:tcPr>
            <w:tcW w:w="646"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r>
              <w:rPr>
                <w:color w:val="000000"/>
                <w:szCs w:val="21"/>
              </w:rPr>
              <w:t>1</w:t>
            </w: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041" w:type="pct"/>
            <w:tcBorders>
              <w:tl2br w:val="nil"/>
              <w:tr2bl w:val="nil"/>
            </w:tcBorders>
            <w:shd w:val="clear" w:color="auto" w:fill="auto"/>
            <w:tcMar>
              <w:top w:w="15" w:type="dxa"/>
              <w:left w:w="15" w:type="dxa"/>
              <w:right w:w="15" w:type="dxa"/>
            </w:tcMar>
            <w:vAlign w:val="center"/>
          </w:tcPr>
          <w:p>
            <w:pPr>
              <w:widowControl/>
              <w:textAlignment w:val="center"/>
              <w:rPr>
                <w:color w:val="000000"/>
                <w:szCs w:val="21"/>
              </w:rPr>
            </w:pPr>
            <w:r>
              <w:rPr>
                <w:rFonts w:hAnsi="宋体"/>
                <w:color w:val="000000"/>
                <w:kern w:val="0"/>
                <w:szCs w:val="21"/>
              </w:rPr>
              <w:t>民营经济和信息化管理服务站</w:t>
            </w: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3</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3</w:t>
            </w:r>
          </w:p>
        </w:tc>
        <w:tc>
          <w:tcPr>
            <w:tcW w:w="645"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1</w:t>
            </w:r>
          </w:p>
        </w:tc>
        <w:tc>
          <w:tcPr>
            <w:tcW w:w="646"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r>
              <w:rPr>
                <w:color w:val="000000"/>
                <w:szCs w:val="21"/>
              </w:rPr>
              <w:t>2</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041" w:type="pct"/>
            <w:tcBorders>
              <w:tl2br w:val="nil"/>
              <w:tr2bl w:val="nil"/>
            </w:tcBorders>
            <w:shd w:val="clear" w:color="auto" w:fill="auto"/>
            <w:tcMar>
              <w:top w:w="15" w:type="dxa"/>
              <w:left w:w="15" w:type="dxa"/>
              <w:right w:w="15" w:type="dxa"/>
            </w:tcMar>
            <w:vAlign w:val="center"/>
          </w:tcPr>
          <w:p>
            <w:pPr>
              <w:widowControl/>
              <w:textAlignment w:val="center"/>
              <w:rPr>
                <w:color w:val="000000"/>
                <w:szCs w:val="21"/>
              </w:rPr>
            </w:pPr>
            <w:r>
              <w:rPr>
                <w:rFonts w:hAnsi="宋体"/>
                <w:color w:val="000000"/>
                <w:kern w:val="0"/>
                <w:szCs w:val="21"/>
              </w:rPr>
              <w:t>林业管理站</w:t>
            </w: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8</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3</w:t>
            </w:r>
          </w:p>
        </w:tc>
        <w:tc>
          <w:tcPr>
            <w:tcW w:w="645" w:type="pct"/>
            <w:tcBorders>
              <w:tl2br w:val="nil"/>
              <w:tr2bl w:val="nil"/>
            </w:tcBorders>
            <w:shd w:val="clear" w:color="auto" w:fill="auto"/>
            <w:tcMar>
              <w:top w:w="15" w:type="dxa"/>
              <w:left w:w="15" w:type="dxa"/>
              <w:right w:w="15" w:type="dxa"/>
            </w:tcMar>
            <w:vAlign w:val="center"/>
          </w:tcPr>
          <w:p>
            <w:pPr>
              <w:widowControl/>
              <w:jc w:val="center"/>
              <w:textAlignment w:val="center"/>
              <w:rPr>
                <w:color w:val="000000"/>
                <w:szCs w:val="21"/>
              </w:rPr>
            </w:pPr>
            <w:r>
              <w:rPr>
                <w:color w:val="000000"/>
                <w:kern w:val="0"/>
                <w:szCs w:val="21"/>
              </w:rPr>
              <w:t>3</w:t>
            </w:r>
          </w:p>
        </w:tc>
        <w:tc>
          <w:tcPr>
            <w:tcW w:w="646" w:type="pct"/>
            <w:tcBorders>
              <w:tl2br w:val="nil"/>
              <w:tr2bl w:val="nil"/>
            </w:tcBorders>
            <w:shd w:val="clear" w:color="auto" w:fill="auto"/>
            <w:tcMar>
              <w:top w:w="15" w:type="dxa"/>
              <w:left w:w="15" w:type="dxa"/>
              <w:right w:w="15" w:type="dxa"/>
            </w:tcMar>
            <w:vAlign w:val="center"/>
          </w:tcPr>
          <w:p>
            <w:pPr>
              <w:jc w:val="center"/>
              <w:rPr>
                <w:color w:val="000000"/>
                <w:szCs w:val="21"/>
              </w:rPr>
            </w:pP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r>
              <w:rPr>
                <w:color w:val="000000"/>
                <w:szCs w:val="21"/>
              </w:rPr>
              <w:t>1</w:t>
            </w:r>
          </w:p>
        </w:tc>
        <w:tc>
          <w:tcPr>
            <w:tcW w:w="333" w:type="pct"/>
            <w:tcBorders>
              <w:tl2br w:val="nil"/>
              <w:tr2bl w:val="nil"/>
            </w:tcBorders>
            <w:shd w:val="clear" w:color="auto" w:fill="auto"/>
            <w:tcMar>
              <w:top w:w="15" w:type="dxa"/>
              <w:left w:w="15" w:type="dxa"/>
              <w:right w:w="15" w:type="dxa"/>
            </w:tcMar>
            <w:vAlign w:val="center"/>
          </w:tcPr>
          <w:p>
            <w:pPr>
              <w:jc w:val="center"/>
              <w:rPr>
                <w:color w:val="00000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041"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szCs w:val="21"/>
              </w:rPr>
            </w:pPr>
            <w:r>
              <w:rPr>
                <w:rFonts w:hAnsi="宋体"/>
                <w:b/>
                <w:color w:val="000000"/>
                <w:kern w:val="0"/>
                <w:szCs w:val="21"/>
              </w:rPr>
              <w:t>合计</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szCs w:val="21"/>
              </w:rPr>
            </w:pPr>
            <w:r>
              <w:rPr>
                <w:b/>
                <w:color w:val="000000"/>
                <w:szCs w:val="21"/>
              </w:rPr>
              <w:t>52</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szCs w:val="21"/>
              </w:rPr>
            </w:pPr>
            <w:r>
              <w:rPr>
                <w:b/>
                <w:color w:val="000000"/>
                <w:kern w:val="0"/>
                <w:szCs w:val="21"/>
              </w:rPr>
              <w:t>91</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szCs w:val="21"/>
              </w:rPr>
            </w:pPr>
            <w:r>
              <w:rPr>
                <w:b/>
                <w:color w:val="000000"/>
                <w:kern w:val="0"/>
                <w:szCs w:val="21"/>
              </w:rPr>
              <w:t>98</w:t>
            </w:r>
          </w:p>
        </w:tc>
        <w:tc>
          <w:tcPr>
            <w:tcW w:w="645"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szCs w:val="21"/>
              </w:rPr>
            </w:pPr>
            <w:r>
              <w:rPr>
                <w:b/>
                <w:color w:val="000000"/>
                <w:kern w:val="0"/>
                <w:szCs w:val="21"/>
              </w:rPr>
              <w:t>35</w:t>
            </w:r>
          </w:p>
        </w:tc>
        <w:tc>
          <w:tcPr>
            <w:tcW w:w="646"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szCs w:val="21"/>
              </w:rPr>
            </w:pPr>
            <w:r>
              <w:rPr>
                <w:b/>
                <w:color w:val="000000"/>
                <w:kern w:val="0"/>
                <w:szCs w:val="21"/>
              </w:rPr>
              <w:t>4</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kern w:val="0"/>
                <w:szCs w:val="21"/>
              </w:rPr>
            </w:pPr>
            <w:r>
              <w:rPr>
                <w:b/>
                <w:color w:val="000000"/>
                <w:kern w:val="0"/>
                <w:szCs w:val="21"/>
              </w:rPr>
              <w:t>24</w:t>
            </w:r>
          </w:p>
        </w:tc>
        <w:tc>
          <w:tcPr>
            <w:tcW w:w="33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000000"/>
                <w:kern w:val="0"/>
                <w:szCs w:val="21"/>
              </w:rPr>
            </w:pPr>
            <w:r>
              <w:rPr>
                <w:b/>
                <w:color w:val="000000"/>
                <w:kern w:val="0"/>
                <w:szCs w:val="21"/>
              </w:rPr>
              <w:t>14</w:t>
            </w:r>
          </w:p>
        </w:tc>
      </w:tr>
    </w:tbl>
    <w:p>
      <w:pPr>
        <w:spacing w:line="360" w:lineRule="auto"/>
        <w:ind w:firstLine="640" w:firstLineChars="200"/>
        <w:rPr>
          <w:rFonts w:eastAsia="仿宋_GB2312"/>
          <w:sz w:val="32"/>
          <w:szCs w:val="32"/>
        </w:rPr>
      </w:pPr>
      <w:r>
        <w:rPr>
          <w:rFonts w:hAnsi="仿宋_GB2312" w:eastAsia="仿宋_GB2312"/>
          <w:sz w:val="32"/>
          <w:szCs w:val="32"/>
        </w:rPr>
        <w:t>另财政所编制数</w:t>
      </w:r>
      <w:r>
        <w:rPr>
          <w:rFonts w:eastAsia="仿宋_GB2312"/>
          <w:sz w:val="32"/>
          <w:szCs w:val="32"/>
        </w:rPr>
        <w:t>21</w:t>
      </w:r>
      <w:r>
        <w:rPr>
          <w:rFonts w:hAnsi="仿宋_GB2312" w:eastAsia="仿宋_GB2312"/>
          <w:sz w:val="32"/>
          <w:szCs w:val="32"/>
        </w:rPr>
        <w:t>个，实际在职人员</w:t>
      </w:r>
      <w:r>
        <w:rPr>
          <w:rFonts w:eastAsia="仿宋_GB2312"/>
          <w:sz w:val="32"/>
          <w:szCs w:val="32"/>
        </w:rPr>
        <w:t>20</w:t>
      </w:r>
      <w:r>
        <w:rPr>
          <w:rFonts w:hAnsi="仿宋_GB2312" w:eastAsia="仿宋_GB2312"/>
          <w:sz w:val="32"/>
          <w:szCs w:val="32"/>
        </w:rPr>
        <w:t>人，财政所人员编制在县财政局，工资福利等费用在岘山镇政府开支。</w:t>
      </w:r>
    </w:p>
    <w:p>
      <w:pPr>
        <w:spacing w:line="360" w:lineRule="auto"/>
        <w:ind w:firstLine="643" w:firstLineChars="200"/>
        <w:outlineLvl w:val="1"/>
        <w:rPr>
          <w:rFonts w:eastAsia="楷体"/>
          <w:b/>
          <w:bCs/>
          <w:sz w:val="32"/>
          <w:szCs w:val="32"/>
        </w:rPr>
      </w:pPr>
      <w:bookmarkStart w:id="6" w:name="_Toc25938873"/>
      <w:r>
        <w:rPr>
          <w:rFonts w:hAnsi="楷体" w:eastAsia="楷体"/>
          <w:b/>
          <w:bCs/>
          <w:sz w:val="32"/>
          <w:szCs w:val="32"/>
        </w:rPr>
        <w:t>（二）主要工作职能</w:t>
      </w:r>
      <w:bookmarkEnd w:id="6"/>
    </w:p>
    <w:p>
      <w:pPr>
        <w:spacing w:line="360" w:lineRule="auto"/>
        <w:ind w:firstLine="640" w:firstLineChars="200"/>
        <w:rPr>
          <w:rFonts w:eastAsia="仿宋_GB2312"/>
          <w:sz w:val="32"/>
          <w:szCs w:val="32"/>
        </w:rPr>
      </w:pPr>
      <w:r>
        <w:rPr>
          <w:rFonts w:eastAsia="仿宋_GB2312"/>
          <w:sz w:val="32"/>
          <w:szCs w:val="32"/>
        </w:rPr>
        <w:t>1</w:t>
      </w:r>
      <w:r>
        <w:rPr>
          <w:rFonts w:hAnsi="仿宋_GB2312" w:eastAsia="仿宋_GB2312"/>
          <w:sz w:val="32"/>
          <w:szCs w:val="32"/>
        </w:rPr>
        <w:t>、负责党的路线、方针、政策和国家各项法律法规在本行政区域内的宣传、贯彻、落实，加强基层党组织和政权建设，为本地经济的发展和社会稳定提供政治、社会环境和组织保障。</w:t>
      </w:r>
    </w:p>
    <w:p>
      <w:pPr>
        <w:spacing w:line="360" w:lineRule="auto"/>
        <w:ind w:firstLine="640" w:firstLineChars="200"/>
        <w:rPr>
          <w:rFonts w:eastAsia="仿宋_GB2312"/>
          <w:sz w:val="32"/>
          <w:szCs w:val="32"/>
        </w:rPr>
      </w:pPr>
      <w:r>
        <w:rPr>
          <w:rFonts w:eastAsia="仿宋_GB2312"/>
          <w:sz w:val="32"/>
          <w:szCs w:val="32"/>
        </w:rPr>
        <w:t>2</w:t>
      </w:r>
      <w:r>
        <w:rPr>
          <w:rFonts w:hAnsi="仿宋_GB2312" w:eastAsia="仿宋_GB2312"/>
          <w:sz w:val="32"/>
          <w:szCs w:val="32"/>
        </w:rPr>
        <w:t>、负责制定本行政区域内经济建设和各项社会事业发展规划，并组织实施。依法管理经济和社会事务，促进两个文明建设。负责本行政区域内的民主和法制建设工作，维护和保障公民的社会合法权益。</w:t>
      </w:r>
    </w:p>
    <w:p>
      <w:pPr>
        <w:spacing w:line="360" w:lineRule="auto"/>
        <w:ind w:firstLine="640" w:firstLineChars="200"/>
        <w:rPr>
          <w:rFonts w:eastAsia="仿宋_GB2312"/>
          <w:sz w:val="32"/>
          <w:szCs w:val="32"/>
        </w:rPr>
      </w:pPr>
      <w:r>
        <w:rPr>
          <w:rFonts w:eastAsia="仿宋_GB2312"/>
          <w:sz w:val="32"/>
          <w:szCs w:val="32"/>
        </w:rPr>
        <w:t>3</w:t>
      </w:r>
      <w:r>
        <w:rPr>
          <w:rFonts w:hAnsi="仿宋_GB2312" w:eastAsia="仿宋_GB2312"/>
          <w:sz w:val="32"/>
          <w:szCs w:val="32"/>
        </w:rPr>
        <w:t>、负责党委、人大主席团、人民政府、政协联络工委、纪律检查委员会、人民武装部及共青团、妇联等群团组织的日常工作。</w:t>
      </w:r>
    </w:p>
    <w:p>
      <w:pPr>
        <w:spacing w:line="360" w:lineRule="auto"/>
        <w:ind w:firstLine="640" w:firstLineChars="200"/>
        <w:rPr>
          <w:rFonts w:eastAsia="仿宋_GB2312"/>
          <w:sz w:val="32"/>
          <w:szCs w:val="32"/>
        </w:rPr>
      </w:pPr>
      <w:r>
        <w:rPr>
          <w:rFonts w:eastAsia="仿宋_GB2312"/>
          <w:sz w:val="32"/>
          <w:szCs w:val="32"/>
        </w:rPr>
        <w:t>4</w:t>
      </w:r>
      <w:r>
        <w:rPr>
          <w:rFonts w:hAnsi="仿宋_GB2312" w:eastAsia="仿宋_GB2312"/>
          <w:sz w:val="32"/>
          <w:szCs w:val="32"/>
        </w:rPr>
        <w:t>、负责完成县委、县政府交办的其他工作。</w:t>
      </w:r>
    </w:p>
    <w:p>
      <w:pPr>
        <w:spacing w:line="360" w:lineRule="auto"/>
        <w:ind w:firstLine="643" w:firstLineChars="200"/>
        <w:outlineLvl w:val="1"/>
        <w:rPr>
          <w:rFonts w:eastAsia="楷体"/>
          <w:b/>
          <w:bCs/>
          <w:sz w:val="32"/>
          <w:szCs w:val="32"/>
        </w:rPr>
      </w:pPr>
      <w:bookmarkStart w:id="7" w:name="_Toc25938874"/>
      <w:r>
        <w:rPr>
          <w:rFonts w:hAnsi="楷体" w:eastAsia="楷体"/>
          <w:b/>
          <w:bCs/>
          <w:sz w:val="32"/>
          <w:szCs w:val="32"/>
        </w:rPr>
        <w:t>（三）年度工作计划</w:t>
      </w:r>
      <w:bookmarkEnd w:id="7"/>
    </w:p>
    <w:p>
      <w:pPr>
        <w:spacing w:line="360" w:lineRule="auto"/>
        <w:ind w:firstLine="640" w:firstLineChars="200"/>
        <w:rPr>
          <w:rFonts w:eastAsia="仿宋_GB2312"/>
          <w:sz w:val="32"/>
          <w:szCs w:val="32"/>
        </w:rPr>
      </w:pPr>
      <w:r>
        <w:rPr>
          <w:rFonts w:hAnsi="仿宋_GB2312" w:eastAsia="仿宋_GB2312"/>
          <w:sz w:val="32"/>
          <w:szCs w:val="32"/>
        </w:rPr>
        <w:t>根据岘山镇政府《</w:t>
      </w:r>
      <w:r>
        <w:rPr>
          <w:rFonts w:eastAsia="仿宋_GB2312"/>
          <w:sz w:val="32"/>
          <w:szCs w:val="32"/>
        </w:rPr>
        <w:t>2018</w:t>
      </w:r>
      <w:r>
        <w:rPr>
          <w:rFonts w:hAnsi="仿宋_GB2312" w:eastAsia="仿宋_GB2312"/>
          <w:sz w:val="32"/>
          <w:szCs w:val="32"/>
        </w:rPr>
        <w:t>年工作计划》，</w:t>
      </w:r>
      <w:r>
        <w:rPr>
          <w:rFonts w:eastAsia="仿宋_GB2312"/>
          <w:sz w:val="32"/>
          <w:szCs w:val="32"/>
        </w:rPr>
        <w:t>2018</w:t>
      </w:r>
      <w:r>
        <w:rPr>
          <w:rFonts w:hAnsi="仿宋_GB2312" w:eastAsia="仿宋_GB2312"/>
          <w:sz w:val="32"/>
          <w:szCs w:val="32"/>
        </w:rPr>
        <w:t>年岘山镇政府工作目标为：</w:t>
      </w:r>
    </w:p>
    <w:p>
      <w:pPr>
        <w:spacing w:line="360" w:lineRule="auto"/>
        <w:ind w:firstLine="640" w:firstLineChars="200"/>
        <w:rPr>
          <w:rFonts w:eastAsia="仿宋_GB2312"/>
          <w:sz w:val="32"/>
          <w:szCs w:val="32"/>
        </w:rPr>
      </w:pPr>
      <w:r>
        <w:rPr>
          <w:rFonts w:eastAsia="仿宋_GB2312"/>
          <w:sz w:val="32"/>
          <w:szCs w:val="32"/>
        </w:rPr>
        <w:t>1</w:t>
      </w:r>
      <w:r>
        <w:rPr>
          <w:rFonts w:hAnsi="仿宋_GB2312" w:eastAsia="仿宋_GB2312"/>
          <w:sz w:val="32"/>
          <w:szCs w:val="32"/>
        </w:rPr>
        <w:t>、强化产业引领，激发发展新活力。坚持</w:t>
      </w:r>
      <w:r>
        <w:rPr>
          <w:rFonts w:eastAsia="仿宋_GB2312"/>
          <w:sz w:val="32"/>
          <w:szCs w:val="32"/>
        </w:rPr>
        <w:t>“</w:t>
      </w:r>
      <w:r>
        <w:rPr>
          <w:rFonts w:hAnsi="仿宋_GB2312" w:eastAsia="仿宋_GB2312"/>
          <w:sz w:val="32"/>
          <w:szCs w:val="32"/>
        </w:rPr>
        <w:t>招外</w:t>
      </w:r>
      <w:r>
        <w:rPr>
          <w:rFonts w:eastAsia="仿宋_GB2312"/>
          <w:sz w:val="32"/>
          <w:szCs w:val="32"/>
        </w:rPr>
        <w:t>”</w:t>
      </w:r>
      <w:r>
        <w:rPr>
          <w:rFonts w:hAnsi="仿宋_GB2312" w:eastAsia="仿宋_GB2312"/>
          <w:sz w:val="32"/>
          <w:szCs w:val="32"/>
        </w:rPr>
        <w:t>与</w:t>
      </w:r>
      <w:r>
        <w:rPr>
          <w:rFonts w:eastAsia="仿宋_GB2312"/>
          <w:sz w:val="32"/>
          <w:szCs w:val="32"/>
        </w:rPr>
        <w:t>“</w:t>
      </w:r>
      <w:r>
        <w:rPr>
          <w:rFonts w:hAnsi="仿宋_GB2312" w:eastAsia="仿宋_GB2312"/>
          <w:sz w:val="32"/>
          <w:szCs w:val="32"/>
        </w:rPr>
        <w:t>扶内</w:t>
      </w:r>
      <w:r>
        <w:rPr>
          <w:rFonts w:eastAsia="仿宋_GB2312"/>
          <w:sz w:val="32"/>
          <w:szCs w:val="32"/>
        </w:rPr>
        <w:t>”</w:t>
      </w:r>
      <w:r>
        <w:rPr>
          <w:rFonts w:hAnsi="仿宋_GB2312" w:eastAsia="仿宋_GB2312"/>
          <w:sz w:val="32"/>
          <w:szCs w:val="32"/>
        </w:rPr>
        <w:t>并举，在广泛开展招商引资的同时，大力开展企业及合作社帮扶活动，及时掌握企业生产运营情况，帮助协调解决相关问题。拓宽对檀山再生甲鱼农产品、易市稻虾养殖基地的供销渠道。</w:t>
      </w:r>
    </w:p>
    <w:p>
      <w:pPr>
        <w:spacing w:line="360" w:lineRule="auto"/>
        <w:ind w:firstLine="640" w:firstLineChars="200"/>
        <w:rPr>
          <w:rFonts w:eastAsia="仿宋_GB2312"/>
          <w:sz w:val="32"/>
          <w:szCs w:val="32"/>
        </w:rPr>
      </w:pPr>
      <w:r>
        <w:rPr>
          <w:rFonts w:eastAsia="仿宋_GB2312"/>
          <w:sz w:val="32"/>
          <w:szCs w:val="32"/>
        </w:rPr>
        <w:t>2</w:t>
      </w:r>
      <w:r>
        <w:rPr>
          <w:rFonts w:hAnsi="仿宋_GB2312" w:eastAsia="仿宋_GB2312"/>
          <w:sz w:val="32"/>
          <w:szCs w:val="32"/>
        </w:rPr>
        <w:t>、推进项目建设，发挥镇域新优势。全力推进武水河河道治理、织女湖水利枢纽景区工程、农村公路畅通工程、第二期异地扶贫安置点等项目建设，做好高速连接线项目的协调服务，加快岘山村、田心村、金钟村美丽乡村建设步伐。</w:t>
      </w:r>
      <w:r>
        <w:rPr>
          <w:rFonts w:eastAsia="仿宋_GB2312"/>
          <w:sz w:val="32"/>
          <w:szCs w:val="32"/>
        </w:rPr>
        <w:t xml:space="preserve"> </w:t>
      </w:r>
    </w:p>
    <w:p>
      <w:pPr>
        <w:spacing w:line="360" w:lineRule="auto"/>
        <w:ind w:firstLine="640" w:firstLineChars="200"/>
        <w:rPr>
          <w:rFonts w:eastAsia="仿宋_GB2312"/>
          <w:sz w:val="32"/>
          <w:szCs w:val="32"/>
        </w:rPr>
      </w:pPr>
      <w:r>
        <w:rPr>
          <w:rFonts w:eastAsia="仿宋_GB2312"/>
          <w:sz w:val="32"/>
          <w:szCs w:val="32"/>
        </w:rPr>
        <w:t>3</w:t>
      </w:r>
      <w:r>
        <w:rPr>
          <w:rFonts w:hAnsi="仿宋_GB2312" w:eastAsia="仿宋_GB2312"/>
          <w:sz w:val="32"/>
          <w:szCs w:val="32"/>
        </w:rPr>
        <w:t>、聚焦精准扶贫，打好攻坚新战役。大力推行产业扶贫模式，着力打造岘山村产业扶贫基地及易市稻虾产业扶贫基地（土地流转入股</w:t>
      </w:r>
      <w:r>
        <w:rPr>
          <w:rFonts w:eastAsia="仿宋_GB2312"/>
          <w:sz w:val="32"/>
          <w:szCs w:val="32"/>
        </w:rPr>
        <w:t>+</w:t>
      </w:r>
      <w:r>
        <w:rPr>
          <w:rFonts w:hAnsi="仿宋_GB2312" w:eastAsia="仿宋_GB2312"/>
          <w:sz w:val="32"/>
          <w:szCs w:val="32"/>
        </w:rPr>
        <w:t>就地就近就业</w:t>
      </w:r>
      <w:r>
        <w:rPr>
          <w:rFonts w:eastAsia="仿宋_GB2312"/>
          <w:sz w:val="32"/>
          <w:szCs w:val="32"/>
        </w:rPr>
        <w:t>+</w:t>
      </w:r>
      <w:r>
        <w:rPr>
          <w:rFonts w:hAnsi="仿宋_GB2312" w:eastAsia="仿宋_GB2312"/>
          <w:sz w:val="32"/>
          <w:szCs w:val="32"/>
        </w:rPr>
        <w:t>订单收购保底分红</w:t>
      </w:r>
      <w:r>
        <w:rPr>
          <w:rFonts w:eastAsia="仿宋_GB2312"/>
          <w:sz w:val="32"/>
          <w:szCs w:val="32"/>
        </w:rPr>
        <w:t>+</w:t>
      </w:r>
      <w:r>
        <w:rPr>
          <w:rFonts w:hAnsi="仿宋_GB2312" w:eastAsia="仿宋_GB2312"/>
          <w:sz w:val="32"/>
          <w:szCs w:val="32"/>
        </w:rPr>
        <w:t>村企股份合作</w:t>
      </w:r>
      <w:r>
        <w:rPr>
          <w:rFonts w:eastAsia="仿宋_GB2312"/>
          <w:sz w:val="32"/>
          <w:szCs w:val="32"/>
        </w:rPr>
        <w:t>+</w:t>
      </w:r>
      <w:r>
        <w:rPr>
          <w:rFonts w:hAnsi="仿宋_GB2312" w:eastAsia="仿宋_GB2312"/>
          <w:sz w:val="32"/>
          <w:szCs w:val="32"/>
        </w:rPr>
        <w:t>扶危济困捐赠）</w:t>
      </w:r>
      <w:r>
        <w:rPr>
          <w:rFonts w:eastAsia="仿宋_GB2312"/>
          <w:sz w:val="32"/>
          <w:szCs w:val="32"/>
        </w:rPr>
        <w:t>“</w:t>
      </w:r>
      <w:r>
        <w:rPr>
          <w:rFonts w:hAnsi="仿宋_GB2312" w:eastAsia="仿宋_GB2312"/>
          <w:sz w:val="32"/>
          <w:szCs w:val="32"/>
        </w:rPr>
        <w:t>五措并举</w:t>
      </w:r>
      <w:r>
        <w:rPr>
          <w:rFonts w:eastAsia="仿宋_GB2312"/>
          <w:sz w:val="32"/>
          <w:szCs w:val="32"/>
        </w:rPr>
        <w:t>”</w:t>
      </w:r>
      <w:r>
        <w:rPr>
          <w:rFonts w:hAnsi="仿宋_GB2312" w:eastAsia="仿宋_GB2312"/>
          <w:sz w:val="32"/>
          <w:szCs w:val="32"/>
        </w:rPr>
        <w:t>合作社带动扶贫模式。确保</w:t>
      </w:r>
      <w:r>
        <w:rPr>
          <w:rFonts w:eastAsia="仿宋_GB2312"/>
          <w:sz w:val="32"/>
          <w:szCs w:val="32"/>
        </w:rPr>
        <w:t>2018</w:t>
      </w:r>
      <w:r>
        <w:rPr>
          <w:rFonts w:hAnsi="仿宋_GB2312" w:eastAsia="仿宋_GB2312"/>
          <w:sz w:val="32"/>
          <w:szCs w:val="32"/>
        </w:rPr>
        <w:t>年度</w:t>
      </w:r>
      <w:r>
        <w:rPr>
          <w:rFonts w:eastAsia="仿宋_GB2312"/>
          <w:sz w:val="32"/>
          <w:szCs w:val="32"/>
        </w:rPr>
        <w:t>26</w:t>
      </w:r>
      <w:r>
        <w:rPr>
          <w:rFonts w:hAnsi="仿宋_GB2312" w:eastAsia="仿宋_GB2312"/>
          <w:sz w:val="32"/>
          <w:szCs w:val="32"/>
        </w:rPr>
        <w:t>户</w:t>
      </w:r>
      <w:r>
        <w:rPr>
          <w:rFonts w:eastAsia="仿宋_GB2312"/>
          <w:sz w:val="32"/>
          <w:szCs w:val="32"/>
        </w:rPr>
        <w:t>71</w:t>
      </w:r>
      <w:r>
        <w:rPr>
          <w:rFonts w:hAnsi="仿宋_GB2312" w:eastAsia="仿宋_GB2312"/>
          <w:sz w:val="32"/>
          <w:szCs w:val="32"/>
        </w:rPr>
        <w:t>人易地扶贫搬迁规范完成，确保年终考核</w:t>
      </w:r>
      <w:r>
        <w:rPr>
          <w:rFonts w:eastAsia="仿宋_GB2312"/>
          <w:sz w:val="32"/>
          <w:szCs w:val="32"/>
        </w:rPr>
        <w:t>“</w:t>
      </w:r>
      <w:r>
        <w:rPr>
          <w:rFonts w:hAnsi="仿宋_GB2312" w:eastAsia="仿宋_GB2312"/>
          <w:sz w:val="32"/>
          <w:szCs w:val="32"/>
        </w:rPr>
        <w:t>零误差</w:t>
      </w:r>
      <w:r>
        <w:rPr>
          <w:rFonts w:eastAsia="仿宋_GB2312"/>
          <w:sz w:val="32"/>
          <w:szCs w:val="32"/>
        </w:rPr>
        <w:t>”</w:t>
      </w:r>
      <w:r>
        <w:rPr>
          <w:rFonts w:hAnsi="仿宋_GB2312" w:eastAsia="仿宋_GB2312"/>
          <w:sz w:val="32"/>
          <w:szCs w:val="32"/>
        </w:rPr>
        <w:t>。</w:t>
      </w:r>
      <w:r>
        <w:rPr>
          <w:rFonts w:eastAsia="仿宋_GB2312"/>
          <w:sz w:val="32"/>
          <w:szCs w:val="32"/>
        </w:rPr>
        <w:t xml:space="preserve"> </w:t>
      </w:r>
    </w:p>
    <w:p>
      <w:pPr>
        <w:spacing w:line="360" w:lineRule="auto"/>
        <w:ind w:firstLine="640" w:firstLineChars="200"/>
        <w:rPr>
          <w:rFonts w:eastAsia="仿宋_GB2312"/>
          <w:sz w:val="32"/>
          <w:szCs w:val="32"/>
        </w:rPr>
      </w:pPr>
      <w:r>
        <w:rPr>
          <w:rFonts w:eastAsia="仿宋_GB2312"/>
          <w:sz w:val="32"/>
          <w:szCs w:val="32"/>
        </w:rPr>
        <w:t>4</w:t>
      </w:r>
      <w:r>
        <w:rPr>
          <w:rFonts w:hAnsi="仿宋_GB2312" w:eastAsia="仿宋_GB2312"/>
          <w:sz w:val="32"/>
          <w:szCs w:val="32"/>
        </w:rPr>
        <w:t>、改善社会民生，促进城乡新变化。贯彻落实民政、残联、教育等社会救助工作，加大助残、助孤、助学、助困力度。继续实施好新农合、新型农民养老保险和失地农民养老保险工作，确保各项惠民政策落到实处。继续加快改善农村人居环境，搞好农村环境卫生整治。继续推进计生、卫生、文化、工青妇等其他各项社会事业协调发展，促进群众幸福指数再上新台阶。</w:t>
      </w:r>
      <w:r>
        <w:rPr>
          <w:rFonts w:eastAsia="仿宋_GB2312"/>
          <w:sz w:val="32"/>
          <w:szCs w:val="32"/>
        </w:rPr>
        <w:t xml:space="preserve"> </w:t>
      </w:r>
    </w:p>
    <w:p>
      <w:pPr>
        <w:spacing w:line="360" w:lineRule="auto"/>
        <w:ind w:firstLine="640" w:firstLineChars="200"/>
        <w:rPr>
          <w:rFonts w:eastAsia="仿宋_GB2312"/>
          <w:sz w:val="32"/>
          <w:szCs w:val="32"/>
        </w:rPr>
      </w:pPr>
      <w:r>
        <w:rPr>
          <w:rFonts w:eastAsia="仿宋_GB2312"/>
          <w:sz w:val="32"/>
          <w:szCs w:val="32"/>
        </w:rPr>
        <w:t>5</w:t>
      </w:r>
      <w:r>
        <w:rPr>
          <w:rFonts w:hAnsi="仿宋_GB2312" w:eastAsia="仿宋_GB2312"/>
          <w:sz w:val="32"/>
          <w:szCs w:val="32"/>
        </w:rPr>
        <w:t>、严抓社会管理，构建平安新局面。认真履行</w:t>
      </w:r>
      <w:r>
        <w:rPr>
          <w:rFonts w:eastAsia="仿宋_GB2312"/>
          <w:sz w:val="32"/>
          <w:szCs w:val="32"/>
        </w:rPr>
        <w:t>“</w:t>
      </w:r>
      <w:r>
        <w:rPr>
          <w:rFonts w:hAnsi="仿宋_GB2312" w:eastAsia="仿宋_GB2312"/>
          <w:sz w:val="32"/>
          <w:szCs w:val="32"/>
        </w:rPr>
        <w:t>属地管理、分级负责</w:t>
      </w:r>
      <w:r>
        <w:rPr>
          <w:rFonts w:eastAsia="仿宋_GB2312"/>
          <w:sz w:val="32"/>
          <w:szCs w:val="32"/>
        </w:rPr>
        <w:t>”</w:t>
      </w:r>
      <w:r>
        <w:rPr>
          <w:rFonts w:hAnsi="仿宋_GB2312" w:eastAsia="仿宋_GB2312"/>
          <w:sz w:val="32"/>
          <w:szCs w:val="32"/>
        </w:rPr>
        <w:t>工作职责，构建统一受理调处矛盾纠纷、整体实施打防管控的大综治、大调解格局。坚持</w:t>
      </w:r>
      <w:r>
        <w:rPr>
          <w:rFonts w:eastAsia="仿宋_GB2312"/>
          <w:sz w:val="32"/>
          <w:szCs w:val="32"/>
        </w:rPr>
        <w:t>“</w:t>
      </w:r>
      <w:r>
        <w:rPr>
          <w:rFonts w:hAnsi="仿宋_GB2312" w:eastAsia="仿宋_GB2312"/>
          <w:sz w:val="32"/>
          <w:szCs w:val="32"/>
        </w:rPr>
        <w:t>预防为主，教育疏导，依法处理，防止激化</w:t>
      </w:r>
      <w:r>
        <w:rPr>
          <w:rFonts w:eastAsia="仿宋_GB2312"/>
          <w:sz w:val="32"/>
          <w:szCs w:val="32"/>
        </w:rPr>
        <w:t>”</w:t>
      </w:r>
      <w:r>
        <w:rPr>
          <w:rFonts w:hAnsi="仿宋_GB2312" w:eastAsia="仿宋_GB2312"/>
          <w:sz w:val="32"/>
          <w:szCs w:val="32"/>
        </w:rPr>
        <w:t>的原则，认真梳理影响全镇社会稳定的主要矛盾纠纷类型，有针对性地采取措施加以密切关注和重点防范，重点做好征地拆迁、扶贫、危房改造、重点项目建设、异地扶贫搬迁等涉及的重点人群信访维稳，妥善解决群众合理诉求。严格落实安全生产</w:t>
      </w:r>
      <w:r>
        <w:rPr>
          <w:rFonts w:eastAsia="仿宋_GB2312"/>
          <w:sz w:val="32"/>
          <w:szCs w:val="32"/>
        </w:rPr>
        <w:t>“</w:t>
      </w:r>
      <w:r>
        <w:rPr>
          <w:rFonts w:hAnsi="仿宋_GB2312" w:eastAsia="仿宋_GB2312"/>
          <w:sz w:val="32"/>
          <w:szCs w:val="32"/>
        </w:rPr>
        <w:t>一岗双责、党政同责</w:t>
      </w:r>
      <w:r>
        <w:rPr>
          <w:rFonts w:eastAsia="仿宋_GB2312"/>
          <w:sz w:val="32"/>
          <w:szCs w:val="32"/>
        </w:rPr>
        <w:t>”</w:t>
      </w:r>
      <w:r>
        <w:rPr>
          <w:rFonts w:hAnsi="仿宋_GB2312" w:eastAsia="仿宋_GB2312"/>
          <w:sz w:val="32"/>
          <w:szCs w:val="32"/>
        </w:rPr>
        <w:t>责任制，落实企业主体责任，强化安全生产日常监管，完善突发事件应急机制，提高应急处置能力，做到警钟长鸣，防微杜渐，确保社会和谐稳定。</w:t>
      </w:r>
      <w:r>
        <w:rPr>
          <w:rFonts w:eastAsia="仿宋_GB2312"/>
          <w:sz w:val="32"/>
          <w:szCs w:val="32"/>
        </w:rPr>
        <w:t xml:space="preserve"> </w:t>
      </w:r>
    </w:p>
    <w:p>
      <w:pPr>
        <w:spacing w:line="360" w:lineRule="auto"/>
        <w:ind w:firstLine="643" w:firstLineChars="200"/>
        <w:outlineLvl w:val="1"/>
        <w:rPr>
          <w:rFonts w:eastAsia="楷体"/>
          <w:b/>
          <w:bCs/>
          <w:sz w:val="32"/>
          <w:szCs w:val="32"/>
        </w:rPr>
      </w:pPr>
      <w:bookmarkStart w:id="8" w:name="_Toc25938875"/>
      <w:r>
        <w:rPr>
          <w:rFonts w:hAnsi="楷体" w:eastAsia="楷体"/>
          <w:b/>
          <w:bCs/>
          <w:sz w:val="32"/>
          <w:szCs w:val="32"/>
        </w:rPr>
        <w:t>（四）</w:t>
      </w:r>
      <w:r>
        <w:rPr>
          <w:rFonts w:eastAsia="楷体"/>
          <w:b/>
          <w:bCs/>
          <w:sz w:val="32"/>
          <w:szCs w:val="32"/>
        </w:rPr>
        <w:t>2018</w:t>
      </w:r>
      <w:r>
        <w:rPr>
          <w:rFonts w:hAnsi="楷体" w:eastAsia="楷体"/>
          <w:b/>
          <w:bCs/>
          <w:sz w:val="32"/>
          <w:szCs w:val="32"/>
        </w:rPr>
        <w:t>年度绩效目标设定情况</w:t>
      </w:r>
      <w:bookmarkEnd w:id="8"/>
    </w:p>
    <w:p>
      <w:pPr>
        <w:spacing w:line="360" w:lineRule="auto"/>
        <w:ind w:firstLine="640" w:firstLineChars="200"/>
        <w:rPr>
          <w:rFonts w:eastAsia="仿宋_GB2312"/>
          <w:sz w:val="32"/>
          <w:szCs w:val="32"/>
        </w:rPr>
      </w:pPr>
      <w:r>
        <w:rPr>
          <w:rFonts w:hAnsi="仿宋_GB2312" w:eastAsia="仿宋_GB2312"/>
          <w:sz w:val="32"/>
          <w:szCs w:val="32"/>
        </w:rPr>
        <w:t>根据部门整体支出绩效目标申报表，</w:t>
      </w:r>
      <w:r>
        <w:rPr>
          <w:rFonts w:eastAsia="仿宋_GB2312"/>
          <w:sz w:val="32"/>
          <w:szCs w:val="32"/>
        </w:rPr>
        <w:t>2018</w:t>
      </w:r>
      <w:r>
        <w:rPr>
          <w:rFonts w:hAnsi="仿宋_GB2312" w:eastAsia="仿宋_GB2312"/>
          <w:sz w:val="32"/>
          <w:szCs w:val="32"/>
        </w:rPr>
        <w:t>年岘山镇部门整体支出绩效目标设立情况如下：</w:t>
      </w:r>
    </w:p>
    <w:p>
      <w:pPr>
        <w:numPr>
          <w:ilvl w:val="0"/>
          <w:numId w:val="1"/>
        </w:numPr>
        <w:spacing w:line="360" w:lineRule="auto"/>
        <w:ind w:firstLine="640" w:firstLineChars="200"/>
        <w:rPr>
          <w:rFonts w:eastAsia="仿宋_GB2312"/>
          <w:sz w:val="32"/>
          <w:szCs w:val="32"/>
        </w:rPr>
      </w:pPr>
      <w:r>
        <w:rPr>
          <w:rFonts w:hAnsi="仿宋_GB2312" w:eastAsia="仿宋_GB2312"/>
          <w:sz w:val="32"/>
          <w:szCs w:val="32"/>
        </w:rPr>
        <w:t>人员经费按相关政策及时发放到位。</w:t>
      </w:r>
    </w:p>
    <w:p>
      <w:pPr>
        <w:numPr>
          <w:ilvl w:val="0"/>
          <w:numId w:val="1"/>
        </w:numPr>
        <w:spacing w:line="360" w:lineRule="auto"/>
        <w:ind w:firstLine="640" w:firstLineChars="200"/>
        <w:rPr>
          <w:rFonts w:eastAsia="仿宋_GB2312"/>
          <w:sz w:val="32"/>
          <w:szCs w:val="32"/>
        </w:rPr>
      </w:pPr>
      <w:r>
        <w:rPr>
          <w:rFonts w:hAnsi="仿宋_GB2312" w:eastAsia="仿宋_GB2312"/>
          <w:sz w:val="32"/>
          <w:szCs w:val="32"/>
        </w:rPr>
        <w:t>严格控制三公经费支出，保障机关正常运转经费。</w:t>
      </w:r>
    </w:p>
    <w:p>
      <w:pPr>
        <w:numPr>
          <w:ilvl w:val="0"/>
          <w:numId w:val="1"/>
        </w:numPr>
        <w:spacing w:line="360" w:lineRule="auto"/>
        <w:ind w:firstLine="640" w:firstLineChars="200"/>
        <w:rPr>
          <w:rFonts w:eastAsia="仿宋_GB2312"/>
          <w:sz w:val="32"/>
          <w:szCs w:val="32"/>
        </w:rPr>
      </w:pPr>
      <w:r>
        <w:rPr>
          <w:rFonts w:hAnsi="仿宋_GB2312" w:eastAsia="仿宋_GB2312"/>
          <w:sz w:val="32"/>
          <w:szCs w:val="32"/>
        </w:rPr>
        <w:t>发挥财政资金引导作用，优先保障民生项目，确保民生支出及时到位。</w:t>
      </w:r>
    </w:p>
    <w:p>
      <w:pPr>
        <w:spacing w:line="600" w:lineRule="exact"/>
        <w:ind w:firstLine="640" w:firstLineChars="200"/>
        <w:outlineLvl w:val="0"/>
        <w:rPr>
          <w:rFonts w:eastAsia="黑体"/>
          <w:sz w:val="32"/>
          <w:szCs w:val="32"/>
        </w:rPr>
      </w:pPr>
      <w:bookmarkStart w:id="9" w:name="_Toc25938876"/>
      <w:r>
        <w:rPr>
          <w:rFonts w:eastAsia="黑体"/>
          <w:sz w:val="32"/>
          <w:szCs w:val="32"/>
        </w:rPr>
        <w:t>二、绩效评价工作情况</w:t>
      </w:r>
      <w:bookmarkEnd w:id="9"/>
    </w:p>
    <w:p>
      <w:pPr>
        <w:spacing w:line="360" w:lineRule="auto"/>
        <w:ind w:firstLine="643" w:firstLineChars="200"/>
        <w:outlineLvl w:val="1"/>
        <w:rPr>
          <w:rFonts w:eastAsia="楷体"/>
          <w:b/>
          <w:bCs/>
          <w:sz w:val="32"/>
          <w:szCs w:val="32"/>
        </w:rPr>
      </w:pPr>
      <w:bookmarkStart w:id="10" w:name="_Toc25938877"/>
      <w:r>
        <w:rPr>
          <w:rFonts w:hAnsi="楷体" w:eastAsia="楷体"/>
          <w:b/>
          <w:bCs/>
          <w:sz w:val="32"/>
          <w:szCs w:val="32"/>
        </w:rPr>
        <w:t>（一）绩效评价目的</w:t>
      </w:r>
      <w:bookmarkEnd w:id="10"/>
    </w:p>
    <w:p>
      <w:pPr>
        <w:spacing w:line="360" w:lineRule="auto"/>
        <w:ind w:firstLine="640" w:firstLineChars="200"/>
        <w:rPr>
          <w:rFonts w:eastAsia="仿宋_GB2312"/>
          <w:sz w:val="32"/>
          <w:szCs w:val="32"/>
        </w:rPr>
      </w:pPr>
      <w:r>
        <w:rPr>
          <w:rFonts w:hAnsi="仿宋_GB2312" w:eastAsia="仿宋_GB2312"/>
          <w:sz w:val="32"/>
          <w:szCs w:val="32"/>
        </w:rPr>
        <w:t>全面分析和综合评价岘山镇政府</w:t>
      </w:r>
      <w:r>
        <w:rPr>
          <w:rFonts w:eastAsia="仿宋_GB2312"/>
          <w:sz w:val="32"/>
          <w:szCs w:val="32"/>
        </w:rPr>
        <w:t>2018</w:t>
      </w:r>
      <w:r>
        <w:rPr>
          <w:rFonts w:hAnsi="仿宋_GB2312" w:eastAsia="仿宋_GB2312"/>
          <w:sz w:val="32"/>
          <w:szCs w:val="32"/>
        </w:rPr>
        <w:t>年度资金分配、使用、管理情况，切实提高资金的使用效益和管理水平，为以后年度岘山镇政府资金管理提供参考。</w:t>
      </w:r>
    </w:p>
    <w:p>
      <w:pPr>
        <w:spacing w:line="360" w:lineRule="auto"/>
        <w:ind w:firstLine="643" w:firstLineChars="200"/>
        <w:outlineLvl w:val="1"/>
        <w:rPr>
          <w:rFonts w:eastAsia="楷体"/>
          <w:b/>
          <w:bCs/>
          <w:sz w:val="32"/>
          <w:szCs w:val="32"/>
        </w:rPr>
      </w:pPr>
      <w:bookmarkStart w:id="11" w:name="_Toc25938878"/>
      <w:r>
        <w:rPr>
          <w:rFonts w:hAnsi="楷体" w:eastAsia="楷体"/>
          <w:b/>
          <w:bCs/>
          <w:sz w:val="32"/>
          <w:szCs w:val="32"/>
        </w:rPr>
        <w:t>（二）绩效评价原则、评价指标体系、评价方法</w:t>
      </w:r>
      <w:bookmarkEnd w:id="11"/>
    </w:p>
    <w:p>
      <w:pPr>
        <w:spacing w:line="360" w:lineRule="auto"/>
        <w:ind w:firstLine="643" w:firstLineChars="200"/>
        <w:rPr>
          <w:rFonts w:eastAsia="仿宋_GB2312"/>
          <w:b/>
          <w:sz w:val="32"/>
          <w:szCs w:val="32"/>
        </w:rPr>
      </w:pPr>
      <w:r>
        <w:rPr>
          <w:rFonts w:eastAsia="仿宋_GB2312"/>
          <w:b/>
          <w:sz w:val="32"/>
          <w:szCs w:val="32"/>
        </w:rPr>
        <w:t>1</w:t>
      </w:r>
      <w:r>
        <w:rPr>
          <w:rFonts w:hAnsi="仿宋_GB2312" w:eastAsia="仿宋_GB2312"/>
          <w:b/>
          <w:sz w:val="32"/>
          <w:szCs w:val="32"/>
        </w:rPr>
        <w:t>、绩效评价的原则</w:t>
      </w:r>
    </w:p>
    <w:p>
      <w:pPr>
        <w:spacing w:line="360" w:lineRule="auto"/>
        <w:ind w:firstLine="640" w:firstLineChars="200"/>
        <w:rPr>
          <w:rFonts w:eastAsia="仿宋_GB2312"/>
          <w:sz w:val="32"/>
          <w:szCs w:val="32"/>
        </w:rPr>
      </w:pPr>
      <w:r>
        <w:rPr>
          <w:rFonts w:hAnsi="仿宋_GB2312" w:eastAsia="仿宋_GB2312"/>
          <w:sz w:val="32"/>
          <w:szCs w:val="32"/>
        </w:rPr>
        <w:t>（</w:t>
      </w:r>
      <w:r>
        <w:rPr>
          <w:rFonts w:eastAsia="仿宋_GB2312"/>
          <w:sz w:val="32"/>
          <w:szCs w:val="32"/>
        </w:rPr>
        <w:t>1</w:t>
      </w:r>
      <w:r>
        <w:rPr>
          <w:rFonts w:hAnsi="仿宋_GB2312" w:eastAsia="仿宋_GB2312"/>
          <w:sz w:val="32"/>
          <w:szCs w:val="32"/>
        </w:rPr>
        <w:t>）科学规范原则。绩效评价应当严格执行规定的程序，按照科学可行的要求，采用定量与定性分析相结合的方法。</w:t>
      </w:r>
    </w:p>
    <w:p>
      <w:pPr>
        <w:spacing w:line="360" w:lineRule="auto"/>
        <w:ind w:firstLine="640" w:firstLineChars="200"/>
        <w:rPr>
          <w:rFonts w:eastAsia="仿宋_GB2312"/>
          <w:sz w:val="32"/>
          <w:szCs w:val="32"/>
        </w:rPr>
      </w:pPr>
      <w:r>
        <w:rPr>
          <w:rFonts w:hAnsi="仿宋_GB2312" w:eastAsia="仿宋_GB2312"/>
          <w:sz w:val="32"/>
          <w:szCs w:val="32"/>
        </w:rPr>
        <w:t>（</w:t>
      </w:r>
      <w:r>
        <w:rPr>
          <w:rFonts w:eastAsia="仿宋_GB2312"/>
          <w:sz w:val="32"/>
          <w:szCs w:val="32"/>
        </w:rPr>
        <w:t>2</w:t>
      </w:r>
      <w:r>
        <w:rPr>
          <w:rFonts w:hAnsi="仿宋_GB2312" w:eastAsia="仿宋_GB2312"/>
          <w:sz w:val="32"/>
          <w:szCs w:val="32"/>
        </w:rPr>
        <w:t>）公正公开原则。绩效评价应当符合真实、客观、公正的要求，依法公开并接受监督。</w:t>
      </w:r>
    </w:p>
    <w:p>
      <w:pPr>
        <w:spacing w:line="360" w:lineRule="auto"/>
        <w:ind w:firstLine="640" w:firstLineChars="200"/>
        <w:rPr>
          <w:rFonts w:eastAsia="仿宋_GB2312"/>
          <w:sz w:val="32"/>
          <w:szCs w:val="32"/>
        </w:rPr>
      </w:pPr>
      <w:r>
        <w:rPr>
          <w:rFonts w:hAnsi="仿宋_GB2312" w:eastAsia="仿宋_GB2312"/>
          <w:sz w:val="32"/>
          <w:szCs w:val="32"/>
        </w:rPr>
        <w:t>（</w:t>
      </w:r>
      <w:r>
        <w:rPr>
          <w:rFonts w:eastAsia="仿宋_GB2312"/>
          <w:sz w:val="32"/>
          <w:szCs w:val="32"/>
        </w:rPr>
        <w:t>3</w:t>
      </w:r>
      <w:r>
        <w:rPr>
          <w:rFonts w:hAnsi="仿宋_GB2312" w:eastAsia="仿宋_GB2312"/>
          <w:sz w:val="32"/>
          <w:szCs w:val="32"/>
        </w:rPr>
        <w:t>）分级分类原则。绩效评价由财政部门、预算部门根据评价对象的特点分类组织实施。</w:t>
      </w:r>
    </w:p>
    <w:p>
      <w:pPr>
        <w:spacing w:line="360" w:lineRule="auto"/>
        <w:ind w:firstLine="640" w:firstLineChars="200"/>
        <w:rPr>
          <w:rFonts w:eastAsia="仿宋_GB2312"/>
          <w:sz w:val="32"/>
          <w:szCs w:val="32"/>
        </w:rPr>
      </w:pPr>
      <w:r>
        <w:rPr>
          <w:rFonts w:hAnsi="仿宋_GB2312" w:eastAsia="仿宋_GB2312"/>
          <w:sz w:val="32"/>
          <w:szCs w:val="32"/>
        </w:rPr>
        <w:t>（</w:t>
      </w:r>
      <w:r>
        <w:rPr>
          <w:rFonts w:eastAsia="仿宋_GB2312"/>
          <w:sz w:val="32"/>
          <w:szCs w:val="32"/>
        </w:rPr>
        <w:t>4</w:t>
      </w:r>
      <w:r>
        <w:rPr>
          <w:rFonts w:hAnsi="仿宋_GB2312" w:eastAsia="仿宋_GB2312"/>
          <w:sz w:val="32"/>
          <w:szCs w:val="32"/>
        </w:rPr>
        <w:t>）绩效相关原则。绩效评价应当针对具体支出及其产出绩效进行，评价结果应当清晰反映支出和产出绩效之间的紧密对应关系。</w:t>
      </w:r>
    </w:p>
    <w:p>
      <w:pPr>
        <w:spacing w:line="360" w:lineRule="auto"/>
        <w:ind w:firstLine="643" w:firstLineChars="200"/>
        <w:rPr>
          <w:rFonts w:eastAsia="仿宋_GB2312"/>
          <w:b/>
          <w:sz w:val="32"/>
          <w:szCs w:val="32"/>
        </w:rPr>
      </w:pPr>
      <w:r>
        <w:rPr>
          <w:rFonts w:eastAsia="仿宋_GB2312"/>
          <w:b/>
          <w:sz w:val="32"/>
          <w:szCs w:val="32"/>
        </w:rPr>
        <w:t>2</w:t>
      </w:r>
      <w:r>
        <w:rPr>
          <w:rFonts w:hAnsi="仿宋_GB2312" w:eastAsia="仿宋_GB2312"/>
          <w:b/>
          <w:sz w:val="32"/>
          <w:szCs w:val="32"/>
        </w:rPr>
        <w:t>、评价指标体系</w:t>
      </w:r>
    </w:p>
    <w:p>
      <w:pPr>
        <w:spacing w:line="360" w:lineRule="auto"/>
        <w:ind w:firstLine="640" w:firstLineChars="200"/>
        <w:rPr>
          <w:rFonts w:eastAsia="仿宋_GB2312"/>
          <w:sz w:val="32"/>
          <w:szCs w:val="32"/>
        </w:rPr>
      </w:pPr>
      <w:r>
        <w:rPr>
          <w:rFonts w:hAnsi="仿宋_GB2312" w:eastAsia="仿宋_GB2312"/>
          <w:sz w:val="32"/>
          <w:szCs w:val="32"/>
        </w:rPr>
        <w:t>由投入、过程、产出和效果四部分组成。</w:t>
      </w:r>
    </w:p>
    <w:p>
      <w:pPr>
        <w:spacing w:line="360" w:lineRule="auto"/>
        <w:ind w:firstLine="640" w:firstLineChars="200"/>
        <w:rPr>
          <w:rFonts w:eastAsia="仿宋_GB2312"/>
          <w:sz w:val="32"/>
          <w:szCs w:val="32"/>
        </w:rPr>
      </w:pPr>
      <w:r>
        <w:rPr>
          <w:rFonts w:hAnsi="仿宋_GB2312" w:eastAsia="仿宋_GB2312"/>
          <w:sz w:val="32"/>
          <w:szCs w:val="32"/>
        </w:rPr>
        <w:t>（</w:t>
      </w:r>
      <w:r>
        <w:rPr>
          <w:rFonts w:eastAsia="仿宋_GB2312"/>
          <w:sz w:val="32"/>
          <w:szCs w:val="32"/>
        </w:rPr>
        <w:t>1</w:t>
      </w:r>
      <w:r>
        <w:rPr>
          <w:rFonts w:hAnsi="仿宋_GB2312" w:eastAsia="仿宋_GB2312"/>
          <w:sz w:val="32"/>
          <w:szCs w:val="32"/>
        </w:rPr>
        <w:t>）投入</w:t>
      </w:r>
      <w:r>
        <w:rPr>
          <w:rFonts w:eastAsia="仿宋_GB2312"/>
          <w:sz w:val="32"/>
          <w:szCs w:val="32"/>
        </w:rPr>
        <w:t>17</w:t>
      </w:r>
      <w:r>
        <w:rPr>
          <w:rFonts w:hAnsi="仿宋_GB2312" w:eastAsia="仿宋_GB2312"/>
          <w:sz w:val="32"/>
          <w:szCs w:val="32"/>
        </w:rPr>
        <w:t>分：项目立项</w:t>
      </w:r>
      <w:r>
        <w:rPr>
          <w:rFonts w:eastAsia="仿宋_GB2312"/>
          <w:sz w:val="32"/>
          <w:szCs w:val="32"/>
        </w:rPr>
        <w:t>5</w:t>
      </w:r>
      <w:r>
        <w:rPr>
          <w:rFonts w:hAnsi="仿宋_GB2312" w:eastAsia="仿宋_GB2312"/>
          <w:sz w:val="32"/>
          <w:szCs w:val="32"/>
        </w:rPr>
        <w:t>分，预算配置</w:t>
      </w:r>
      <w:r>
        <w:rPr>
          <w:rFonts w:eastAsia="仿宋_GB2312"/>
          <w:sz w:val="32"/>
          <w:szCs w:val="32"/>
        </w:rPr>
        <w:t>12</w:t>
      </w:r>
      <w:r>
        <w:rPr>
          <w:rFonts w:hAnsi="仿宋_GB2312" w:eastAsia="仿宋_GB2312"/>
          <w:sz w:val="32"/>
          <w:szCs w:val="32"/>
        </w:rPr>
        <w:t>分。</w:t>
      </w:r>
    </w:p>
    <w:p>
      <w:pPr>
        <w:spacing w:line="360" w:lineRule="auto"/>
        <w:ind w:firstLine="640" w:firstLineChars="200"/>
        <w:rPr>
          <w:rFonts w:eastAsia="仿宋_GB2312"/>
          <w:sz w:val="32"/>
          <w:szCs w:val="32"/>
        </w:rPr>
      </w:pPr>
      <w:r>
        <w:rPr>
          <w:rFonts w:hAnsi="仿宋_GB2312" w:eastAsia="仿宋_GB2312"/>
          <w:sz w:val="32"/>
          <w:szCs w:val="32"/>
        </w:rPr>
        <w:t>（</w:t>
      </w:r>
      <w:r>
        <w:rPr>
          <w:rFonts w:eastAsia="仿宋_GB2312"/>
          <w:sz w:val="32"/>
          <w:szCs w:val="32"/>
        </w:rPr>
        <w:t>2</w:t>
      </w:r>
      <w:r>
        <w:rPr>
          <w:rFonts w:hAnsi="仿宋_GB2312" w:eastAsia="仿宋_GB2312"/>
          <w:sz w:val="32"/>
          <w:szCs w:val="32"/>
        </w:rPr>
        <w:t>）过程</w:t>
      </w:r>
      <w:r>
        <w:rPr>
          <w:rFonts w:eastAsia="仿宋_GB2312"/>
          <w:sz w:val="32"/>
          <w:szCs w:val="32"/>
        </w:rPr>
        <w:t>38</w:t>
      </w:r>
      <w:r>
        <w:rPr>
          <w:rFonts w:hAnsi="仿宋_GB2312" w:eastAsia="仿宋_GB2312"/>
          <w:sz w:val="32"/>
          <w:szCs w:val="32"/>
        </w:rPr>
        <w:t>分：预算执行</w:t>
      </w:r>
      <w:r>
        <w:rPr>
          <w:rFonts w:eastAsia="仿宋_GB2312"/>
          <w:sz w:val="32"/>
          <w:szCs w:val="32"/>
        </w:rPr>
        <w:t>16</w:t>
      </w:r>
      <w:r>
        <w:rPr>
          <w:rFonts w:hAnsi="仿宋_GB2312" w:eastAsia="仿宋_GB2312"/>
          <w:sz w:val="32"/>
          <w:szCs w:val="32"/>
        </w:rPr>
        <w:t>分，预算管理</w:t>
      </w:r>
      <w:r>
        <w:rPr>
          <w:rFonts w:eastAsia="仿宋_GB2312"/>
          <w:sz w:val="32"/>
          <w:szCs w:val="32"/>
        </w:rPr>
        <w:t>14</w:t>
      </w:r>
      <w:r>
        <w:rPr>
          <w:rFonts w:hAnsi="仿宋_GB2312" w:eastAsia="仿宋_GB2312"/>
          <w:sz w:val="32"/>
          <w:szCs w:val="32"/>
        </w:rPr>
        <w:t>分，资产管理</w:t>
      </w:r>
      <w:r>
        <w:rPr>
          <w:rFonts w:eastAsia="仿宋_GB2312"/>
          <w:sz w:val="32"/>
          <w:szCs w:val="32"/>
        </w:rPr>
        <w:t>8</w:t>
      </w:r>
      <w:r>
        <w:rPr>
          <w:rFonts w:hAnsi="仿宋_GB2312" w:eastAsia="仿宋_GB2312"/>
          <w:sz w:val="32"/>
          <w:szCs w:val="32"/>
        </w:rPr>
        <w:t>分。</w:t>
      </w:r>
    </w:p>
    <w:p>
      <w:pPr>
        <w:spacing w:line="360" w:lineRule="auto"/>
        <w:ind w:firstLine="640" w:firstLineChars="200"/>
        <w:rPr>
          <w:rFonts w:eastAsia="仿宋_GB2312"/>
          <w:sz w:val="32"/>
          <w:szCs w:val="32"/>
        </w:rPr>
      </w:pPr>
      <w:r>
        <w:rPr>
          <w:rFonts w:hAnsi="仿宋_GB2312" w:eastAsia="仿宋_GB2312"/>
          <w:sz w:val="32"/>
          <w:szCs w:val="32"/>
        </w:rPr>
        <w:t>（</w:t>
      </w:r>
      <w:r>
        <w:rPr>
          <w:rFonts w:eastAsia="仿宋_GB2312"/>
          <w:sz w:val="32"/>
          <w:szCs w:val="32"/>
        </w:rPr>
        <w:t>3</w:t>
      </w:r>
      <w:r>
        <w:rPr>
          <w:rFonts w:hAnsi="仿宋_GB2312" w:eastAsia="仿宋_GB2312"/>
          <w:sz w:val="32"/>
          <w:szCs w:val="32"/>
        </w:rPr>
        <w:t>）产出</w:t>
      </w:r>
      <w:r>
        <w:rPr>
          <w:rFonts w:eastAsia="仿宋_GB2312"/>
          <w:sz w:val="32"/>
          <w:szCs w:val="32"/>
        </w:rPr>
        <w:t>15</w:t>
      </w:r>
      <w:r>
        <w:rPr>
          <w:rFonts w:hAnsi="仿宋_GB2312" w:eastAsia="仿宋_GB2312"/>
          <w:sz w:val="32"/>
          <w:szCs w:val="32"/>
        </w:rPr>
        <w:t>分：职责履行</w:t>
      </w:r>
      <w:r>
        <w:rPr>
          <w:rFonts w:eastAsia="仿宋_GB2312"/>
          <w:sz w:val="32"/>
          <w:szCs w:val="32"/>
        </w:rPr>
        <w:t>15</w:t>
      </w:r>
      <w:r>
        <w:rPr>
          <w:rFonts w:hAnsi="仿宋_GB2312" w:eastAsia="仿宋_GB2312"/>
          <w:sz w:val="32"/>
          <w:szCs w:val="32"/>
        </w:rPr>
        <w:t>分。</w:t>
      </w:r>
    </w:p>
    <w:p>
      <w:pPr>
        <w:spacing w:line="360" w:lineRule="auto"/>
        <w:ind w:firstLine="640" w:firstLineChars="200"/>
        <w:rPr>
          <w:rFonts w:eastAsia="仿宋_GB2312"/>
          <w:sz w:val="32"/>
          <w:szCs w:val="32"/>
        </w:rPr>
      </w:pPr>
      <w:r>
        <w:rPr>
          <w:rFonts w:hAnsi="仿宋_GB2312" w:eastAsia="仿宋_GB2312"/>
          <w:sz w:val="32"/>
          <w:szCs w:val="32"/>
        </w:rPr>
        <w:t>（</w:t>
      </w:r>
      <w:r>
        <w:rPr>
          <w:rFonts w:eastAsia="仿宋_GB2312"/>
          <w:sz w:val="32"/>
          <w:szCs w:val="32"/>
        </w:rPr>
        <w:t>4</w:t>
      </w:r>
      <w:r>
        <w:rPr>
          <w:rFonts w:hAnsi="仿宋_GB2312" w:eastAsia="仿宋_GB2312"/>
          <w:sz w:val="32"/>
          <w:szCs w:val="32"/>
        </w:rPr>
        <w:t>）效果</w:t>
      </w:r>
      <w:r>
        <w:rPr>
          <w:rFonts w:eastAsia="仿宋_GB2312"/>
          <w:sz w:val="32"/>
          <w:szCs w:val="32"/>
        </w:rPr>
        <w:t>30</w:t>
      </w:r>
      <w:r>
        <w:rPr>
          <w:rFonts w:hAnsi="仿宋_GB2312" w:eastAsia="仿宋_GB2312"/>
          <w:sz w:val="32"/>
          <w:szCs w:val="32"/>
        </w:rPr>
        <w:t>分：履职效益</w:t>
      </w:r>
      <w:r>
        <w:rPr>
          <w:rFonts w:eastAsia="仿宋_GB2312"/>
          <w:sz w:val="32"/>
          <w:szCs w:val="32"/>
        </w:rPr>
        <w:t>30</w:t>
      </w:r>
      <w:r>
        <w:rPr>
          <w:rFonts w:hAnsi="仿宋_GB2312" w:eastAsia="仿宋_GB2312"/>
          <w:sz w:val="32"/>
          <w:szCs w:val="32"/>
        </w:rPr>
        <w:t>分。</w:t>
      </w:r>
    </w:p>
    <w:p>
      <w:pPr>
        <w:spacing w:line="360" w:lineRule="auto"/>
        <w:ind w:firstLine="643" w:firstLineChars="200"/>
        <w:rPr>
          <w:rFonts w:eastAsia="仿宋_GB2312"/>
          <w:b/>
          <w:sz w:val="32"/>
          <w:szCs w:val="32"/>
        </w:rPr>
      </w:pPr>
      <w:r>
        <w:rPr>
          <w:rFonts w:eastAsia="仿宋_GB2312"/>
          <w:b/>
          <w:sz w:val="32"/>
          <w:szCs w:val="32"/>
        </w:rPr>
        <w:t>3</w:t>
      </w:r>
      <w:r>
        <w:rPr>
          <w:rFonts w:hAnsi="仿宋_GB2312" w:eastAsia="仿宋_GB2312"/>
          <w:b/>
          <w:sz w:val="32"/>
          <w:szCs w:val="32"/>
        </w:rPr>
        <w:t>、评价方法</w:t>
      </w:r>
    </w:p>
    <w:p>
      <w:pPr>
        <w:spacing w:line="360" w:lineRule="auto"/>
        <w:ind w:firstLine="640" w:firstLineChars="200"/>
        <w:rPr>
          <w:rFonts w:eastAsia="仿宋_GB2312"/>
          <w:sz w:val="32"/>
          <w:szCs w:val="32"/>
        </w:rPr>
      </w:pPr>
      <w:r>
        <w:rPr>
          <w:rFonts w:hAnsi="仿宋_GB2312" w:eastAsia="仿宋_GB2312"/>
          <w:sz w:val="32"/>
          <w:szCs w:val="32"/>
        </w:rPr>
        <w:t>（</w:t>
      </w:r>
      <w:r>
        <w:rPr>
          <w:rFonts w:eastAsia="仿宋_GB2312"/>
          <w:sz w:val="32"/>
          <w:szCs w:val="32"/>
        </w:rPr>
        <w:t>1</w:t>
      </w:r>
      <w:r>
        <w:rPr>
          <w:rFonts w:hAnsi="仿宋_GB2312" w:eastAsia="仿宋_GB2312"/>
          <w:sz w:val="32"/>
          <w:szCs w:val="32"/>
        </w:rPr>
        <w:t>）因素分析法</w:t>
      </w:r>
    </w:p>
    <w:p>
      <w:pPr>
        <w:spacing w:line="360" w:lineRule="auto"/>
        <w:ind w:firstLine="640" w:firstLineChars="200"/>
        <w:rPr>
          <w:rFonts w:eastAsia="仿宋_GB2312"/>
          <w:sz w:val="32"/>
          <w:szCs w:val="32"/>
        </w:rPr>
      </w:pPr>
      <w:r>
        <w:rPr>
          <w:rFonts w:hAnsi="仿宋_GB2312" w:eastAsia="仿宋_GB2312"/>
          <w:sz w:val="32"/>
          <w:szCs w:val="32"/>
        </w:rPr>
        <w:t>通过综合分析影响绩效目标实现、实施效果的内外因素，评价绩效目标的实现程度。</w:t>
      </w:r>
    </w:p>
    <w:p>
      <w:pPr>
        <w:spacing w:line="360" w:lineRule="auto"/>
        <w:ind w:firstLine="640" w:firstLineChars="200"/>
        <w:rPr>
          <w:rFonts w:eastAsia="仿宋_GB2312"/>
          <w:sz w:val="32"/>
          <w:szCs w:val="32"/>
        </w:rPr>
      </w:pPr>
      <w:r>
        <w:rPr>
          <w:rFonts w:hAnsi="仿宋_GB2312" w:eastAsia="仿宋_GB2312"/>
          <w:sz w:val="32"/>
          <w:szCs w:val="32"/>
        </w:rPr>
        <w:t>（</w:t>
      </w:r>
      <w:r>
        <w:rPr>
          <w:rFonts w:eastAsia="仿宋_GB2312"/>
          <w:sz w:val="32"/>
          <w:szCs w:val="32"/>
        </w:rPr>
        <w:t>2</w:t>
      </w:r>
      <w:r>
        <w:rPr>
          <w:rFonts w:hAnsi="仿宋_GB2312" w:eastAsia="仿宋_GB2312"/>
          <w:sz w:val="32"/>
          <w:szCs w:val="32"/>
        </w:rPr>
        <w:t>）公众评判法</w:t>
      </w:r>
    </w:p>
    <w:p>
      <w:pPr>
        <w:spacing w:line="360" w:lineRule="auto"/>
        <w:ind w:firstLine="640" w:firstLineChars="200"/>
        <w:rPr>
          <w:rFonts w:eastAsia="仿宋_GB2312"/>
          <w:sz w:val="32"/>
          <w:szCs w:val="32"/>
        </w:rPr>
      </w:pPr>
      <w:r>
        <w:rPr>
          <w:rFonts w:hAnsi="仿宋_GB2312" w:eastAsia="仿宋_GB2312"/>
          <w:sz w:val="32"/>
          <w:szCs w:val="32"/>
        </w:rPr>
        <w:t>通过专家评估、公众问卷及抽样调查等对财政支出效果进行评判，评价绩效目标的实现程度。对于无法直接用指标计量其效益的支出项目，选择有关专家进行评估并对社会公众进行问卷调查，以评价其效益。</w:t>
      </w:r>
    </w:p>
    <w:p>
      <w:pPr>
        <w:spacing w:line="360" w:lineRule="auto"/>
        <w:ind w:firstLine="643" w:firstLineChars="200"/>
        <w:outlineLvl w:val="1"/>
        <w:rPr>
          <w:rFonts w:eastAsia="楷体"/>
          <w:b/>
          <w:bCs/>
          <w:sz w:val="32"/>
          <w:szCs w:val="32"/>
        </w:rPr>
      </w:pPr>
      <w:bookmarkStart w:id="12" w:name="_Toc25938879"/>
      <w:r>
        <w:rPr>
          <w:rFonts w:hAnsi="楷体" w:eastAsia="楷体"/>
          <w:b/>
          <w:bCs/>
          <w:sz w:val="32"/>
          <w:szCs w:val="32"/>
        </w:rPr>
        <w:t>（三）绩效评价工作过程</w:t>
      </w:r>
      <w:bookmarkEnd w:id="12"/>
    </w:p>
    <w:p>
      <w:pPr>
        <w:spacing w:line="360" w:lineRule="auto"/>
        <w:ind w:firstLine="643" w:firstLineChars="200"/>
        <w:rPr>
          <w:rFonts w:eastAsia="仿宋_GB2312"/>
          <w:sz w:val="32"/>
          <w:szCs w:val="32"/>
        </w:rPr>
      </w:pPr>
      <w:r>
        <w:rPr>
          <w:rFonts w:eastAsia="仿宋_GB2312"/>
          <w:b/>
          <w:sz w:val="32"/>
          <w:szCs w:val="32"/>
        </w:rPr>
        <w:t>1</w:t>
      </w:r>
      <w:r>
        <w:rPr>
          <w:rFonts w:hAnsi="仿宋_GB2312" w:eastAsia="仿宋_GB2312"/>
          <w:b/>
          <w:sz w:val="32"/>
          <w:szCs w:val="32"/>
        </w:rPr>
        <w:t>、前期准备。</w:t>
      </w:r>
      <w:r>
        <w:rPr>
          <w:rFonts w:hAnsi="仿宋_GB2312" w:eastAsia="仿宋_GB2312"/>
          <w:sz w:val="32"/>
          <w:szCs w:val="32"/>
        </w:rPr>
        <w:t>衡阳县财政局与湖南友谊联合会计师事务所（普通合伙）成立绩效评价工作组（以下简称</w:t>
      </w:r>
      <w:r>
        <w:rPr>
          <w:rFonts w:eastAsia="仿宋_GB2312"/>
          <w:sz w:val="32"/>
          <w:szCs w:val="32"/>
        </w:rPr>
        <w:t>“</w:t>
      </w:r>
      <w:r>
        <w:rPr>
          <w:rFonts w:hAnsi="仿宋_GB2312" w:eastAsia="仿宋_GB2312"/>
          <w:sz w:val="32"/>
          <w:szCs w:val="32"/>
        </w:rPr>
        <w:t>评价工作组</w:t>
      </w:r>
      <w:r>
        <w:rPr>
          <w:rFonts w:eastAsia="仿宋_GB2312"/>
          <w:sz w:val="32"/>
          <w:szCs w:val="32"/>
        </w:rPr>
        <w:t>”</w:t>
      </w:r>
      <w:r>
        <w:rPr>
          <w:rFonts w:hAnsi="仿宋_GB2312" w:eastAsia="仿宋_GB2312"/>
          <w:sz w:val="32"/>
          <w:szCs w:val="32"/>
        </w:rPr>
        <w:t>），</w:t>
      </w:r>
      <w:r>
        <w:rPr>
          <w:rFonts w:eastAsia="仿宋_GB2312"/>
          <w:sz w:val="32"/>
          <w:szCs w:val="32"/>
        </w:rPr>
        <w:t>2019</w:t>
      </w:r>
      <w:r>
        <w:rPr>
          <w:rFonts w:hAnsi="仿宋_GB2312" w:eastAsia="仿宋_GB2312"/>
          <w:sz w:val="32"/>
          <w:szCs w:val="32"/>
        </w:rPr>
        <w:t>年</w:t>
      </w:r>
      <w:r>
        <w:rPr>
          <w:rFonts w:eastAsia="仿宋_GB2312"/>
          <w:sz w:val="32"/>
          <w:szCs w:val="32"/>
        </w:rPr>
        <w:t>10</w:t>
      </w:r>
      <w:r>
        <w:rPr>
          <w:rFonts w:hAnsi="仿宋_GB2312" w:eastAsia="仿宋_GB2312"/>
          <w:sz w:val="32"/>
          <w:szCs w:val="32"/>
        </w:rPr>
        <w:t>月</w:t>
      </w:r>
      <w:r>
        <w:rPr>
          <w:rFonts w:eastAsia="仿宋_GB2312"/>
          <w:sz w:val="32"/>
          <w:szCs w:val="32"/>
        </w:rPr>
        <w:t>21</w:t>
      </w:r>
      <w:r>
        <w:rPr>
          <w:rFonts w:hAnsi="仿宋_GB2312" w:eastAsia="仿宋_GB2312"/>
          <w:sz w:val="32"/>
          <w:szCs w:val="32"/>
        </w:rPr>
        <w:t>日至</w:t>
      </w:r>
      <w:r>
        <w:rPr>
          <w:rFonts w:eastAsia="仿宋_GB2312"/>
          <w:sz w:val="32"/>
          <w:szCs w:val="32"/>
        </w:rPr>
        <w:t>25</w:t>
      </w:r>
      <w:r>
        <w:rPr>
          <w:rFonts w:hAnsi="仿宋_GB2312" w:eastAsia="仿宋_GB2312"/>
          <w:sz w:val="32"/>
          <w:szCs w:val="32"/>
        </w:rPr>
        <w:t>日，评价工作组有关人员收集</w:t>
      </w:r>
      <w:r>
        <w:rPr>
          <w:rFonts w:eastAsia="仿宋_GB2312"/>
          <w:sz w:val="32"/>
          <w:szCs w:val="32"/>
        </w:rPr>
        <w:t>2018</w:t>
      </w:r>
      <w:r>
        <w:rPr>
          <w:rFonts w:hAnsi="仿宋_GB2312" w:eastAsia="仿宋_GB2312"/>
          <w:sz w:val="32"/>
          <w:szCs w:val="32"/>
        </w:rPr>
        <w:t>年衡阳县岘山镇政府预算资金的相关资料，赴岘山镇调研，了解</w:t>
      </w:r>
      <w:r>
        <w:rPr>
          <w:rFonts w:eastAsia="仿宋_GB2312"/>
          <w:sz w:val="32"/>
          <w:szCs w:val="32"/>
        </w:rPr>
        <w:t>2018</w:t>
      </w:r>
      <w:r>
        <w:rPr>
          <w:rFonts w:hAnsi="仿宋_GB2312" w:eastAsia="仿宋_GB2312"/>
          <w:sz w:val="32"/>
          <w:szCs w:val="32"/>
        </w:rPr>
        <w:t>年岘山镇政府部门资金使用情况。制定科学适用的评价工作方案、评价指标及基础数据表。</w:t>
      </w:r>
    </w:p>
    <w:p>
      <w:pPr>
        <w:spacing w:line="360" w:lineRule="auto"/>
        <w:ind w:firstLine="643" w:firstLineChars="200"/>
        <w:rPr>
          <w:rFonts w:eastAsia="仿宋_GB2312"/>
          <w:sz w:val="32"/>
          <w:szCs w:val="32"/>
        </w:rPr>
      </w:pPr>
      <w:r>
        <w:rPr>
          <w:rFonts w:eastAsia="仿宋_GB2312"/>
          <w:b/>
          <w:sz w:val="32"/>
          <w:szCs w:val="32"/>
        </w:rPr>
        <w:t>2</w:t>
      </w:r>
      <w:r>
        <w:rPr>
          <w:rFonts w:hAnsi="仿宋_GB2312" w:eastAsia="仿宋_GB2312"/>
          <w:b/>
          <w:sz w:val="32"/>
          <w:szCs w:val="32"/>
        </w:rPr>
        <w:t>、组织实施。</w:t>
      </w:r>
      <w:r>
        <w:rPr>
          <w:rFonts w:eastAsia="仿宋_GB2312"/>
          <w:sz w:val="32"/>
          <w:szCs w:val="32"/>
        </w:rPr>
        <w:t>2019</w:t>
      </w:r>
      <w:r>
        <w:rPr>
          <w:rFonts w:hAnsi="仿宋_GB2312" w:eastAsia="仿宋_GB2312"/>
          <w:sz w:val="32"/>
          <w:szCs w:val="32"/>
        </w:rPr>
        <w:t>年</w:t>
      </w:r>
      <w:r>
        <w:rPr>
          <w:rFonts w:eastAsia="仿宋_GB2312"/>
          <w:sz w:val="32"/>
          <w:szCs w:val="32"/>
        </w:rPr>
        <w:t>11</w:t>
      </w:r>
      <w:r>
        <w:rPr>
          <w:rFonts w:hAnsi="仿宋_GB2312" w:eastAsia="仿宋_GB2312"/>
          <w:sz w:val="32"/>
          <w:szCs w:val="32"/>
        </w:rPr>
        <w:t>月</w:t>
      </w:r>
      <w:r>
        <w:rPr>
          <w:rFonts w:eastAsia="仿宋_GB2312"/>
          <w:sz w:val="32"/>
          <w:szCs w:val="32"/>
        </w:rPr>
        <w:t>4</w:t>
      </w:r>
      <w:r>
        <w:rPr>
          <w:rFonts w:hAnsi="仿宋_GB2312" w:eastAsia="仿宋_GB2312"/>
          <w:sz w:val="32"/>
          <w:szCs w:val="32"/>
        </w:rPr>
        <w:t>日至</w:t>
      </w:r>
      <w:r>
        <w:rPr>
          <w:rFonts w:eastAsia="仿宋_GB2312"/>
          <w:sz w:val="32"/>
          <w:szCs w:val="32"/>
        </w:rPr>
        <w:t>11</w:t>
      </w:r>
      <w:r>
        <w:rPr>
          <w:rFonts w:hAnsi="仿宋_GB2312" w:eastAsia="仿宋_GB2312"/>
          <w:sz w:val="32"/>
          <w:szCs w:val="32"/>
        </w:rPr>
        <w:t>月</w:t>
      </w:r>
      <w:r>
        <w:rPr>
          <w:rFonts w:eastAsia="仿宋_GB2312"/>
          <w:sz w:val="32"/>
          <w:szCs w:val="32"/>
        </w:rPr>
        <w:t>8</w:t>
      </w:r>
      <w:r>
        <w:rPr>
          <w:rFonts w:hAnsi="仿宋_GB2312" w:eastAsia="仿宋_GB2312"/>
          <w:sz w:val="32"/>
          <w:szCs w:val="32"/>
        </w:rPr>
        <w:t>日，评价工作组到岘山镇查阅财务会计资料、察看实施项目及效果。</w:t>
      </w:r>
    </w:p>
    <w:p>
      <w:pPr>
        <w:spacing w:line="360" w:lineRule="auto"/>
        <w:ind w:firstLine="643" w:firstLineChars="200"/>
        <w:rPr>
          <w:rFonts w:eastAsia="仿宋_GB2312"/>
          <w:sz w:val="32"/>
          <w:szCs w:val="32"/>
        </w:rPr>
      </w:pPr>
      <w:r>
        <w:rPr>
          <w:rFonts w:eastAsia="仿宋_GB2312"/>
          <w:b/>
          <w:sz w:val="32"/>
          <w:szCs w:val="32"/>
        </w:rPr>
        <w:t>3</w:t>
      </w:r>
      <w:r>
        <w:rPr>
          <w:rFonts w:hAnsi="仿宋_GB2312" w:eastAsia="仿宋_GB2312"/>
          <w:b/>
          <w:sz w:val="32"/>
          <w:szCs w:val="32"/>
        </w:rPr>
        <w:t>、分析评价。</w:t>
      </w:r>
      <w:r>
        <w:rPr>
          <w:rFonts w:eastAsia="仿宋_GB2312"/>
          <w:sz w:val="32"/>
          <w:szCs w:val="32"/>
        </w:rPr>
        <w:t>2019</w:t>
      </w:r>
      <w:r>
        <w:rPr>
          <w:rFonts w:hAnsi="仿宋_GB2312" w:eastAsia="仿宋_GB2312"/>
          <w:sz w:val="32"/>
          <w:szCs w:val="32"/>
        </w:rPr>
        <w:t>年</w:t>
      </w:r>
      <w:r>
        <w:rPr>
          <w:rFonts w:eastAsia="仿宋_GB2312"/>
          <w:sz w:val="32"/>
          <w:szCs w:val="32"/>
        </w:rPr>
        <w:t>11</w:t>
      </w:r>
      <w:r>
        <w:rPr>
          <w:rFonts w:hAnsi="仿宋_GB2312" w:eastAsia="仿宋_GB2312"/>
          <w:sz w:val="32"/>
          <w:szCs w:val="32"/>
        </w:rPr>
        <w:t>月</w:t>
      </w:r>
      <w:r>
        <w:rPr>
          <w:rFonts w:eastAsia="仿宋_GB2312"/>
          <w:sz w:val="32"/>
          <w:szCs w:val="32"/>
        </w:rPr>
        <w:t>11</w:t>
      </w:r>
      <w:r>
        <w:rPr>
          <w:rFonts w:hAnsi="仿宋_GB2312" w:eastAsia="仿宋_GB2312"/>
          <w:sz w:val="32"/>
          <w:szCs w:val="32"/>
        </w:rPr>
        <w:t>日至</w:t>
      </w:r>
      <w:r>
        <w:rPr>
          <w:rFonts w:eastAsia="仿宋_GB2312"/>
          <w:sz w:val="32"/>
          <w:szCs w:val="32"/>
        </w:rPr>
        <w:t>15</w:t>
      </w:r>
      <w:r>
        <w:rPr>
          <w:rFonts w:hAnsi="仿宋_GB2312" w:eastAsia="仿宋_GB2312"/>
          <w:sz w:val="32"/>
          <w:szCs w:val="32"/>
        </w:rPr>
        <w:t>日，评价工作组根据收集的资料、现场察看情况，结合岘山镇政府的绩效自评报告、评价得分表，进行分析评价。</w:t>
      </w:r>
    </w:p>
    <w:p>
      <w:pPr>
        <w:spacing w:line="360" w:lineRule="auto"/>
        <w:ind w:firstLine="643" w:firstLineChars="200"/>
        <w:rPr>
          <w:rFonts w:eastAsia="仿宋_GB2312"/>
          <w:sz w:val="32"/>
          <w:szCs w:val="32"/>
        </w:rPr>
      </w:pPr>
      <w:r>
        <w:rPr>
          <w:rFonts w:eastAsia="仿宋_GB2312"/>
          <w:b/>
          <w:bCs/>
          <w:sz w:val="32"/>
          <w:szCs w:val="32"/>
        </w:rPr>
        <w:t>4</w:t>
      </w:r>
      <w:r>
        <w:rPr>
          <w:rFonts w:hAnsi="仿宋_GB2312" w:eastAsia="仿宋_GB2312"/>
          <w:b/>
          <w:bCs/>
          <w:sz w:val="32"/>
          <w:szCs w:val="32"/>
        </w:rPr>
        <w:t>、评价报告阶段。</w:t>
      </w:r>
      <w:r>
        <w:rPr>
          <w:rFonts w:hAnsi="仿宋_GB2312" w:eastAsia="仿宋_GB2312"/>
          <w:sz w:val="32"/>
          <w:szCs w:val="32"/>
        </w:rPr>
        <w:t>评价工作组结合现场评价对部门整体绩效进行深入分析，撰写评价报告。</w:t>
      </w:r>
    </w:p>
    <w:p>
      <w:pPr>
        <w:spacing w:line="360" w:lineRule="auto"/>
        <w:ind w:firstLine="643" w:firstLineChars="200"/>
        <w:rPr>
          <w:rFonts w:eastAsia="仿宋_GB2312"/>
          <w:sz w:val="32"/>
          <w:szCs w:val="32"/>
        </w:rPr>
      </w:pPr>
      <w:bookmarkStart w:id="13" w:name="_Toc13004"/>
      <w:bookmarkStart w:id="14" w:name="_Toc1082"/>
      <w:bookmarkStart w:id="15" w:name="_Toc29448"/>
      <w:bookmarkStart w:id="16" w:name="_Toc29205"/>
      <w:r>
        <w:rPr>
          <w:rFonts w:eastAsia="仿宋_GB2312"/>
          <w:b/>
          <w:bCs/>
          <w:sz w:val="32"/>
          <w:szCs w:val="32"/>
        </w:rPr>
        <w:t>5</w:t>
      </w:r>
      <w:r>
        <w:rPr>
          <w:rFonts w:hAnsi="仿宋_GB2312" w:eastAsia="仿宋_GB2312"/>
          <w:b/>
          <w:bCs/>
          <w:sz w:val="32"/>
          <w:szCs w:val="32"/>
        </w:rPr>
        <w:t>、工作总结阶段</w:t>
      </w:r>
      <w:bookmarkEnd w:id="13"/>
      <w:bookmarkEnd w:id="14"/>
      <w:bookmarkEnd w:id="15"/>
      <w:bookmarkEnd w:id="16"/>
      <w:r>
        <w:rPr>
          <w:rFonts w:hAnsi="仿宋_GB2312" w:eastAsia="仿宋_GB2312"/>
          <w:b/>
          <w:bCs/>
          <w:sz w:val="32"/>
          <w:szCs w:val="32"/>
        </w:rPr>
        <w:t>。</w:t>
      </w:r>
      <w:r>
        <w:rPr>
          <w:rFonts w:hAnsi="仿宋_GB2312" w:eastAsia="仿宋_GB2312"/>
          <w:sz w:val="32"/>
          <w:szCs w:val="32"/>
        </w:rPr>
        <w:t>评价工作结束后，评价工作组认真总结工作经验，针对评价工作管理、预算管理等提出相应意见和建议，供衡阳县财政局参考。</w:t>
      </w:r>
    </w:p>
    <w:p>
      <w:pPr>
        <w:spacing w:line="360" w:lineRule="auto"/>
        <w:ind w:firstLine="643" w:firstLineChars="200"/>
        <w:outlineLvl w:val="0"/>
        <w:rPr>
          <w:rFonts w:eastAsia="黑体"/>
          <w:b/>
          <w:bCs/>
          <w:sz w:val="32"/>
          <w:szCs w:val="32"/>
        </w:rPr>
      </w:pPr>
      <w:bookmarkStart w:id="17" w:name="_Toc25938880"/>
      <w:r>
        <w:rPr>
          <w:rFonts w:hAnsi="黑体" w:eastAsia="黑体"/>
          <w:b/>
          <w:bCs/>
          <w:sz w:val="32"/>
          <w:szCs w:val="32"/>
        </w:rPr>
        <w:t>三、部门整体支出管理及使用情况</w:t>
      </w:r>
      <w:bookmarkEnd w:id="17"/>
    </w:p>
    <w:p>
      <w:pPr>
        <w:spacing w:line="360" w:lineRule="auto"/>
        <w:ind w:firstLine="640" w:firstLineChars="200"/>
        <w:rPr>
          <w:rFonts w:eastAsia="仿宋_GB2312"/>
          <w:sz w:val="32"/>
          <w:szCs w:val="32"/>
        </w:rPr>
      </w:pPr>
      <w:r>
        <w:rPr>
          <w:rFonts w:eastAsia="仿宋_GB2312"/>
          <w:sz w:val="32"/>
          <w:szCs w:val="32"/>
        </w:rPr>
        <w:t>2018</w:t>
      </w:r>
      <w:r>
        <w:rPr>
          <w:rFonts w:hAnsi="仿宋_GB2312" w:eastAsia="仿宋_GB2312"/>
          <w:sz w:val="32"/>
          <w:szCs w:val="32"/>
        </w:rPr>
        <w:t>年年初本级预算收入</w:t>
      </w:r>
      <w:r>
        <w:rPr>
          <w:rFonts w:eastAsia="仿宋_GB2312"/>
          <w:sz w:val="32"/>
          <w:szCs w:val="32"/>
        </w:rPr>
        <w:t>2,074.16</w:t>
      </w:r>
      <w:r>
        <w:rPr>
          <w:rFonts w:hAnsi="仿宋_GB2312" w:eastAsia="仿宋_GB2312"/>
          <w:sz w:val="32"/>
          <w:szCs w:val="32"/>
        </w:rPr>
        <w:t>万元，其中财政拨款收入</w:t>
      </w:r>
      <w:r>
        <w:rPr>
          <w:rFonts w:eastAsia="仿宋_GB2312"/>
          <w:sz w:val="32"/>
          <w:szCs w:val="32"/>
        </w:rPr>
        <w:t>1,946.24</w:t>
      </w:r>
      <w:r>
        <w:rPr>
          <w:rFonts w:hAnsi="仿宋_GB2312" w:eastAsia="仿宋_GB2312"/>
          <w:sz w:val="32"/>
          <w:szCs w:val="32"/>
        </w:rPr>
        <w:t>万元，基金预算拨款</w:t>
      </w:r>
      <w:r>
        <w:rPr>
          <w:rFonts w:eastAsia="仿宋_GB2312"/>
          <w:sz w:val="32"/>
          <w:szCs w:val="32"/>
        </w:rPr>
        <w:t>127.92</w:t>
      </w:r>
      <w:r>
        <w:rPr>
          <w:rFonts w:hAnsi="仿宋_GB2312" w:eastAsia="仿宋_GB2312"/>
          <w:sz w:val="32"/>
          <w:szCs w:val="32"/>
        </w:rPr>
        <w:t>万元；</w:t>
      </w:r>
      <w:r>
        <w:rPr>
          <w:rFonts w:eastAsia="仿宋_GB2312"/>
          <w:sz w:val="32"/>
          <w:szCs w:val="32"/>
        </w:rPr>
        <w:t>2018</w:t>
      </w:r>
      <w:r>
        <w:rPr>
          <w:rFonts w:hAnsi="仿宋_GB2312" w:eastAsia="仿宋_GB2312"/>
          <w:sz w:val="32"/>
          <w:szCs w:val="32"/>
        </w:rPr>
        <w:t>年决算总收入</w:t>
      </w:r>
      <w:r>
        <w:rPr>
          <w:rFonts w:eastAsia="仿宋_GB2312"/>
          <w:sz w:val="32"/>
          <w:szCs w:val="32"/>
        </w:rPr>
        <w:t>2,165.98</w:t>
      </w:r>
      <w:r>
        <w:rPr>
          <w:rFonts w:hAnsi="仿宋_GB2312" w:eastAsia="仿宋_GB2312"/>
          <w:sz w:val="32"/>
          <w:szCs w:val="32"/>
        </w:rPr>
        <w:t>万元，其中财政拨款收入</w:t>
      </w:r>
      <w:r>
        <w:rPr>
          <w:rFonts w:eastAsia="仿宋_GB2312"/>
          <w:sz w:val="32"/>
          <w:szCs w:val="32"/>
        </w:rPr>
        <w:t>2,038.06</w:t>
      </w:r>
      <w:r>
        <w:rPr>
          <w:rFonts w:hAnsi="仿宋_GB2312" w:eastAsia="仿宋_GB2312"/>
          <w:sz w:val="32"/>
          <w:szCs w:val="32"/>
        </w:rPr>
        <w:t>万元，基金预算收入</w:t>
      </w:r>
      <w:r>
        <w:rPr>
          <w:rFonts w:eastAsia="仿宋_GB2312"/>
          <w:sz w:val="32"/>
          <w:szCs w:val="32"/>
        </w:rPr>
        <w:t>127.92</w:t>
      </w:r>
      <w:r>
        <w:rPr>
          <w:rFonts w:hAnsi="仿宋_GB2312" w:eastAsia="仿宋_GB2312"/>
          <w:sz w:val="32"/>
          <w:szCs w:val="32"/>
        </w:rPr>
        <w:t>万元。</w:t>
      </w:r>
    </w:p>
    <w:p>
      <w:pPr>
        <w:spacing w:line="360" w:lineRule="auto"/>
        <w:ind w:firstLine="640" w:firstLineChars="200"/>
        <w:rPr>
          <w:rFonts w:eastAsia="仿宋_GB2312"/>
          <w:sz w:val="32"/>
          <w:szCs w:val="32"/>
        </w:rPr>
      </w:pPr>
      <w:r>
        <w:rPr>
          <w:rFonts w:eastAsia="仿宋_GB2312"/>
          <w:sz w:val="32"/>
          <w:szCs w:val="32"/>
        </w:rPr>
        <w:t>2018</w:t>
      </w:r>
      <w:r>
        <w:rPr>
          <w:rFonts w:hAnsi="仿宋_GB2312" w:eastAsia="仿宋_GB2312"/>
          <w:sz w:val="32"/>
          <w:szCs w:val="32"/>
        </w:rPr>
        <w:t>年年初预算支出</w:t>
      </w:r>
      <w:r>
        <w:rPr>
          <w:rFonts w:eastAsia="仿宋_GB2312"/>
          <w:sz w:val="32"/>
          <w:szCs w:val="32"/>
        </w:rPr>
        <w:t>2,074.16</w:t>
      </w:r>
      <w:r>
        <w:rPr>
          <w:rFonts w:hAnsi="仿宋_GB2312" w:eastAsia="仿宋_GB2312"/>
          <w:sz w:val="32"/>
          <w:szCs w:val="32"/>
        </w:rPr>
        <w:t>万元，其中基本支出</w:t>
      </w:r>
      <w:r>
        <w:rPr>
          <w:rFonts w:eastAsia="仿宋_GB2312"/>
          <w:sz w:val="32"/>
          <w:szCs w:val="32"/>
        </w:rPr>
        <w:t>1,905.96</w:t>
      </w:r>
      <w:r>
        <w:rPr>
          <w:rFonts w:hAnsi="仿宋_GB2312" w:eastAsia="仿宋_GB2312"/>
          <w:sz w:val="32"/>
          <w:szCs w:val="32"/>
        </w:rPr>
        <w:t>万元</w:t>
      </w:r>
      <w:r>
        <w:rPr>
          <w:rFonts w:eastAsia="仿宋_GB2312"/>
          <w:sz w:val="32"/>
          <w:szCs w:val="32"/>
        </w:rPr>
        <w:t>,</w:t>
      </w:r>
      <w:r>
        <w:rPr>
          <w:rFonts w:hAnsi="仿宋_GB2312" w:eastAsia="仿宋_GB2312"/>
          <w:sz w:val="32"/>
          <w:szCs w:val="32"/>
        </w:rPr>
        <w:t>项目支出</w:t>
      </w:r>
      <w:r>
        <w:rPr>
          <w:rFonts w:eastAsia="仿宋_GB2312"/>
          <w:sz w:val="32"/>
          <w:szCs w:val="32"/>
        </w:rPr>
        <w:t>168.20</w:t>
      </w:r>
      <w:r>
        <w:rPr>
          <w:rFonts w:hAnsi="仿宋_GB2312" w:eastAsia="仿宋_GB2312"/>
          <w:sz w:val="32"/>
          <w:szCs w:val="32"/>
        </w:rPr>
        <w:t>万元；岘山镇政府</w:t>
      </w:r>
      <w:r>
        <w:rPr>
          <w:rFonts w:eastAsia="仿宋_GB2312"/>
          <w:sz w:val="32"/>
          <w:szCs w:val="32"/>
        </w:rPr>
        <w:t>2018</w:t>
      </w:r>
      <w:r>
        <w:rPr>
          <w:rFonts w:hAnsi="仿宋_GB2312" w:eastAsia="仿宋_GB2312"/>
          <w:sz w:val="32"/>
          <w:szCs w:val="32"/>
        </w:rPr>
        <w:t>年决算支出欠准确，根据《</w:t>
      </w:r>
      <w:r>
        <w:rPr>
          <w:rFonts w:eastAsia="仿宋_GB2312"/>
          <w:sz w:val="32"/>
          <w:szCs w:val="32"/>
        </w:rPr>
        <w:t>2018</w:t>
      </w:r>
      <w:r>
        <w:rPr>
          <w:rFonts w:hAnsi="仿宋_GB2312" w:eastAsia="仿宋_GB2312"/>
          <w:sz w:val="32"/>
          <w:szCs w:val="32"/>
        </w:rPr>
        <w:t>年岘山镇政府指标单》汇总得出</w:t>
      </w:r>
      <w:r>
        <w:rPr>
          <w:rFonts w:eastAsia="仿宋_GB2312"/>
          <w:sz w:val="32"/>
          <w:szCs w:val="32"/>
        </w:rPr>
        <w:t>2018</w:t>
      </w:r>
      <w:r>
        <w:rPr>
          <w:rFonts w:hAnsi="仿宋_GB2312" w:eastAsia="仿宋_GB2312"/>
          <w:sz w:val="32"/>
          <w:szCs w:val="32"/>
        </w:rPr>
        <w:t>年决算支出</w:t>
      </w:r>
      <w:r>
        <w:rPr>
          <w:rFonts w:eastAsia="仿宋_GB2312"/>
          <w:sz w:val="32"/>
          <w:szCs w:val="32"/>
        </w:rPr>
        <w:t>2,223.08</w:t>
      </w:r>
      <w:r>
        <w:rPr>
          <w:rFonts w:hAnsi="仿宋_GB2312" w:eastAsia="仿宋_GB2312"/>
          <w:sz w:val="32"/>
          <w:szCs w:val="32"/>
        </w:rPr>
        <w:t>万元，其中基本支出</w:t>
      </w:r>
      <w:r>
        <w:rPr>
          <w:rFonts w:eastAsia="仿宋_GB2312"/>
          <w:sz w:val="32"/>
          <w:szCs w:val="32"/>
        </w:rPr>
        <w:t>2,040.58</w:t>
      </w:r>
      <w:r>
        <w:rPr>
          <w:rFonts w:hAnsi="仿宋_GB2312" w:eastAsia="仿宋_GB2312"/>
          <w:sz w:val="32"/>
          <w:szCs w:val="32"/>
        </w:rPr>
        <w:t>万元，项目支出</w:t>
      </w:r>
      <w:r>
        <w:rPr>
          <w:rFonts w:eastAsia="仿宋_GB2312"/>
          <w:sz w:val="32"/>
          <w:szCs w:val="32"/>
        </w:rPr>
        <w:t>182.50</w:t>
      </w:r>
      <w:r>
        <w:rPr>
          <w:rFonts w:hAnsi="仿宋_GB2312" w:eastAsia="仿宋_GB2312"/>
          <w:sz w:val="32"/>
          <w:szCs w:val="32"/>
        </w:rPr>
        <w:t>万元。</w:t>
      </w:r>
    </w:p>
    <w:p>
      <w:pPr>
        <w:spacing w:line="360" w:lineRule="auto"/>
        <w:ind w:firstLine="480" w:firstLineChars="200"/>
        <w:jc w:val="right"/>
        <w:rPr>
          <w:rFonts w:eastAsia="仿宋_GB2312"/>
          <w:sz w:val="32"/>
          <w:szCs w:val="32"/>
        </w:rPr>
      </w:pPr>
      <w:r>
        <w:rPr>
          <w:rFonts w:hAnsi="仿宋_GB2312" w:eastAsia="仿宋_GB2312"/>
          <w:sz w:val="24"/>
        </w:rPr>
        <w:t>岘山镇政府部门收支预算情况表</w:t>
      </w:r>
      <w:r>
        <w:rPr>
          <w:rFonts w:eastAsia="仿宋_GB2312"/>
          <w:sz w:val="24"/>
        </w:rPr>
        <w:t xml:space="preserve">             </w:t>
      </w:r>
      <w:r>
        <w:rPr>
          <w:rFonts w:hAnsi="仿宋_GB2312" w:eastAsia="仿宋_GB2312"/>
          <w:sz w:val="24"/>
        </w:rPr>
        <w:t>单位：万元</w:t>
      </w:r>
    </w:p>
    <w:tbl>
      <w:tblPr>
        <w:tblStyle w:val="15"/>
        <w:tblW w:w="847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837"/>
        <w:gridCol w:w="1654"/>
        <w:gridCol w:w="1242"/>
        <w:gridCol w:w="1249"/>
        <w:gridCol w:w="1134"/>
        <w:gridCol w:w="1201"/>
        <w:gridCol w:w="115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91" w:type="dxa"/>
            <w:gridSpan w:val="2"/>
            <w:vMerge w:val="restart"/>
            <w:tcBorders>
              <w:tl2br w:val="nil"/>
              <w:tr2bl w:val="nil"/>
            </w:tcBorders>
            <w:vAlign w:val="center"/>
          </w:tcPr>
          <w:p>
            <w:pPr>
              <w:widowControl/>
              <w:jc w:val="center"/>
              <w:rPr>
                <w:b/>
                <w:bCs/>
                <w:color w:val="000000"/>
                <w:kern w:val="0"/>
                <w:szCs w:val="21"/>
              </w:rPr>
            </w:pPr>
            <w:r>
              <w:rPr>
                <w:rFonts w:hAnsi="宋体"/>
                <w:b/>
                <w:bCs/>
                <w:color w:val="000000"/>
                <w:kern w:val="0"/>
                <w:szCs w:val="21"/>
              </w:rPr>
              <w:t>部门预算</w:t>
            </w:r>
          </w:p>
        </w:tc>
        <w:tc>
          <w:tcPr>
            <w:tcW w:w="2491" w:type="dxa"/>
            <w:gridSpan w:val="2"/>
            <w:tcBorders>
              <w:tl2br w:val="nil"/>
              <w:tr2bl w:val="nil"/>
            </w:tcBorders>
            <w:vAlign w:val="center"/>
          </w:tcPr>
          <w:p>
            <w:pPr>
              <w:widowControl/>
              <w:jc w:val="center"/>
              <w:rPr>
                <w:b/>
                <w:bCs/>
                <w:color w:val="000000"/>
                <w:kern w:val="0"/>
                <w:szCs w:val="21"/>
              </w:rPr>
            </w:pPr>
            <w:r>
              <w:rPr>
                <w:rFonts w:hAnsi="宋体"/>
                <w:b/>
                <w:bCs/>
                <w:color w:val="000000"/>
                <w:kern w:val="0"/>
                <w:szCs w:val="21"/>
              </w:rPr>
              <w:t>年初预算</w:t>
            </w:r>
          </w:p>
        </w:tc>
        <w:tc>
          <w:tcPr>
            <w:tcW w:w="1134" w:type="dxa"/>
            <w:vMerge w:val="restart"/>
            <w:tcBorders>
              <w:tl2br w:val="nil"/>
              <w:tr2bl w:val="nil"/>
            </w:tcBorders>
            <w:vAlign w:val="center"/>
          </w:tcPr>
          <w:p>
            <w:pPr>
              <w:widowControl/>
              <w:jc w:val="center"/>
              <w:rPr>
                <w:b/>
                <w:bCs/>
                <w:color w:val="000000"/>
                <w:kern w:val="0"/>
                <w:szCs w:val="21"/>
              </w:rPr>
            </w:pPr>
            <w:r>
              <w:rPr>
                <w:rFonts w:hAnsi="宋体"/>
                <w:b/>
                <w:bCs/>
                <w:color w:val="000000"/>
                <w:kern w:val="0"/>
                <w:szCs w:val="21"/>
              </w:rPr>
              <w:t>预算</w:t>
            </w:r>
          </w:p>
          <w:p>
            <w:pPr>
              <w:widowControl/>
              <w:jc w:val="center"/>
              <w:rPr>
                <w:b/>
                <w:bCs/>
                <w:color w:val="000000"/>
                <w:kern w:val="0"/>
                <w:szCs w:val="21"/>
              </w:rPr>
            </w:pPr>
            <w:r>
              <w:rPr>
                <w:rFonts w:hAnsi="宋体"/>
                <w:b/>
                <w:bCs/>
                <w:color w:val="000000"/>
                <w:kern w:val="0"/>
                <w:szCs w:val="21"/>
              </w:rPr>
              <w:t>占比（</w:t>
            </w:r>
            <w:r>
              <w:rPr>
                <w:b/>
                <w:bCs/>
                <w:color w:val="000000"/>
                <w:kern w:val="0"/>
                <w:szCs w:val="21"/>
              </w:rPr>
              <w:t>%</w:t>
            </w:r>
            <w:r>
              <w:rPr>
                <w:rFonts w:hAnsi="宋体"/>
                <w:b/>
                <w:bCs/>
                <w:color w:val="000000"/>
                <w:kern w:val="0"/>
                <w:szCs w:val="21"/>
              </w:rPr>
              <w:t>）</w:t>
            </w:r>
          </w:p>
        </w:tc>
        <w:tc>
          <w:tcPr>
            <w:tcW w:w="2356" w:type="dxa"/>
            <w:gridSpan w:val="2"/>
            <w:tcBorders>
              <w:tl2br w:val="nil"/>
              <w:tr2bl w:val="nil"/>
            </w:tcBorders>
            <w:vAlign w:val="center"/>
          </w:tcPr>
          <w:p>
            <w:pPr>
              <w:widowControl/>
              <w:jc w:val="center"/>
              <w:rPr>
                <w:b/>
                <w:bCs/>
                <w:color w:val="000000"/>
                <w:kern w:val="0"/>
                <w:szCs w:val="21"/>
              </w:rPr>
            </w:pPr>
            <w:r>
              <w:rPr>
                <w:rFonts w:hAnsi="宋体"/>
                <w:b/>
                <w:bCs/>
                <w:color w:val="000000"/>
                <w:kern w:val="0"/>
                <w:szCs w:val="21"/>
              </w:rPr>
              <w:t>比较上年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91" w:type="dxa"/>
            <w:gridSpan w:val="2"/>
            <w:vMerge w:val="continue"/>
            <w:tcBorders>
              <w:tl2br w:val="nil"/>
              <w:tr2bl w:val="nil"/>
            </w:tcBorders>
            <w:vAlign w:val="center"/>
          </w:tcPr>
          <w:p>
            <w:pPr>
              <w:widowControl/>
              <w:jc w:val="center"/>
              <w:rPr>
                <w:b/>
                <w:bCs/>
                <w:color w:val="000000"/>
                <w:kern w:val="0"/>
                <w:szCs w:val="21"/>
              </w:rPr>
            </w:pPr>
          </w:p>
        </w:tc>
        <w:tc>
          <w:tcPr>
            <w:tcW w:w="1242" w:type="dxa"/>
            <w:tcBorders>
              <w:tl2br w:val="nil"/>
              <w:tr2bl w:val="nil"/>
            </w:tcBorders>
            <w:vAlign w:val="center"/>
          </w:tcPr>
          <w:p>
            <w:pPr>
              <w:widowControl/>
              <w:jc w:val="center"/>
              <w:rPr>
                <w:b/>
                <w:bCs/>
                <w:color w:val="000000"/>
                <w:kern w:val="0"/>
                <w:szCs w:val="21"/>
              </w:rPr>
            </w:pPr>
            <w:r>
              <w:rPr>
                <w:rFonts w:hAnsi="宋体"/>
                <w:b/>
                <w:bCs/>
                <w:color w:val="000000"/>
                <w:kern w:val="0"/>
                <w:szCs w:val="21"/>
              </w:rPr>
              <w:t>上年</w:t>
            </w:r>
          </w:p>
        </w:tc>
        <w:tc>
          <w:tcPr>
            <w:tcW w:w="1249" w:type="dxa"/>
            <w:tcBorders>
              <w:tl2br w:val="nil"/>
              <w:tr2bl w:val="nil"/>
            </w:tcBorders>
            <w:vAlign w:val="center"/>
          </w:tcPr>
          <w:p>
            <w:pPr>
              <w:widowControl/>
              <w:jc w:val="center"/>
              <w:rPr>
                <w:b/>
                <w:bCs/>
                <w:color w:val="000000"/>
                <w:kern w:val="0"/>
                <w:szCs w:val="21"/>
              </w:rPr>
            </w:pPr>
            <w:r>
              <w:rPr>
                <w:rFonts w:hAnsi="宋体"/>
                <w:b/>
                <w:bCs/>
                <w:color w:val="000000"/>
                <w:kern w:val="0"/>
                <w:szCs w:val="21"/>
              </w:rPr>
              <w:t>本年</w:t>
            </w:r>
          </w:p>
        </w:tc>
        <w:tc>
          <w:tcPr>
            <w:tcW w:w="1134" w:type="dxa"/>
            <w:vMerge w:val="continue"/>
            <w:tcBorders>
              <w:tl2br w:val="nil"/>
              <w:tr2bl w:val="nil"/>
            </w:tcBorders>
            <w:vAlign w:val="center"/>
          </w:tcPr>
          <w:p>
            <w:pPr>
              <w:widowControl/>
              <w:jc w:val="center"/>
              <w:rPr>
                <w:b/>
                <w:bCs/>
                <w:color w:val="000000"/>
                <w:kern w:val="0"/>
                <w:szCs w:val="21"/>
              </w:rPr>
            </w:pPr>
          </w:p>
        </w:tc>
        <w:tc>
          <w:tcPr>
            <w:tcW w:w="1201" w:type="dxa"/>
            <w:tcBorders>
              <w:tl2br w:val="nil"/>
              <w:tr2bl w:val="nil"/>
            </w:tcBorders>
            <w:vAlign w:val="center"/>
          </w:tcPr>
          <w:p>
            <w:pPr>
              <w:widowControl/>
              <w:jc w:val="center"/>
              <w:rPr>
                <w:b/>
                <w:bCs/>
                <w:color w:val="000000"/>
                <w:kern w:val="0"/>
                <w:szCs w:val="21"/>
              </w:rPr>
            </w:pPr>
            <w:r>
              <w:rPr>
                <w:b/>
                <w:bCs/>
                <w:color w:val="000000"/>
                <w:kern w:val="0"/>
                <w:szCs w:val="21"/>
              </w:rPr>
              <w:t>±</w:t>
            </w:r>
          </w:p>
        </w:tc>
        <w:tc>
          <w:tcPr>
            <w:tcW w:w="1155" w:type="dxa"/>
            <w:tcBorders>
              <w:tl2br w:val="nil"/>
              <w:tr2bl w:val="nil"/>
            </w:tcBorders>
            <w:vAlign w:val="center"/>
          </w:tcPr>
          <w:p>
            <w:pPr>
              <w:widowControl/>
              <w:jc w:val="center"/>
              <w:rPr>
                <w:b/>
                <w:bCs/>
                <w:color w:val="000000"/>
                <w:kern w:val="0"/>
                <w:szCs w:val="21"/>
              </w:rPr>
            </w:pPr>
            <w:r>
              <w:rPr>
                <w:b/>
                <w:bCs/>
                <w:color w:val="000000"/>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837" w:type="dxa"/>
            <w:vMerge w:val="restart"/>
            <w:tcBorders>
              <w:tl2br w:val="nil"/>
              <w:tr2bl w:val="nil"/>
            </w:tcBorders>
            <w:textDirection w:val="tbLrV"/>
            <w:vAlign w:val="center"/>
          </w:tcPr>
          <w:p>
            <w:pPr>
              <w:spacing w:line="360" w:lineRule="auto"/>
              <w:ind w:left="113" w:right="113"/>
              <w:jc w:val="center"/>
              <w:rPr>
                <w:b/>
                <w:bCs/>
                <w:szCs w:val="21"/>
              </w:rPr>
            </w:pPr>
            <w:r>
              <w:rPr>
                <w:rFonts w:hAnsi="宋体"/>
                <w:b/>
                <w:bCs/>
                <w:szCs w:val="21"/>
              </w:rPr>
              <w:t>收入预算</w:t>
            </w:r>
          </w:p>
        </w:tc>
        <w:tc>
          <w:tcPr>
            <w:tcW w:w="1654" w:type="dxa"/>
            <w:tcBorders>
              <w:tl2br w:val="nil"/>
              <w:tr2bl w:val="nil"/>
            </w:tcBorders>
            <w:vAlign w:val="center"/>
          </w:tcPr>
          <w:p>
            <w:pPr>
              <w:spacing w:line="360" w:lineRule="auto"/>
              <w:jc w:val="center"/>
              <w:rPr>
                <w:szCs w:val="21"/>
              </w:rPr>
            </w:pPr>
            <w:r>
              <w:rPr>
                <w:rFonts w:hAnsi="宋体"/>
                <w:szCs w:val="21"/>
              </w:rPr>
              <w:t>财政拨款收入</w:t>
            </w:r>
          </w:p>
        </w:tc>
        <w:tc>
          <w:tcPr>
            <w:tcW w:w="1242" w:type="dxa"/>
            <w:tcBorders>
              <w:tl2br w:val="nil"/>
              <w:tr2bl w:val="nil"/>
            </w:tcBorders>
          </w:tcPr>
          <w:p>
            <w:pPr>
              <w:spacing w:line="360" w:lineRule="auto"/>
              <w:jc w:val="right"/>
              <w:rPr>
                <w:sz w:val="18"/>
                <w:szCs w:val="18"/>
              </w:rPr>
            </w:pPr>
            <w:r>
              <w:rPr>
                <w:sz w:val="18"/>
                <w:szCs w:val="18"/>
              </w:rPr>
              <w:t>1,419.93</w:t>
            </w:r>
          </w:p>
        </w:tc>
        <w:tc>
          <w:tcPr>
            <w:tcW w:w="1249" w:type="dxa"/>
            <w:tcBorders>
              <w:tl2br w:val="nil"/>
              <w:tr2bl w:val="nil"/>
            </w:tcBorders>
          </w:tcPr>
          <w:p>
            <w:pPr>
              <w:spacing w:line="360" w:lineRule="auto"/>
              <w:jc w:val="right"/>
              <w:rPr>
                <w:sz w:val="18"/>
                <w:szCs w:val="18"/>
              </w:rPr>
            </w:pPr>
            <w:r>
              <w:rPr>
                <w:sz w:val="18"/>
                <w:szCs w:val="18"/>
              </w:rPr>
              <w:t>1,946.24</w:t>
            </w:r>
          </w:p>
        </w:tc>
        <w:tc>
          <w:tcPr>
            <w:tcW w:w="1134" w:type="dxa"/>
            <w:tcBorders>
              <w:tl2br w:val="nil"/>
              <w:tr2bl w:val="nil"/>
            </w:tcBorders>
            <w:vAlign w:val="center"/>
          </w:tcPr>
          <w:p>
            <w:pPr>
              <w:spacing w:line="360" w:lineRule="auto"/>
              <w:jc w:val="right"/>
              <w:rPr>
                <w:sz w:val="18"/>
                <w:szCs w:val="18"/>
              </w:rPr>
            </w:pPr>
            <w:r>
              <w:rPr>
                <w:sz w:val="18"/>
                <w:szCs w:val="18"/>
              </w:rPr>
              <w:t>93.83</w:t>
            </w:r>
          </w:p>
        </w:tc>
        <w:tc>
          <w:tcPr>
            <w:tcW w:w="1201" w:type="dxa"/>
            <w:tcBorders>
              <w:tl2br w:val="nil"/>
              <w:tr2bl w:val="nil"/>
            </w:tcBorders>
          </w:tcPr>
          <w:p>
            <w:pPr>
              <w:spacing w:line="360" w:lineRule="auto"/>
              <w:jc w:val="right"/>
              <w:rPr>
                <w:sz w:val="18"/>
                <w:szCs w:val="18"/>
              </w:rPr>
            </w:pPr>
            <w:r>
              <w:rPr>
                <w:sz w:val="18"/>
                <w:szCs w:val="18"/>
              </w:rPr>
              <w:t>526.31</w:t>
            </w:r>
          </w:p>
        </w:tc>
        <w:tc>
          <w:tcPr>
            <w:tcW w:w="1155" w:type="dxa"/>
            <w:tcBorders>
              <w:tl2br w:val="nil"/>
              <w:tr2bl w:val="nil"/>
            </w:tcBorders>
          </w:tcPr>
          <w:p>
            <w:pPr>
              <w:spacing w:line="360" w:lineRule="auto"/>
              <w:jc w:val="right"/>
              <w:rPr>
                <w:sz w:val="18"/>
                <w:szCs w:val="18"/>
              </w:rPr>
            </w:pPr>
            <w:r>
              <w:rPr>
                <w:sz w:val="18"/>
                <w:szCs w:val="18"/>
              </w:rPr>
              <w:t>37.07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837" w:type="dxa"/>
            <w:vMerge w:val="continue"/>
            <w:tcBorders>
              <w:tl2br w:val="nil"/>
              <w:tr2bl w:val="nil"/>
            </w:tcBorders>
            <w:vAlign w:val="center"/>
          </w:tcPr>
          <w:p>
            <w:pPr>
              <w:spacing w:line="360" w:lineRule="auto"/>
              <w:jc w:val="center"/>
              <w:rPr>
                <w:b/>
                <w:bCs/>
                <w:szCs w:val="21"/>
              </w:rPr>
            </w:pPr>
          </w:p>
        </w:tc>
        <w:tc>
          <w:tcPr>
            <w:tcW w:w="1654" w:type="dxa"/>
            <w:tcBorders>
              <w:tl2br w:val="nil"/>
              <w:tr2bl w:val="nil"/>
            </w:tcBorders>
            <w:vAlign w:val="center"/>
          </w:tcPr>
          <w:p>
            <w:pPr>
              <w:spacing w:line="360" w:lineRule="auto"/>
              <w:jc w:val="center"/>
              <w:rPr>
                <w:szCs w:val="21"/>
              </w:rPr>
            </w:pPr>
            <w:r>
              <w:rPr>
                <w:szCs w:val="21"/>
              </w:rPr>
              <w:t>基金预算拨款</w:t>
            </w:r>
          </w:p>
        </w:tc>
        <w:tc>
          <w:tcPr>
            <w:tcW w:w="1242" w:type="dxa"/>
            <w:tcBorders>
              <w:tl2br w:val="nil"/>
              <w:tr2bl w:val="nil"/>
            </w:tcBorders>
          </w:tcPr>
          <w:p>
            <w:pPr>
              <w:spacing w:line="360" w:lineRule="auto"/>
              <w:jc w:val="right"/>
              <w:rPr>
                <w:sz w:val="18"/>
                <w:szCs w:val="18"/>
              </w:rPr>
            </w:pPr>
          </w:p>
        </w:tc>
        <w:tc>
          <w:tcPr>
            <w:tcW w:w="1249" w:type="dxa"/>
            <w:tcBorders>
              <w:tl2br w:val="nil"/>
              <w:tr2bl w:val="nil"/>
            </w:tcBorders>
          </w:tcPr>
          <w:p>
            <w:pPr>
              <w:spacing w:line="360" w:lineRule="auto"/>
              <w:jc w:val="right"/>
              <w:rPr>
                <w:sz w:val="18"/>
                <w:szCs w:val="18"/>
              </w:rPr>
            </w:pPr>
            <w:r>
              <w:rPr>
                <w:sz w:val="18"/>
                <w:szCs w:val="18"/>
              </w:rPr>
              <w:t>127.92</w:t>
            </w:r>
          </w:p>
        </w:tc>
        <w:tc>
          <w:tcPr>
            <w:tcW w:w="1134" w:type="dxa"/>
            <w:tcBorders>
              <w:tl2br w:val="nil"/>
              <w:tr2bl w:val="nil"/>
            </w:tcBorders>
            <w:vAlign w:val="center"/>
          </w:tcPr>
          <w:p>
            <w:pPr>
              <w:spacing w:line="360" w:lineRule="auto"/>
              <w:jc w:val="right"/>
              <w:rPr>
                <w:sz w:val="18"/>
                <w:szCs w:val="18"/>
              </w:rPr>
            </w:pPr>
            <w:r>
              <w:rPr>
                <w:sz w:val="18"/>
                <w:szCs w:val="18"/>
              </w:rPr>
              <w:t>6.17</w:t>
            </w:r>
          </w:p>
        </w:tc>
        <w:tc>
          <w:tcPr>
            <w:tcW w:w="1201" w:type="dxa"/>
            <w:tcBorders>
              <w:tl2br w:val="nil"/>
              <w:tr2bl w:val="nil"/>
            </w:tcBorders>
          </w:tcPr>
          <w:p>
            <w:pPr>
              <w:spacing w:line="360" w:lineRule="auto"/>
              <w:jc w:val="right"/>
              <w:rPr>
                <w:sz w:val="18"/>
                <w:szCs w:val="18"/>
              </w:rPr>
            </w:pPr>
            <w:r>
              <w:rPr>
                <w:sz w:val="18"/>
                <w:szCs w:val="18"/>
              </w:rPr>
              <w:t>127.92</w:t>
            </w:r>
          </w:p>
        </w:tc>
        <w:tc>
          <w:tcPr>
            <w:tcW w:w="1155" w:type="dxa"/>
            <w:tcBorders>
              <w:tl2br w:val="nil"/>
              <w:tr2bl w:val="nil"/>
            </w:tcBorders>
          </w:tcPr>
          <w:p>
            <w:pPr>
              <w:spacing w:line="360" w:lineRule="auto"/>
              <w:jc w:val="right"/>
              <w:rPr>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837" w:type="dxa"/>
            <w:vMerge w:val="continue"/>
            <w:tcBorders>
              <w:tl2br w:val="nil"/>
              <w:tr2bl w:val="nil"/>
            </w:tcBorders>
            <w:vAlign w:val="center"/>
          </w:tcPr>
          <w:p>
            <w:pPr>
              <w:spacing w:line="360" w:lineRule="auto"/>
              <w:jc w:val="center"/>
              <w:rPr>
                <w:b/>
                <w:bCs/>
                <w:szCs w:val="21"/>
              </w:rPr>
            </w:pPr>
          </w:p>
        </w:tc>
        <w:tc>
          <w:tcPr>
            <w:tcW w:w="1654" w:type="dxa"/>
            <w:tcBorders>
              <w:tl2br w:val="nil"/>
              <w:tr2bl w:val="nil"/>
            </w:tcBorders>
            <w:vAlign w:val="center"/>
          </w:tcPr>
          <w:p>
            <w:pPr>
              <w:spacing w:line="360" w:lineRule="auto"/>
              <w:jc w:val="center"/>
              <w:rPr>
                <w:szCs w:val="21"/>
              </w:rPr>
            </w:pPr>
            <w:r>
              <w:rPr>
                <w:szCs w:val="21"/>
              </w:rPr>
              <w:t>合计</w:t>
            </w:r>
          </w:p>
        </w:tc>
        <w:tc>
          <w:tcPr>
            <w:tcW w:w="1242" w:type="dxa"/>
            <w:tcBorders>
              <w:tl2br w:val="nil"/>
              <w:tr2bl w:val="nil"/>
            </w:tcBorders>
          </w:tcPr>
          <w:p>
            <w:pPr>
              <w:spacing w:line="360" w:lineRule="auto"/>
              <w:jc w:val="right"/>
              <w:rPr>
                <w:sz w:val="18"/>
                <w:szCs w:val="18"/>
              </w:rPr>
            </w:pPr>
            <w:r>
              <w:rPr>
                <w:sz w:val="18"/>
                <w:szCs w:val="18"/>
              </w:rPr>
              <w:t>1,419.93</w:t>
            </w:r>
          </w:p>
        </w:tc>
        <w:tc>
          <w:tcPr>
            <w:tcW w:w="1249" w:type="dxa"/>
            <w:tcBorders>
              <w:tl2br w:val="nil"/>
              <w:tr2bl w:val="nil"/>
            </w:tcBorders>
          </w:tcPr>
          <w:p>
            <w:pPr>
              <w:spacing w:line="360" w:lineRule="auto"/>
              <w:jc w:val="right"/>
              <w:rPr>
                <w:sz w:val="18"/>
                <w:szCs w:val="18"/>
              </w:rPr>
            </w:pPr>
            <w:r>
              <w:rPr>
                <w:sz w:val="18"/>
                <w:szCs w:val="18"/>
              </w:rPr>
              <w:t>2,074.16</w:t>
            </w:r>
          </w:p>
        </w:tc>
        <w:tc>
          <w:tcPr>
            <w:tcW w:w="1134" w:type="dxa"/>
            <w:tcBorders>
              <w:tl2br w:val="nil"/>
              <w:tr2bl w:val="nil"/>
            </w:tcBorders>
          </w:tcPr>
          <w:p>
            <w:pPr>
              <w:spacing w:line="360" w:lineRule="auto"/>
              <w:jc w:val="right"/>
              <w:rPr>
                <w:sz w:val="18"/>
                <w:szCs w:val="18"/>
              </w:rPr>
            </w:pPr>
            <w:r>
              <w:rPr>
                <w:sz w:val="18"/>
                <w:szCs w:val="18"/>
              </w:rPr>
              <w:t>100.00</w:t>
            </w:r>
          </w:p>
        </w:tc>
        <w:tc>
          <w:tcPr>
            <w:tcW w:w="1201" w:type="dxa"/>
            <w:tcBorders>
              <w:tl2br w:val="nil"/>
              <w:tr2bl w:val="nil"/>
            </w:tcBorders>
          </w:tcPr>
          <w:p>
            <w:pPr>
              <w:spacing w:line="360" w:lineRule="auto"/>
              <w:jc w:val="right"/>
              <w:rPr>
                <w:sz w:val="18"/>
                <w:szCs w:val="18"/>
              </w:rPr>
            </w:pPr>
            <w:r>
              <w:rPr>
                <w:sz w:val="18"/>
                <w:szCs w:val="18"/>
              </w:rPr>
              <w:t>654.23</w:t>
            </w:r>
          </w:p>
        </w:tc>
        <w:tc>
          <w:tcPr>
            <w:tcW w:w="1155" w:type="dxa"/>
            <w:tcBorders>
              <w:tl2br w:val="nil"/>
              <w:tr2bl w:val="nil"/>
            </w:tcBorders>
          </w:tcPr>
          <w:p>
            <w:pPr>
              <w:spacing w:line="360" w:lineRule="auto"/>
              <w:jc w:val="right"/>
              <w:rPr>
                <w:sz w:val="18"/>
                <w:szCs w:val="18"/>
              </w:rPr>
            </w:pPr>
            <w:r>
              <w:rPr>
                <w:sz w:val="18"/>
                <w:szCs w:val="18"/>
              </w:rPr>
              <w:t>46.08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837" w:type="dxa"/>
            <w:vMerge w:val="restart"/>
            <w:tcBorders>
              <w:tl2br w:val="nil"/>
              <w:tr2bl w:val="nil"/>
            </w:tcBorders>
            <w:textDirection w:val="tbLrV"/>
            <w:vAlign w:val="center"/>
          </w:tcPr>
          <w:p>
            <w:pPr>
              <w:spacing w:line="360" w:lineRule="auto"/>
              <w:ind w:left="113" w:right="113"/>
              <w:jc w:val="center"/>
              <w:rPr>
                <w:b/>
                <w:bCs/>
                <w:szCs w:val="21"/>
              </w:rPr>
            </w:pPr>
            <w:r>
              <w:rPr>
                <w:b/>
                <w:bCs/>
                <w:szCs w:val="21"/>
              </w:rPr>
              <w:t>支出预算</w:t>
            </w:r>
          </w:p>
        </w:tc>
        <w:tc>
          <w:tcPr>
            <w:tcW w:w="1654" w:type="dxa"/>
            <w:tcBorders>
              <w:tl2br w:val="nil"/>
              <w:tr2bl w:val="nil"/>
            </w:tcBorders>
            <w:vAlign w:val="center"/>
          </w:tcPr>
          <w:p>
            <w:pPr>
              <w:spacing w:line="360" w:lineRule="auto"/>
              <w:jc w:val="center"/>
              <w:rPr>
                <w:szCs w:val="21"/>
              </w:rPr>
            </w:pPr>
            <w:r>
              <w:rPr>
                <w:szCs w:val="21"/>
              </w:rPr>
              <w:t>基本支出</w:t>
            </w:r>
          </w:p>
        </w:tc>
        <w:tc>
          <w:tcPr>
            <w:tcW w:w="1242" w:type="dxa"/>
            <w:tcBorders>
              <w:tl2br w:val="nil"/>
              <w:tr2bl w:val="nil"/>
            </w:tcBorders>
          </w:tcPr>
          <w:p>
            <w:pPr>
              <w:spacing w:line="360" w:lineRule="auto"/>
              <w:jc w:val="right"/>
              <w:rPr>
                <w:sz w:val="18"/>
                <w:szCs w:val="18"/>
              </w:rPr>
            </w:pPr>
            <w:r>
              <w:rPr>
                <w:sz w:val="18"/>
                <w:szCs w:val="18"/>
              </w:rPr>
              <w:t>1,419.93</w:t>
            </w:r>
          </w:p>
        </w:tc>
        <w:tc>
          <w:tcPr>
            <w:tcW w:w="1249" w:type="dxa"/>
            <w:tcBorders>
              <w:tl2br w:val="nil"/>
              <w:tr2bl w:val="nil"/>
            </w:tcBorders>
          </w:tcPr>
          <w:p>
            <w:pPr>
              <w:spacing w:line="360" w:lineRule="auto"/>
              <w:jc w:val="right"/>
              <w:rPr>
                <w:sz w:val="18"/>
                <w:szCs w:val="18"/>
              </w:rPr>
            </w:pPr>
            <w:r>
              <w:rPr>
                <w:sz w:val="18"/>
                <w:szCs w:val="18"/>
              </w:rPr>
              <w:t>1,905.96</w:t>
            </w:r>
          </w:p>
        </w:tc>
        <w:tc>
          <w:tcPr>
            <w:tcW w:w="1134" w:type="dxa"/>
            <w:tcBorders>
              <w:tl2br w:val="nil"/>
              <w:tr2bl w:val="nil"/>
            </w:tcBorders>
            <w:vAlign w:val="center"/>
          </w:tcPr>
          <w:p>
            <w:pPr>
              <w:spacing w:line="360" w:lineRule="auto"/>
              <w:jc w:val="right"/>
              <w:rPr>
                <w:sz w:val="18"/>
                <w:szCs w:val="18"/>
              </w:rPr>
            </w:pPr>
            <w:r>
              <w:rPr>
                <w:sz w:val="18"/>
                <w:szCs w:val="18"/>
              </w:rPr>
              <w:t>91.89</w:t>
            </w:r>
          </w:p>
        </w:tc>
        <w:tc>
          <w:tcPr>
            <w:tcW w:w="1201" w:type="dxa"/>
            <w:tcBorders>
              <w:tl2br w:val="nil"/>
              <w:tr2bl w:val="nil"/>
            </w:tcBorders>
          </w:tcPr>
          <w:p>
            <w:pPr>
              <w:spacing w:line="360" w:lineRule="auto"/>
              <w:jc w:val="right"/>
              <w:rPr>
                <w:sz w:val="18"/>
                <w:szCs w:val="18"/>
              </w:rPr>
            </w:pPr>
            <w:r>
              <w:rPr>
                <w:sz w:val="18"/>
                <w:szCs w:val="18"/>
              </w:rPr>
              <w:t>486.03</w:t>
            </w:r>
          </w:p>
        </w:tc>
        <w:tc>
          <w:tcPr>
            <w:tcW w:w="1155" w:type="dxa"/>
            <w:tcBorders>
              <w:tl2br w:val="nil"/>
              <w:tr2bl w:val="nil"/>
            </w:tcBorders>
          </w:tcPr>
          <w:p>
            <w:pPr>
              <w:spacing w:line="360" w:lineRule="auto"/>
              <w:jc w:val="right"/>
              <w:rPr>
                <w:sz w:val="18"/>
                <w:szCs w:val="18"/>
              </w:rPr>
            </w:pPr>
            <w:r>
              <w:rPr>
                <w:sz w:val="18"/>
                <w:szCs w:val="18"/>
              </w:rPr>
              <w:t>34.23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837" w:type="dxa"/>
            <w:vMerge w:val="continue"/>
            <w:tcBorders>
              <w:tl2br w:val="nil"/>
              <w:tr2bl w:val="nil"/>
            </w:tcBorders>
          </w:tcPr>
          <w:p>
            <w:pPr>
              <w:spacing w:line="360" w:lineRule="auto"/>
              <w:rPr>
                <w:rFonts w:eastAsia="仿宋_GB2312"/>
                <w:sz w:val="32"/>
                <w:szCs w:val="32"/>
              </w:rPr>
            </w:pPr>
          </w:p>
        </w:tc>
        <w:tc>
          <w:tcPr>
            <w:tcW w:w="1654" w:type="dxa"/>
            <w:tcBorders>
              <w:tl2br w:val="nil"/>
              <w:tr2bl w:val="nil"/>
            </w:tcBorders>
            <w:vAlign w:val="center"/>
          </w:tcPr>
          <w:p>
            <w:pPr>
              <w:spacing w:line="360" w:lineRule="auto"/>
              <w:jc w:val="center"/>
              <w:rPr>
                <w:szCs w:val="21"/>
              </w:rPr>
            </w:pPr>
            <w:r>
              <w:rPr>
                <w:szCs w:val="21"/>
              </w:rPr>
              <w:t>项目支出</w:t>
            </w:r>
          </w:p>
        </w:tc>
        <w:tc>
          <w:tcPr>
            <w:tcW w:w="1242" w:type="dxa"/>
            <w:tcBorders>
              <w:tl2br w:val="nil"/>
              <w:tr2bl w:val="nil"/>
            </w:tcBorders>
          </w:tcPr>
          <w:p>
            <w:pPr>
              <w:spacing w:line="360" w:lineRule="auto"/>
              <w:jc w:val="right"/>
              <w:rPr>
                <w:sz w:val="18"/>
                <w:szCs w:val="18"/>
              </w:rPr>
            </w:pPr>
          </w:p>
        </w:tc>
        <w:tc>
          <w:tcPr>
            <w:tcW w:w="1249" w:type="dxa"/>
            <w:tcBorders>
              <w:tl2br w:val="nil"/>
              <w:tr2bl w:val="nil"/>
            </w:tcBorders>
          </w:tcPr>
          <w:p>
            <w:pPr>
              <w:spacing w:line="360" w:lineRule="auto"/>
              <w:jc w:val="right"/>
              <w:rPr>
                <w:sz w:val="18"/>
                <w:szCs w:val="18"/>
              </w:rPr>
            </w:pPr>
            <w:r>
              <w:rPr>
                <w:sz w:val="18"/>
                <w:szCs w:val="18"/>
              </w:rPr>
              <w:t>168.20</w:t>
            </w:r>
          </w:p>
        </w:tc>
        <w:tc>
          <w:tcPr>
            <w:tcW w:w="1134" w:type="dxa"/>
            <w:tcBorders>
              <w:tl2br w:val="nil"/>
              <w:tr2bl w:val="nil"/>
            </w:tcBorders>
            <w:vAlign w:val="center"/>
          </w:tcPr>
          <w:p>
            <w:pPr>
              <w:spacing w:line="360" w:lineRule="auto"/>
              <w:jc w:val="right"/>
              <w:rPr>
                <w:sz w:val="18"/>
                <w:szCs w:val="18"/>
              </w:rPr>
            </w:pPr>
            <w:r>
              <w:rPr>
                <w:sz w:val="18"/>
                <w:szCs w:val="18"/>
              </w:rPr>
              <w:t>8.11</w:t>
            </w:r>
          </w:p>
        </w:tc>
        <w:tc>
          <w:tcPr>
            <w:tcW w:w="1201" w:type="dxa"/>
            <w:tcBorders>
              <w:tl2br w:val="nil"/>
              <w:tr2bl w:val="nil"/>
            </w:tcBorders>
          </w:tcPr>
          <w:p>
            <w:pPr>
              <w:spacing w:line="360" w:lineRule="auto"/>
              <w:jc w:val="right"/>
              <w:rPr>
                <w:sz w:val="18"/>
                <w:szCs w:val="18"/>
              </w:rPr>
            </w:pPr>
            <w:r>
              <w:rPr>
                <w:sz w:val="18"/>
                <w:szCs w:val="18"/>
              </w:rPr>
              <w:t>168.20</w:t>
            </w:r>
          </w:p>
        </w:tc>
        <w:tc>
          <w:tcPr>
            <w:tcW w:w="1155" w:type="dxa"/>
            <w:tcBorders>
              <w:tl2br w:val="nil"/>
              <w:tr2bl w:val="nil"/>
            </w:tcBorders>
          </w:tcPr>
          <w:p>
            <w:pPr>
              <w:spacing w:line="360" w:lineRule="auto"/>
              <w:jc w:val="right"/>
              <w:rPr>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837" w:type="dxa"/>
            <w:vMerge w:val="continue"/>
            <w:tcBorders>
              <w:tl2br w:val="nil"/>
              <w:tr2bl w:val="nil"/>
            </w:tcBorders>
          </w:tcPr>
          <w:p>
            <w:pPr>
              <w:spacing w:line="360" w:lineRule="auto"/>
              <w:rPr>
                <w:rFonts w:eastAsia="仿宋_GB2312"/>
                <w:sz w:val="32"/>
                <w:szCs w:val="32"/>
              </w:rPr>
            </w:pPr>
          </w:p>
        </w:tc>
        <w:tc>
          <w:tcPr>
            <w:tcW w:w="1654" w:type="dxa"/>
            <w:tcBorders>
              <w:tl2br w:val="nil"/>
              <w:tr2bl w:val="nil"/>
            </w:tcBorders>
            <w:vAlign w:val="center"/>
          </w:tcPr>
          <w:p>
            <w:pPr>
              <w:spacing w:line="360" w:lineRule="auto"/>
              <w:jc w:val="center"/>
              <w:rPr>
                <w:szCs w:val="21"/>
              </w:rPr>
            </w:pPr>
            <w:r>
              <w:rPr>
                <w:szCs w:val="21"/>
              </w:rPr>
              <w:t>合计</w:t>
            </w:r>
          </w:p>
        </w:tc>
        <w:tc>
          <w:tcPr>
            <w:tcW w:w="1242" w:type="dxa"/>
            <w:tcBorders>
              <w:tl2br w:val="nil"/>
              <w:tr2bl w:val="nil"/>
            </w:tcBorders>
          </w:tcPr>
          <w:p>
            <w:pPr>
              <w:spacing w:line="360" w:lineRule="auto"/>
              <w:jc w:val="right"/>
              <w:rPr>
                <w:sz w:val="18"/>
                <w:szCs w:val="18"/>
              </w:rPr>
            </w:pPr>
            <w:r>
              <w:rPr>
                <w:sz w:val="18"/>
                <w:szCs w:val="18"/>
              </w:rPr>
              <w:t>1,419.93</w:t>
            </w:r>
          </w:p>
        </w:tc>
        <w:tc>
          <w:tcPr>
            <w:tcW w:w="1249" w:type="dxa"/>
            <w:tcBorders>
              <w:tl2br w:val="nil"/>
              <w:tr2bl w:val="nil"/>
            </w:tcBorders>
          </w:tcPr>
          <w:p>
            <w:pPr>
              <w:spacing w:line="360" w:lineRule="auto"/>
              <w:jc w:val="right"/>
              <w:rPr>
                <w:sz w:val="18"/>
                <w:szCs w:val="18"/>
              </w:rPr>
            </w:pPr>
            <w:r>
              <w:rPr>
                <w:sz w:val="18"/>
                <w:szCs w:val="18"/>
              </w:rPr>
              <w:t>2,074.16</w:t>
            </w:r>
          </w:p>
        </w:tc>
        <w:tc>
          <w:tcPr>
            <w:tcW w:w="1134" w:type="dxa"/>
            <w:tcBorders>
              <w:tl2br w:val="nil"/>
              <w:tr2bl w:val="nil"/>
            </w:tcBorders>
          </w:tcPr>
          <w:p>
            <w:pPr>
              <w:spacing w:line="360" w:lineRule="auto"/>
              <w:jc w:val="right"/>
              <w:rPr>
                <w:sz w:val="18"/>
                <w:szCs w:val="18"/>
              </w:rPr>
            </w:pPr>
            <w:r>
              <w:rPr>
                <w:sz w:val="18"/>
                <w:szCs w:val="18"/>
              </w:rPr>
              <w:t>100.00</w:t>
            </w:r>
          </w:p>
        </w:tc>
        <w:tc>
          <w:tcPr>
            <w:tcW w:w="1201" w:type="dxa"/>
            <w:tcBorders>
              <w:tl2br w:val="nil"/>
              <w:tr2bl w:val="nil"/>
            </w:tcBorders>
          </w:tcPr>
          <w:p>
            <w:pPr>
              <w:spacing w:line="360" w:lineRule="auto"/>
              <w:jc w:val="right"/>
              <w:rPr>
                <w:sz w:val="18"/>
                <w:szCs w:val="18"/>
              </w:rPr>
            </w:pPr>
            <w:r>
              <w:rPr>
                <w:sz w:val="18"/>
                <w:szCs w:val="18"/>
              </w:rPr>
              <w:t>654.23</w:t>
            </w:r>
          </w:p>
        </w:tc>
        <w:tc>
          <w:tcPr>
            <w:tcW w:w="1155" w:type="dxa"/>
            <w:tcBorders>
              <w:tl2br w:val="nil"/>
              <w:tr2bl w:val="nil"/>
            </w:tcBorders>
          </w:tcPr>
          <w:p>
            <w:pPr>
              <w:spacing w:line="360" w:lineRule="auto"/>
              <w:jc w:val="right"/>
              <w:rPr>
                <w:sz w:val="18"/>
                <w:szCs w:val="18"/>
              </w:rPr>
            </w:pPr>
            <w:r>
              <w:rPr>
                <w:sz w:val="18"/>
                <w:szCs w:val="18"/>
              </w:rPr>
              <w:t>46.08</w:t>
            </w:r>
          </w:p>
        </w:tc>
      </w:tr>
    </w:tbl>
    <w:p>
      <w:pPr>
        <w:spacing w:line="360" w:lineRule="auto"/>
        <w:ind w:firstLine="640" w:firstLineChars="200"/>
        <w:rPr>
          <w:rFonts w:eastAsia="仿宋_GB2312"/>
          <w:sz w:val="32"/>
          <w:szCs w:val="32"/>
        </w:rPr>
      </w:pPr>
      <w:r>
        <w:rPr>
          <w:rFonts w:eastAsia="仿宋_GB2312"/>
          <w:sz w:val="32"/>
          <w:szCs w:val="32"/>
        </w:rPr>
        <w:t>2018年年初结转和结余255.82万元，其中基本支出结转和结余158.82万元，项目支出结转和结余97.00万元；2018年决算收入2,165.98万元，2018年决算支出2,223.08万元，2018年年末结转和结余198.72万元,其中基本支出结转和结余96.02万元，项目支出结转和结余102.70万元。</w:t>
      </w:r>
    </w:p>
    <w:p>
      <w:pPr>
        <w:spacing w:line="360" w:lineRule="auto"/>
        <w:ind w:firstLine="640" w:firstLineChars="200"/>
        <w:rPr>
          <w:rFonts w:eastAsia="仿宋_GB2312"/>
          <w:sz w:val="32"/>
          <w:szCs w:val="32"/>
        </w:rPr>
      </w:pPr>
      <w:r>
        <w:rPr>
          <w:rFonts w:eastAsia="仿宋_GB2312"/>
          <w:sz w:val="32"/>
          <w:szCs w:val="32"/>
        </w:rPr>
        <w:t>岘山镇政府部门决算公开数据欠准确，2018年决算与2017年决算无法进行比较。</w:t>
      </w:r>
    </w:p>
    <w:p>
      <w:pPr>
        <w:spacing w:line="360" w:lineRule="auto"/>
        <w:ind w:firstLine="643" w:firstLineChars="200"/>
        <w:outlineLvl w:val="1"/>
        <w:rPr>
          <w:rFonts w:eastAsia="楷体"/>
          <w:b/>
          <w:bCs/>
          <w:sz w:val="32"/>
          <w:szCs w:val="32"/>
        </w:rPr>
      </w:pPr>
      <w:bookmarkStart w:id="18" w:name="_Toc25938881"/>
      <w:r>
        <w:rPr>
          <w:rFonts w:eastAsia="楷体"/>
          <w:b/>
          <w:bCs/>
          <w:sz w:val="32"/>
          <w:szCs w:val="32"/>
        </w:rPr>
        <w:t>（一）基本支出</w:t>
      </w:r>
      <w:bookmarkEnd w:id="18"/>
    </w:p>
    <w:p>
      <w:pPr>
        <w:spacing w:line="360" w:lineRule="auto"/>
        <w:ind w:firstLine="640" w:firstLineChars="200"/>
        <w:rPr>
          <w:rFonts w:eastAsia="仿宋_GB2312"/>
          <w:sz w:val="32"/>
          <w:szCs w:val="32"/>
        </w:rPr>
      </w:pPr>
      <w:r>
        <w:rPr>
          <w:rFonts w:eastAsia="仿宋_GB2312"/>
          <w:sz w:val="32"/>
          <w:szCs w:val="32"/>
        </w:rPr>
        <w:t>基本支出为保障机构正常运转、完成日常工作任务而发生的支出，包括人员经费和公用经费。</w:t>
      </w:r>
    </w:p>
    <w:p>
      <w:pPr>
        <w:spacing w:line="360" w:lineRule="auto"/>
        <w:ind w:firstLine="640" w:firstLineChars="200"/>
        <w:rPr>
          <w:rFonts w:eastAsia="仿宋_GB2312"/>
          <w:sz w:val="32"/>
          <w:szCs w:val="32"/>
        </w:rPr>
      </w:pPr>
      <w:r>
        <w:rPr>
          <w:rFonts w:eastAsia="仿宋_GB2312"/>
          <w:sz w:val="32"/>
          <w:szCs w:val="32"/>
        </w:rPr>
        <w:t>2018年年初预算批复的基本支出为1,905.96万元，其中工资福利支出944.70万元，一般商品和服务支出881.36万元，对个人和家庭的补助79.90万元。</w:t>
      </w:r>
    </w:p>
    <w:p>
      <w:pPr>
        <w:spacing w:line="360" w:lineRule="auto"/>
        <w:ind w:firstLine="640" w:firstLineChars="200"/>
        <w:rPr>
          <w:rFonts w:eastAsia="仿宋_GB2312"/>
          <w:sz w:val="32"/>
          <w:szCs w:val="32"/>
        </w:rPr>
      </w:pPr>
      <w:r>
        <w:rPr>
          <w:rFonts w:eastAsia="仿宋_GB2312"/>
          <w:sz w:val="32"/>
          <w:szCs w:val="32"/>
        </w:rPr>
        <w:t>2018年决算的基本支出为2,040.58万元，其中工资福利支出1,035.12万元，商品和服务支出900.36万元，对个人和家庭的补助105.10万元。</w:t>
      </w:r>
    </w:p>
    <w:p>
      <w:pPr>
        <w:spacing w:line="360" w:lineRule="auto"/>
        <w:ind w:firstLine="640" w:firstLineChars="200"/>
        <w:rPr>
          <w:rFonts w:eastAsia="仿宋_GB2312"/>
          <w:sz w:val="32"/>
          <w:szCs w:val="32"/>
        </w:rPr>
      </w:pPr>
      <w:r>
        <w:rPr>
          <w:rFonts w:eastAsia="仿宋_GB2312"/>
          <w:sz w:val="32"/>
          <w:szCs w:val="32"/>
        </w:rPr>
        <w:t>2018年决算基本支出超预算基本支出134.62万元。具体情况如下：</w:t>
      </w:r>
    </w:p>
    <w:p>
      <w:pPr>
        <w:spacing w:line="360" w:lineRule="auto"/>
        <w:ind w:firstLine="480" w:firstLineChars="200"/>
        <w:jc w:val="right"/>
        <w:rPr>
          <w:rFonts w:eastAsia="仿宋_GB2312"/>
          <w:sz w:val="24"/>
        </w:rPr>
      </w:pPr>
      <w:r>
        <w:rPr>
          <w:rFonts w:eastAsia="仿宋_GB2312"/>
          <w:sz w:val="24"/>
        </w:rPr>
        <w:t>金额单位：万元</w:t>
      </w:r>
    </w:p>
    <w:tbl>
      <w:tblPr>
        <w:tblStyle w:val="14"/>
        <w:tblW w:w="8237" w:type="dxa"/>
        <w:tblInd w:w="0" w:type="dxa"/>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autofit"/>
        <w:tblCellMar>
          <w:top w:w="0" w:type="dxa"/>
          <w:left w:w="0" w:type="dxa"/>
          <w:bottom w:w="0" w:type="dxa"/>
          <w:right w:w="0" w:type="dxa"/>
        </w:tblCellMar>
      </w:tblPr>
      <w:tblGrid>
        <w:gridCol w:w="3555"/>
        <w:gridCol w:w="1065"/>
        <w:gridCol w:w="1080"/>
        <w:gridCol w:w="1305"/>
        <w:gridCol w:w="1232"/>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70" w:hRule="atLeast"/>
          <w:tblHeader/>
        </w:trPr>
        <w:tc>
          <w:tcPr>
            <w:tcW w:w="3555" w:type="dxa"/>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项目</w:t>
            </w:r>
          </w:p>
        </w:tc>
        <w:tc>
          <w:tcPr>
            <w:tcW w:w="1065" w:type="dxa"/>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预算支出</w:t>
            </w:r>
          </w:p>
        </w:tc>
        <w:tc>
          <w:tcPr>
            <w:tcW w:w="1080" w:type="dxa"/>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决算支出</w:t>
            </w:r>
          </w:p>
        </w:tc>
        <w:tc>
          <w:tcPr>
            <w:tcW w:w="1305" w:type="dxa"/>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支出差异</w:t>
            </w:r>
          </w:p>
        </w:tc>
        <w:tc>
          <w:tcPr>
            <w:tcW w:w="1232" w:type="dxa"/>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差异占比</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办公费</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12.27</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12.27</w:t>
            </w:r>
          </w:p>
        </w:tc>
        <w:tc>
          <w:tcPr>
            <w:tcW w:w="1305"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c>
          <w:tcPr>
            <w:tcW w:w="1232"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电费</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1.13</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1.13</w:t>
            </w:r>
          </w:p>
        </w:tc>
        <w:tc>
          <w:tcPr>
            <w:tcW w:w="1305"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c>
          <w:tcPr>
            <w:tcW w:w="1232"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抚恤金</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0</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12.33</w:t>
            </w:r>
          </w:p>
        </w:tc>
        <w:tc>
          <w:tcPr>
            <w:tcW w:w="130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12.33</w:t>
            </w:r>
          </w:p>
        </w:tc>
        <w:tc>
          <w:tcPr>
            <w:tcW w:w="1232"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工会经费</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1.5</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1.5</w:t>
            </w:r>
          </w:p>
        </w:tc>
        <w:tc>
          <w:tcPr>
            <w:tcW w:w="1305"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c>
          <w:tcPr>
            <w:tcW w:w="1232"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公务接待费</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5.9</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5.9</w:t>
            </w:r>
          </w:p>
        </w:tc>
        <w:tc>
          <w:tcPr>
            <w:tcW w:w="1305"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c>
          <w:tcPr>
            <w:tcW w:w="1232"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公务用车运行维护费</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3</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3</w:t>
            </w:r>
          </w:p>
        </w:tc>
        <w:tc>
          <w:tcPr>
            <w:tcW w:w="1305"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c>
          <w:tcPr>
            <w:tcW w:w="1232"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机关事业单位基本养老保险缴费</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145.73</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206.5</w:t>
            </w:r>
          </w:p>
        </w:tc>
        <w:tc>
          <w:tcPr>
            <w:tcW w:w="130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60.77</w:t>
            </w:r>
          </w:p>
        </w:tc>
        <w:tc>
          <w:tcPr>
            <w:tcW w:w="1232"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41.70%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基本工资</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488.74</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498.36</w:t>
            </w:r>
          </w:p>
        </w:tc>
        <w:tc>
          <w:tcPr>
            <w:tcW w:w="130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9.62</w:t>
            </w:r>
          </w:p>
        </w:tc>
        <w:tc>
          <w:tcPr>
            <w:tcW w:w="1232"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1.97%</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奖金</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70.67</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70.67</w:t>
            </w:r>
          </w:p>
        </w:tc>
        <w:tc>
          <w:tcPr>
            <w:tcW w:w="1305"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c>
          <w:tcPr>
            <w:tcW w:w="1232"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津贴补贴</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123.16</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142.09</w:t>
            </w:r>
          </w:p>
        </w:tc>
        <w:tc>
          <w:tcPr>
            <w:tcW w:w="130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18.93</w:t>
            </w:r>
          </w:p>
        </w:tc>
        <w:tc>
          <w:tcPr>
            <w:tcW w:w="1232"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15.37%</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其他对个人和家庭的补助</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6.67</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36.67</w:t>
            </w:r>
          </w:p>
        </w:tc>
        <w:tc>
          <w:tcPr>
            <w:tcW w:w="130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30</w:t>
            </w:r>
          </w:p>
        </w:tc>
        <w:tc>
          <w:tcPr>
            <w:tcW w:w="1232"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449.78%</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其他交通费用</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25.06</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25.06</w:t>
            </w:r>
          </w:p>
        </w:tc>
        <w:tc>
          <w:tcPr>
            <w:tcW w:w="1305"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c>
          <w:tcPr>
            <w:tcW w:w="1232"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其他商品和服务支出</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828.96</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847.95</w:t>
            </w:r>
          </w:p>
        </w:tc>
        <w:tc>
          <w:tcPr>
            <w:tcW w:w="130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18.99</w:t>
            </w:r>
          </w:p>
        </w:tc>
        <w:tc>
          <w:tcPr>
            <w:tcW w:w="1232"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2.29%</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其他社会保障缴费</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7.54</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8.63</w:t>
            </w:r>
          </w:p>
        </w:tc>
        <w:tc>
          <w:tcPr>
            <w:tcW w:w="130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1.09</w:t>
            </w:r>
          </w:p>
        </w:tc>
        <w:tc>
          <w:tcPr>
            <w:tcW w:w="1232"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14.46%</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其他支出</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62.5</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45.05</w:t>
            </w:r>
          </w:p>
        </w:tc>
        <w:tc>
          <w:tcPr>
            <w:tcW w:w="130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-17.45</w:t>
            </w:r>
          </w:p>
        </w:tc>
        <w:tc>
          <w:tcPr>
            <w:tcW w:w="1232"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-27.92%</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生活补助</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10.72</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11.06</w:t>
            </w:r>
          </w:p>
        </w:tc>
        <w:tc>
          <w:tcPr>
            <w:tcW w:w="130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0.34</w:t>
            </w:r>
          </w:p>
        </w:tc>
        <w:tc>
          <w:tcPr>
            <w:tcW w:w="1232"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3.17%</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水费</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1.13</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1.13</w:t>
            </w:r>
          </w:p>
        </w:tc>
        <w:tc>
          <w:tcPr>
            <w:tcW w:w="1305"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c>
          <w:tcPr>
            <w:tcW w:w="1232"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物业管理费</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2.03</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2.03</w:t>
            </w:r>
          </w:p>
        </w:tc>
        <w:tc>
          <w:tcPr>
            <w:tcW w:w="1305"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c>
          <w:tcPr>
            <w:tcW w:w="1232"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印刷费</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0.38</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0.38</w:t>
            </w:r>
          </w:p>
        </w:tc>
        <w:tc>
          <w:tcPr>
            <w:tcW w:w="1305"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c>
          <w:tcPr>
            <w:tcW w:w="1232"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职工基本医疗保险缴费</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40.15</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40.15</w:t>
            </w:r>
          </w:p>
        </w:tc>
        <w:tc>
          <w:tcPr>
            <w:tcW w:w="1305"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c>
          <w:tcPr>
            <w:tcW w:w="1232" w:type="dxa"/>
            <w:tcBorders>
              <w:tl2br w:val="nil"/>
              <w:tr2bl w:val="nil"/>
            </w:tcBorders>
            <w:shd w:val="clear" w:color="auto" w:fill="auto"/>
            <w:noWrap/>
            <w:tcMar>
              <w:top w:w="15" w:type="dxa"/>
              <w:left w:w="15" w:type="dxa"/>
              <w:right w:w="15" w:type="dxa"/>
            </w:tcMar>
            <w:vAlign w:val="center"/>
          </w:tcPr>
          <w:p>
            <w:pPr>
              <w:jc w:val="center"/>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0" w:type="auto"/>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住房公积金</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68.72</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68.72</w:t>
            </w:r>
          </w:p>
        </w:tc>
        <w:tc>
          <w:tcPr>
            <w:tcW w:w="1305" w:type="dxa"/>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c>
          <w:tcPr>
            <w:tcW w:w="1232" w:type="dxa"/>
            <w:tcBorders>
              <w:tl2br w:val="nil"/>
              <w:tr2bl w:val="nil"/>
            </w:tcBorders>
            <w:shd w:val="clear" w:color="auto" w:fill="auto"/>
            <w:noWrap/>
            <w:tcMar>
              <w:top w:w="15" w:type="dxa"/>
              <w:left w:w="15" w:type="dxa"/>
              <w:right w:w="15" w:type="dxa"/>
            </w:tcMar>
            <w:vAlign w:val="center"/>
          </w:tcPr>
          <w:p>
            <w:pPr>
              <w:jc w:val="center"/>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16" w:hRule="atLeast"/>
        </w:trPr>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rPr>
              <w:t>合计</w:t>
            </w:r>
          </w:p>
        </w:tc>
        <w:tc>
          <w:tcPr>
            <w:tcW w:w="106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1,905.96</w:t>
            </w:r>
          </w:p>
        </w:tc>
        <w:tc>
          <w:tcPr>
            <w:tcW w:w="1080"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2,040.58</w:t>
            </w:r>
          </w:p>
        </w:tc>
        <w:tc>
          <w:tcPr>
            <w:tcW w:w="1305" w:type="dxa"/>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134.62</w:t>
            </w:r>
          </w:p>
        </w:tc>
        <w:tc>
          <w:tcPr>
            <w:tcW w:w="1232" w:type="dxa"/>
            <w:tcBorders>
              <w:tl2br w:val="nil"/>
              <w:tr2bl w:val="nil"/>
            </w:tcBorders>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rPr>
              <w:t>7.06%</w:t>
            </w:r>
          </w:p>
        </w:tc>
      </w:tr>
    </w:tbl>
    <w:p>
      <w:pPr>
        <w:spacing w:line="360" w:lineRule="auto"/>
        <w:ind w:firstLine="640" w:firstLineChars="200"/>
        <w:rPr>
          <w:rFonts w:eastAsia="仿宋_GB2312"/>
          <w:sz w:val="32"/>
          <w:szCs w:val="32"/>
        </w:rPr>
      </w:pPr>
      <w:r>
        <w:rPr>
          <w:rFonts w:eastAsia="仿宋_GB2312"/>
          <w:sz w:val="32"/>
          <w:szCs w:val="32"/>
        </w:rPr>
        <w:t>2018年基本支出决算总收入2,136.60万元，其中上年结转和结余数158.82万元，本年决算收入1,977.78万元；2018年基本支出决算数2,040.58万元，结转和结余96.02万元。具体情况如下：</w:t>
      </w:r>
    </w:p>
    <w:p>
      <w:pPr>
        <w:spacing w:line="360" w:lineRule="auto"/>
        <w:ind w:firstLine="480" w:firstLineChars="200"/>
        <w:jc w:val="right"/>
        <w:rPr>
          <w:rFonts w:eastAsia="仿宋_GB2312"/>
          <w:sz w:val="24"/>
        </w:rPr>
      </w:pPr>
      <w:r>
        <w:rPr>
          <w:rFonts w:eastAsia="仿宋_GB2312"/>
          <w:sz w:val="24"/>
        </w:rPr>
        <w:t>金额单位：万元</w:t>
      </w:r>
    </w:p>
    <w:tbl>
      <w:tblPr>
        <w:tblStyle w:val="14"/>
        <w:tblW w:w="4998" w:type="pct"/>
        <w:tblInd w:w="0" w:type="dxa"/>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autofit"/>
        <w:tblCellMar>
          <w:top w:w="0" w:type="dxa"/>
          <w:left w:w="0" w:type="dxa"/>
          <w:bottom w:w="0" w:type="dxa"/>
          <w:right w:w="0" w:type="dxa"/>
        </w:tblCellMar>
      </w:tblPr>
      <w:tblGrid>
        <w:gridCol w:w="3620"/>
        <w:gridCol w:w="1085"/>
        <w:gridCol w:w="1034"/>
        <w:gridCol w:w="1298"/>
        <w:gridCol w:w="1296"/>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70" w:hRule="atLeast"/>
          <w:tblHeader/>
        </w:trPr>
        <w:tc>
          <w:tcPr>
            <w:tcW w:w="2198"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项目</w:t>
            </w:r>
          </w:p>
        </w:tc>
        <w:tc>
          <w:tcPr>
            <w:tcW w:w="658"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上年结转数</w:t>
            </w:r>
          </w:p>
        </w:tc>
        <w:tc>
          <w:tcPr>
            <w:tcW w:w="667"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决算收入</w:t>
            </w:r>
          </w:p>
        </w:tc>
        <w:tc>
          <w:tcPr>
            <w:tcW w:w="806"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决算支出</w:t>
            </w:r>
          </w:p>
        </w:tc>
        <w:tc>
          <w:tcPr>
            <w:tcW w:w="667"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结转和结余数</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办公费</w:t>
            </w:r>
          </w:p>
        </w:tc>
        <w:tc>
          <w:tcPr>
            <w:tcW w:w="658"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12.27</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12.27</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电费</w:t>
            </w:r>
          </w:p>
        </w:tc>
        <w:tc>
          <w:tcPr>
            <w:tcW w:w="658"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1.13</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1.13</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抚恤金</w:t>
            </w:r>
          </w:p>
        </w:tc>
        <w:tc>
          <w:tcPr>
            <w:tcW w:w="658"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12.33</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12.33</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工会经费</w:t>
            </w:r>
          </w:p>
        </w:tc>
        <w:tc>
          <w:tcPr>
            <w:tcW w:w="658"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1.50</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1.50</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公务接待费</w:t>
            </w:r>
          </w:p>
        </w:tc>
        <w:tc>
          <w:tcPr>
            <w:tcW w:w="658"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5.90</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5.90</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公务用车运行维护费</w:t>
            </w:r>
          </w:p>
        </w:tc>
        <w:tc>
          <w:tcPr>
            <w:tcW w:w="658"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3.00</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3.00</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机关事业单位基本养老保险缴费</w:t>
            </w:r>
          </w:p>
        </w:tc>
        <w:tc>
          <w:tcPr>
            <w:tcW w:w="658"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60.77</w:t>
            </w: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145.73</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206.50</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基本工资</w:t>
            </w:r>
          </w:p>
        </w:tc>
        <w:tc>
          <w:tcPr>
            <w:tcW w:w="658"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18.63</w:t>
            </w: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512.41</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498.36</w:t>
            </w: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32.68</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奖金</w:t>
            </w:r>
          </w:p>
        </w:tc>
        <w:tc>
          <w:tcPr>
            <w:tcW w:w="658"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70.67</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70.67</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津贴补贴</w:t>
            </w:r>
          </w:p>
        </w:tc>
        <w:tc>
          <w:tcPr>
            <w:tcW w:w="658"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17.77</w:t>
            </w: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124.32</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142.09</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其他对个人和家庭的补助</w:t>
            </w:r>
          </w:p>
        </w:tc>
        <w:tc>
          <w:tcPr>
            <w:tcW w:w="658"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30.00</w:t>
            </w: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39.01</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36.67</w:t>
            </w: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32.34</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其他交通费用</w:t>
            </w:r>
          </w:p>
        </w:tc>
        <w:tc>
          <w:tcPr>
            <w:tcW w:w="658"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25.06</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25.06</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其他商品和服务支出</w:t>
            </w:r>
          </w:p>
        </w:tc>
        <w:tc>
          <w:tcPr>
            <w:tcW w:w="658"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22.00</w:t>
            </w: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830.95</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847.95</w:t>
            </w: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5.00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其他社会保障缴费</w:t>
            </w:r>
          </w:p>
        </w:tc>
        <w:tc>
          <w:tcPr>
            <w:tcW w:w="658"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1.10</w:t>
            </w: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7.53</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8.63</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其他支出</w:t>
            </w:r>
          </w:p>
        </w:tc>
        <w:tc>
          <w:tcPr>
            <w:tcW w:w="658"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8.55</w:t>
            </w: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62.50</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45.05</w:t>
            </w: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26.00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生活补助</w:t>
            </w:r>
          </w:p>
        </w:tc>
        <w:tc>
          <w:tcPr>
            <w:tcW w:w="658"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11.06</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11.06</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水费</w:t>
            </w:r>
          </w:p>
        </w:tc>
        <w:tc>
          <w:tcPr>
            <w:tcW w:w="658"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1.13</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1.13</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物业管理费</w:t>
            </w:r>
          </w:p>
        </w:tc>
        <w:tc>
          <w:tcPr>
            <w:tcW w:w="658"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2.03</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2.03</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印刷费</w:t>
            </w:r>
          </w:p>
        </w:tc>
        <w:tc>
          <w:tcPr>
            <w:tcW w:w="658"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0.38</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0.38</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职工基本医疗保险缴费</w:t>
            </w:r>
          </w:p>
        </w:tc>
        <w:tc>
          <w:tcPr>
            <w:tcW w:w="658"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40.15</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40.15</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住房公积金</w:t>
            </w:r>
          </w:p>
        </w:tc>
        <w:tc>
          <w:tcPr>
            <w:tcW w:w="658"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68.72</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68.72</w:t>
            </w:r>
          </w:p>
        </w:tc>
        <w:tc>
          <w:tcPr>
            <w:tcW w:w="667" w:type="pct"/>
            <w:tcBorders>
              <w:tl2br w:val="nil"/>
              <w:tr2bl w:val="nil"/>
            </w:tcBorders>
            <w:shd w:val="clear" w:color="auto" w:fill="auto"/>
            <w:noWrap/>
            <w:tcMar>
              <w:top w:w="15" w:type="dxa"/>
              <w:left w:w="15" w:type="dxa"/>
              <w:right w:w="15" w:type="dxa"/>
            </w:tcMar>
            <w:vAlign w:val="center"/>
          </w:tcPr>
          <w:p>
            <w:pPr>
              <w:jc w:val="right"/>
              <w:rPr>
                <w:color w:val="000000"/>
                <w:kern w:val="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0" w:hRule="atLeast"/>
        </w:trPr>
        <w:tc>
          <w:tcPr>
            <w:tcW w:w="2198"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rPr>
              <w:t>合计</w:t>
            </w:r>
          </w:p>
        </w:tc>
        <w:tc>
          <w:tcPr>
            <w:tcW w:w="658"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158.82</w:t>
            </w: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1,977.78</w:t>
            </w:r>
          </w:p>
        </w:tc>
        <w:tc>
          <w:tcPr>
            <w:tcW w:w="8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Cs w:val="21"/>
              </w:rPr>
            </w:pPr>
            <w:r>
              <w:rPr>
                <w:color w:val="000000"/>
                <w:kern w:val="0"/>
                <w:szCs w:val="21"/>
              </w:rPr>
              <w:t>2,040.58</w:t>
            </w:r>
          </w:p>
        </w:tc>
        <w:tc>
          <w:tcPr>
            <w:tcW w:w="66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96.02</w:t>
            </w:r>
          </w:p>
        </w:tc>
      </w:tr>
    </w:tbl>
    <w:p>
      <w:pPr>
        <w:spacing w:line="360" w:lineRule="auto"/>
        <w:ind w:firstLine="643" w:firstLineChars="200"/>
        <w:outlineLvl w:val="1"/>
        <w:rPr>
          <w:rFonts w:eastAsia="楷体"/>
          <w:b/>
          <w:bCs/>
          <w:sz w:val="32"/>
          <w:szCs w:val="32"/>
        </w:rPr>
      </w:pPr>
      <w:bookmarkStart w:id="19" w:name="_Toc25938882"/>
      <w:r>
        <w:rPr>
          <w:rFonts w:eastAsia="楷体"/>
          <w:b/>
          <w:bCs/>
          <w:sz w:val="32"/>
          <w:szCs w:val="32"/>
        </w:rPr>
        <w:t>（二）“三公经费”使用和管理情况</w:t>
      </w:r>
      <w:bookmarkEnd w:id="19"/>
    </w:p>
    <w:p>
      <w:pPr>
        <w:spacing w:line="360" w:lineRule="auto"/>
        <w:ind w:firstLine="643" w:firstLineChars="200"/>
        <w:rPr>
          <w:rFonts w:eastAsia="仿宋_GB2312"/>
          <w:b/>
          <w:bCs/>
          <w:sz w:val="32"/>
          <w:szCs w:val="32"/>
        </w:rPr>
      </w:pPr>
      <w:r>
        <w:rPr>
          <w:rFonts w:eastAsia="仿宋_GB2312"/>
          <w:b/>
          <w:bCs/>
          <w:sz w:val="32"/>
          <w:szCs w:val="32"/>
        </w:rPr>
        <w:t>1、2018年“三公经费”支出总额情况</w:t>
      </w:r>
    </w:p>
    <w:p>
      <w:pPr>
        <w:spacing w:line="360" w:lineRule="auto"/>
        <w:ind w:firstLine="640" w:firstLineChars="200"/>
        <w:rPr>
          <w:rFonts w:eastAsia="仿宋_GB2312"/>
          <w:sz w:val="32"/>
          <w:szCs w:val="32"/>
        </w:rPr>
      </w:pPr>
      <w:r>
        <w:rPr>
          <w:rFonts w:eastAsia="仿宋_GB2312"/>
          <w:sz w:val="32"/>
          <w:szCs w:val="32"/>
        </w:rPr>
        <w:t>2018年三公经费预算89,000.00元，决算支出89,000.00元，其中公务接待费支出59,000.00元；公务用车购置及运行维护费30,000.00元；因公出国费用无支出。三公经费具体明细如下：</w:t>
      </w:r>
    </w:p>
    <w:p>
      <w:pPr>
        <w:spacing w:line="360" w:lineRule="auto"/>
        <w:ind w:firstLine="480" w:firstLineChars="200"/>
        <w:jc w:val="right"/>
        <w:rPr>
          <w:rFonts w:eastAsia="仿宋_GB2312"/>
          <w:sz w:val="28"/>
          <w:szCs w:val="28"/>
        </w:rPr>
      </w:pPr>
      <w:r>
        <w:rPr>
          <w:rFonts w:eastAsia="仿宋_GB2312"/>
          <w:sz w:val="24"/>
        </w:rPr>
        <w:t>金额单位：元</w:t>
      </w:r>
    </w:p>
    <w:tbl>
      <w:tblPr>
        <w:tblStyle w:val="14"/>
        <w:tblW w:w="5000" w:type="pct"/>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877"/>
        <w:gridCol w:w="1519"/>
        <w:gridCol w:w="1519"/>
        <w:gridCol w:w="1607"/>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70" w:hRule="atLeast"/>
        </w:trPr>
        <w:tc>
          <w:tcPr>
            <w:tcW w:w="2274" w:type="pct"/>
            <w:tcBorders>
              <w:tl2br w:val="nil"/>
              <w:tr2bl w:val="nil"/>
            </w:tcBorders>
            <w:shd w:val="clear" w:color="auto" w:fill="auto"/>
            <w:vAlign w:val="center"/>
          </w:tcPr>
          <w:p>
            <w:pPr>
              <w:widowControl/>
              <w:jc w:val="center"/>
              <w:rPr>
                <w:b/>
                <w:bCs/>
                <w:color w:val="000000"/>
                <w:kern w:val="0"/>
                <w:szCs w:val="21"/>
              </w:rPr>
            </w:pPr>
            <w:r>
              <w:rPr>
                <w:b/>
                <w:bCs/>
                <w:color w:val="000000"/>
                <w:kern w:val="0"/>
                <w:szCs w:val="21"/>
              </w:rPr>
              <w:t>费用项目</w:t>
            </w:r>
          </w:p>
        </w:tc>
        <w:tc>
          <w:tcPr>
            <w:tcW w:w="891" w:type="pct"/>
            <w:tcBorders>
              <w:tl2br w:val="nil"/>
              <w:tr2bl w:val="nil"/>
            </w:tcBorders>
            <w:shd w:val="clear" w:color="auto" w:fill="auto"/>
            <w:vAlign w:val="center"/>
          </w:tcPr>
          <w:p>
            <w:pPr>
              <w:widowControl/>
              <w:jc w:val="center"/>
              <w:rPr>
                <w:b/>
                <w:bCs/>
                <w:color w:val="000000"/>
                <w:kern w:val="0"/>
                <w:szCs w:val="21"/>
              </w:rPr>
            </w:pPr>
            <w:r>
              <w:rPr>
                <w:b/>
                <w:bCs/>
                <w:color w:val="000000"/>
                <w:kern w:val="0"/>
                <w:szCs w:val="21"/>
              </w:rPr>
              <w:t>本年预算</w:t>
            </w:r>
          </w:p>
        </w:tc>
        <w:tc>
          <w:tcPr>
            <w:tcW w:w="891" w:type="pct"/>
            <w:tcBorders>
              <w:tl2br w:val="nil"/>
              <w:tr2bl w:val="nil"/>
            </w:tcBorders>
            <w:shd w:val="clear" w:color="auto" w:fill="auto"/>
            <w:vAlign w:val="center"/>
          </w:tcPr>
          <w:p>
            <w:pPr>
              <w:widowControl/>
              <w:jc w:val="center"/>
              <w:rPr>
                <w:b/>
                <w:bCs/>
                <w:color w:val="000000"/>
                <w:kern w:val="0"/>
                <w:szCs w:val="21"/>
              </w:rPr>
            </w:pPr>
            <w:r>
              <w:rPr>
                <w:b/>
                <w:bCs/>
                <w:color w:val="000000"/>
                <w:kern w:val="0"/>
                <w:szCs w:val="21"/>
              </w:rPr>
              <w:t>本年决算</w:t>
            </w:r>
          </w:p>
        </w:tc>
        <w:tc>
          <w:tcPr>
            <w:tcW w:w="942" w:type="pct"/>
            <w:tcBorders>
              <w:tl2br w:val="nil"/>
              <w:tr2bl w:val="nil"/>
            </w:tcBorders>
            <w:shd w:val="clear" w:color="auto" w:fill="auto"/>
            <w:vAlign w:val="center"/>
          </w:tcPr>
          <w:p>
            <w:pPr>
              <w:widowControl/>
              <w:jc w:val="center"/>
              <w:rPr>
                <w:b/>
                <w:bCs/>
                <w:color w:val="000000"/>
                <w:kern w:val="0"/>
                <w:szCs w:val="21"/>
              </w:rPr>
            </w:pPr>
            <w:r>
              <w:rPr>
                <w:b/>
                <w:bCs/>
                <w:color w:val="000000"/>
                <w:kern w:val="0"/>
                <w:szCs w:val="21"/>
              </w:rPr>
              <w:t>结余/超支</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70" w:hRule="atLeast"/>
        </w:trPr>
        <w:tc>
          <w:tcPr>
            <w:tcW w:w="2274" w:type="pct"/>
            <w:tcBorders>
              <w:tl2br w:val="nil"/>
              <w:tr2bl w:val="nil"/>
            </w:tcBorders>
            <w:shd w:val="clear" w:color="auto" w:fill="auto"/>
            <w:vAlign w:val="center"/>
          </w:tcPr>
          <w:p>
            <w:pPr>
              <w:widowControl/>
              <w:ind w:firstLine="420" w:firstLineChars="200"/>
              <w:jc w:val="left"/>
              <w:rPr>
                <w:color w:val="000000"/>
                <w:kern w:val="0"/>
                <w:szCs w:val="21"/>
              </w:rPr>
            </w:pPr>
            <w:r>
              <w:rPr>
                <w:color w:val="000000"/>
                <w:kern w:val="0"/>
                <w:szCs w:val="21"/>
              </w:rPr>
              <w:t>公务接待费</w:t>
            </w:r>
          </w:p>
        </w:tc>
        <w:tc>
          <w:tcPr>
            <w:tcW w:w="891" w:type="pct"/>
            <w:tcBorders>
              <w:tl2br w:val="nil"/>
              <w:tr2bl w:val="nil"/>
            </w:tcBorders>
            <w:shd w:val="clear" w:color="auto" w:fill="auto"/>
            <w:vAlign w:val="center"/>
          </w:tcPr>
          <w:p>
            <w:pPr>
              <w:widowControl/>
              <w:jc w:val="right"/>
              <w:rPr>
                <w:color w:val="000000"/>
                <w:kern w:val="0"/>
                <w:szCs w:val="21"/>
              </w:rPr>
            </w:pPr>
            <w:r>
              <w:rPr>
                <w:color w:val="000000"/>
                <w:kern w:val="0"/>
                <w:szCs w:val="21"/>
              </w:rPr>
              <w:t>59,000.00</w:t>
            </w:r>
          </w:p>
        </w:tc>
        <w:tc>
          <w:tcPr>
            <w:tcW w:w="891" w:type="pct"/>
            <w:tcBorders>
              <w:tl2br w:val="nil"/>
              <w:tr2bl w:val="nil"/>
            </w:tcBorders>
            <w:shd w:val="clear" w:color="auto" w:fill="auto"/>
            <w:vAlign w:val="center"/>
          </w:tcPr>
          <w:p>
            <w:pPr>
              <w:widowControl/>
              <w:jc w:val="right"/>
              <w:rPr>
                <w:color w:val="000000"/>
                <w:kern w:val="0"/>
                <w:szCs w:val="21"/>
              </w:rPr>
            </w:pPr>
            <w:r>
              <w:rPr>
                <w:color w:val="000000"/>
                <w:kern w:val="0"/>
                <w:szCs w:val="21"/>
              </w:rPr>
              <w:t>59,000.00</w:t>
            </w:r>
          </w:p>
        </w:tc>
        <w:tc>
          <w:tcPr>
            <w:tcW w:w="942" w:type="pct"/>
            <w:tcBorders>
              <w:tl2br w:val="nil"/>
              <w:tr2bl w:val="nil"/>
            </w:tcBorders>
            <w:shd w:val="clear" w:color="auto" w:fill="auto"/>
            <w:vAlign w:val="center"/>
          </w:tcPr>
          <w:p>
            <w:pPr>
              <w:widowControl/>
              <w:jc w:val="right"/>
              <w:rPr>
                <w:color w:val="000000"/>
                <w:kern w:val="0"/>
                <w:szCs w:val="21"/>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70" w:hRule="atLeast"/>
        </w:trPr>
        <w:tc>
          <w:tcPr>
            <w:tcW w:w="2274" w:type="pct"/>
            <w:tcBorders>
              <w:tl2br w:val="nil"/>
              <w:tr2bl w:val="nil"/>
            </w:tcBorders>
            <w:shd w:val="clear" w:color="auto" w:fill="auto"/>
            <w:vAlign w:val="center"/>
          </w:tcPr>
          <w:p>
            <w:pPr>
              <w:widowControl/>
              <w:ind w:firstLine="420" w:firstLineChars="200"/>
              <w:jc w:val="left"/>
              <w:rPr>
                <w:color w:val="000000"/>
                <w:kern w:val="0"/>
                <w:szCs w:val="21"/>
              </w:rPr>
            </w:pPr>
            <w:r>
              <w:rPr>
                <w:color w:val="000000"/>
                <w:kern w:val="0"/>
                <w:szCs w:val="21"/>
              </w:rPr>
              <w:t>公车运行维护费</w:t>
            </w:r>
          </w:p>
        </w:tc>
        <w:tc>
          <w:tcPr>
            <w:tcW w:w="891" w:type="pct"/>
            <w:tcBorders>
              <w:tl2br w:val="nil"/>
              <w:tr2bl w:val="nil"/>
            </w:tcBorders>
            <w:shd w:val="clear" w:color="auto" w:fill="auto"/>
            <w:vAlign w:val="center"/>
          </w:tcPr>
          <w:p>
            <w:pPr>
              <w:widowControl/>
              <w:jc w:val="right"/>
              <w:rPr>
                <w:color w:val="000000"/>
                <w:kern w:val="0"/>
                <w:szCs w:val="21"/>
              </w:rPr>
            </w:pPr>
            <w:r>
              <w:rPr>
                <w:color w:val="000000"/>
                <w:kern w:val="0"/>
                <w:szCs w:val="21"/>
              </w:rPr>
              <w:t>30,000.00</w:t>
            </w:r>
          </w:p>
        </w:tc>
        <w:tc>
          <w:tcPr>
            <w:tcW w:w="891" w:type="pct"/>
            <w:tcBorders>
              <w:tl2br w:val="nil"/>
              <w:tr2bl w:val="nil"/>
            </w:tcBorders>
            <w:shd w:val="clear" w:color="auto" w:fill="auto"/>
            <w:vAlign w:val="center"/>
          </w:tcPr>
          <w:p>
            <w:pPr>
              <w:widowControl/>
              <w:jc w:val="right"/>
              <w:rPr>
                <w:color w:val="000000"/>
                <w:kern w:val="0"/>
                <w:szCs w:val="21"/>
              </w:rPr>
            </w:pPr>
            <w:r>
              <w:rPr>
                <w:color w:val="000000"/>
                <w:kern w:val="0"/>
                <w:szCs w:val="21"/>
              </w:rPr>
              <w:t>30,000.00</w:t>
            </w:r>
          </w:p>
        </w:tc>
        <w:tc>
          <w:tcPr>
            <w:tcW w:w="942" w:type="pct"/>
            <w:tcBorders>
              <w:tl2br w:val="nil"/>
              <w:tr2bl w:val="nil"/>
            </w:tcBorders>
            <w:shd w:val="clear" w:color="auto" w:fill="auto"/>
            <w:vAlign w:val="center"/>
          </w:tcPr>
          <w:p>
            <w:pPr>
              <w:widowControl/>
              <w:jc w:val="right"/>
              <w:rPr>
                <w:color w:val="000000"/>
                <w:kern w:val="0"/>
                <w:szCs w:val="21"/>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70" w:hRule="atLeast"/>
        </w:trPr>
        <w:tc>
          <w:tcPr>
            <w:tcW w:w="2274" w:type="pct"/>
            <w:tcBorders>
              <w:tl2br w:val="nil"/>
              <w:tr2bl w:val="nil"/>
            </w:tcBorders>
            <w:shd w:val="clear" w:color="auto" w:fill="auto"/>
            <w:vAlign w:val="center"/>
          </w:tcPr>
          <w:p>
            <w:pPr>
              <w:widowControl/>
              <w:ind w:firstLine="420" w:firstLineChars="200"/>
              <w:jc w:val="left"/>
              <w:rPr>
                <w:color w:val="000000"/>
                <w:kern w:val="0"/>
                <w:szCs w:val="21"/>
              </w:rPr>
            </w:pPr>
            <w:r>
              <w:rPr>
                <w:color w:val="000000"/>
                <w:kern w:val="0"/>
                <w:szCs w:val="21"/>
              </w:rPr>
              <w:t>因公出国费用</w:t>
            </w:r>
          </w:p>
        </w:tc>
        <w:tc>
          <w:tcPr>
            <w:tcW w:w="891" w:type="pct"/>
            <w:tcBorders>
              <w:tl2br w:val="nil"/>
              <w:tr2bl w:val="nil"/>
            </w:tcBorders>
            <w:shd w:val="clear" w:color="auto" w:fill="auto"/>
            <w:vAlign w:val="center"/>
          </w:tcPr>
          <w:p>
            <w:pPr>
              <w:widowControl/>
              <w:jc w:val="right"/>
              <w:rPr>
                <w:color w:val="000000"/>
                <w:kern w:val="0"/>
                <w:szCs w:val="21"/>
              </w:rPr>
            </w:pPr>
          </w:p>
        </w:tc>
        <w:tc>
          <w:tcPr>
            <w:tcW w:w="891" w:type="pct"/>
            <w:tcBorders>
              <w:tl2br w:val="nil"/>
              <w:tr2bl w:val="nil"/>
            </w:tcBorders>
            <w:shd w:val="clear" w:color="auto" w:fill="auto"/>
            <w:vAlign w:val="center"/>
          </w:tcPr>
          <w:p>
            <w:pPr>
              <w:widowControl/>
              <w:jc w:val="right"/>
              <w:rPr>
                <w:color w:val="000000"/>
                <w:kern w:val="0"/>
                <w:szCs w:val="21"/>
              </w:rPr>
            </w:pPr>
          </w:p>
        </w:tc>
        <w:tc>
          <w:tcPr>
            <w:tcW w:w="942" w:type="pct"/>
            <w:tcBorders>
              <w:tl2br w:val="nil"/>
              <w:tr2bl w:val="nil"/>
            </w:tcBorders>
            <w:shd w:val="clear" w:color="auto" w:fill="auto"/>
            <w:vAlign w:val="center"/>
          </w:tcPr>
          <w:p>
            <w:pPr>
              <w:widowControl/>
              <w:jc w:val="right"/>
              <w:rPr>
                <w:color w:val="000000"/>
                <w:kern w:val="0"/>
                <w:szCs w:val="21"/>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5" w:hRule="atLeast"/>
        </w:trPr>
        <w:tc>
          <w:tcPr>
            <w:tcW w:w="2274" w:type="pct"/>
            <w:tcBorders>
              <w:tl2br w:val="nil"/>
              <w:tr2bl w:val="nil"/>
            </w:tcBorders>
            <w:shd w:val="clear" w:color="auto" w:fill="auto"/>
            <w:vAlign w:val="center"/>
          </w:tcPr>
          <w:p>
            <w:pPr>
              <w:widowControl/>
              <w:jc w:val="center"/>
              <w:rPr>
                <w:color w:val="000000"/>
                <w:kern w:val="0"/>
                <w:szCs w:val="21"/>
              </w:rPr>
            </w:pPr>
            <w:r>
              <w:rPr>
                <w:color w:val="000000"/>
                <w:kern w:val="0"/>
                <w:szCs w:val="21"/>
              </w:rPr>
              <w:t>合  计</w:t>
            </w:r>
          </w:p>
        </w:tc>
        <w:tc>
          <w:tcPr>
            <w:tcW w:w="891" w:type="pct"/>
            <w:tcBorders>
              <w:tl2br w:val="nil"/>
              <w:tr2bl w:val="nil"/>
            </w:tcBorders>
            <w:shd w:val="clear" w:color="auto" w:fill="auto"/>
            <w:vAlign w:val="center"/>
          </w:tcPr>
          <w:p>
            <w:pPr>
              <w:widowControl/>
              <w:jc w:val="right"/>
              <w:rPr>
                <w:color w:val="000000"/>
                <w:kern w:val="0"/>
                <w:szCs w:val="21"/>
              </w:rPr>
            </w:pPr>
            <w:r>
              <w:rPr>
                <w:color w:val="000000"/>
                <w:kern w:val="0"/>
                <w:szCs w:val="21"/>
              </w:rPr>
              <w:t>89,000.00</w:t>
            </w:r>
          </w:p>
        </w:tc>
        <w:tc>
          <w:tcPr>
            <w:tcW w:w="891" w:type="pct"/>
            <w:tcBorders>
              <w:tl2br w:val="nil"/>
              <w:tr2bl w:val="nil"/>
            </w:tcBorders>
            <w:shd w:val="clear" w:color="auto" w:fill="auto"/>
            <w:vAlign w:val="center"/>
          </w:tcPr>
          <w:p>
            <w:pPr>
              <w:widowControl/>
              <w:jc w:val="right"/>
              <w:rPr>
                <w:color w:val="000000"/>
                <w:kern w:val="0"/>
                <w:szCs w:val="21"/>
              </w:rPr>
            </w:pPr>
            <w:r>
              <w:rPr>
                <w:color w:val="000000"/>
                <w:kern w:val="0"/>
                <w:szCs w:val="21"/>
              </w:rPr>
              <w:t>89,000.00</w:t>
            </w:r>
          </w:p>
        </w:tc>
        <w:tc>
          <w:tcPr>
            <w:tcW w:w="942" w:type="pct"/>
            <w:tcBorders>
              <w:tl2br w:val="nil"/>
              <w:tr2bl w:val="nil"/>
            </w:tcBorders>
            <w:shd w:val="clear" w:color="auto" w:fill="auto"/>
            <w:vAlign w:val="center"/>
          </w:tcPr>
          <w:p>
            <w:pPr>
              <w:widowControl/>
              <w:jc w:val="right"/>
              <w:rPr>
                <w:color w:val="000000"/>
                <w:kern w:val="0"/>
                <w:szCs w:val="21"/>
              </w:rPr>
            </w:pPr>
          </w:p>
        </w:tc>
      </w:tr>
    </w:tbl>
    <w:p>
      <w:pPr>
        <w:spacing w:line="360" w:lineRule="auto"/>
        <w:ind w:firstLine="643" w:firstLineChars="200"/>
        <w:rPr>
          <w:rFonts w:eastAsia="仿宋_GB2312"/>
          <w:b/>
          <w:bCs/>
          <w:sz w:val="32"/>
          <w:szCs w:val="32"/>
        </w:rPr>
      </w:pPr>
      <w:r>
        <w:rPr>
          <w:rFonts w:eastAsia="仿宋_GB2312"/>
          <w:b/>
          <w:bCs/>
          <w:sz w:val="32"/>
          <w:szCs w:val="32"/>
        </w:rPr>
        <w:t>2、与上年度比较“三公经费”总额控制情况</w:t>
      </w:r>
    </w:p>
    <w:p>
      <w:pPr>
        <w:spacing w:line="360" w:lineRule="auto"/>
        <w:ind w:firstLine="640" w:firstLineChars="200"/>
        <w:rPr>
          <w:rFonts w:eastAsia="仿宋_GB2312"/>
          <w:sz w:val="24"/>
        </w:rPr>
      </w:pPr>
      <w:r>
        <w:rPr>
          <w:rFonts w:eastAsia="仿宋_GB2312"/>
          <w:sz w:val="32"/>
          <w:szCs w:val="32"/>
        </w:rPr>
        <w:t>与上年比较，三公经费总额减少4,000.00元，降幅6.35%。具体明细如下：</w:t>
      </w:r>
    </w:p>
    <w:p>
      <w:pPr>
        <w:spacing w:line="360" w:lineRule="auto"/>
        <w:ind w:firstLine="480" w:firstLineChars="200"/>
        <w:jc w:val="right"/>
        <w:rPr>
          <w:rFonts w:eastAsia="仿宋_GB2312"/>
          <w:sz w:val="28"/>
          <w:szCs w:val="28"/>
        </w:rPr>
      </w:pPr>
      <w:r>
        <w:rPr>
          <w:rFonts w:eastAsia="仿宋_GB2312"/>
          <w:sz w:val="24"/>
        </w:rPr>
        <w:t>金额单位：元</w:t>
      </w:r>
    </w:p>
    <w:tbl>
      <w:tblPr>
        <w:tblStyle w:val="14"/>
        <w:tblW w:w="4997" w:type="pct"/>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268"/>
        <w:gridCol w:w="1902"/>
        <w:gridCol w:w="1695"/>
        <w:gridCol w:w="1327"/>
        <w:gridCol w:w="1325"/>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7" w:hRule="atLeast"/>
        </w:trPr>
        <w:tc>
          <w:tcPr>
            <w:tcW w:w="1331" w:type="pct"/>
            <w:tcBorders>
              <w:tl2br w:val="nil"/>
              <w:tr2bl w:val="nil"/>
            </w:tcBorders>
            <w:shd w:val="clear" w:color="auto" w:fill="auto"/>
            <w:vAlign w:val="center"/>
          </w:tcPr>
          <w:p>
            <w:pPr>
              <w:widowControl/>
              <w:jc w:val="center"/>
              <w:rPr>
                <w:b/>
                <w:color w:val="000000"/>
                <w:kern w:val="0"/>
                <w:szCs w:val="21"/>
              </w:rPr>
            </w:pPr>
            <w:r>
              <w:rPr>
                <w:b/>
                <w:color w:val="000000"/>
                <w:kern w:val="0"/>
                <w:szCs w:val="21"/>
              </w:rPr>
              <w:t>费用项目</w:t>
            </w:r>
          </w:p>
        </w:tc>
        <w:tc>
          <w:tcPr>
            <w:tcW w:w="1116" w:type="pct"/>
            <w:tcBorders>
              <w:tl2br w:val="nil"/>
              <w:tr2bl w:val="nil"/>
            </w:tcBorders>
            <w:shd w:val="clear" w:color="auto" w:fill="auto"/>
            <w:vAlign w:val="center"/>
          </w:tcPr>
          <w:p>
            <w:pPr>
              <w:widowControl/>
              <w:jc w:val="center"/>
              <w:rPr>
                <w:b/>
                <w:color w:val="000000"/>
                <w:kern w:val="0"/>
                <w:szCs w:val="21"/>
              </w:rPr>
            </w:pPr>
            <w:r>
              <w:rPr>
                <w:b/>
                <w:color w:val="000000"/>
                <w:kern w:val="0"/>
                <w:szCs w:val="21"/>
              </w:rPr>
              <w:t>本年决算金额</w:t>
            </w:r>
          </w:p>
        </w:tc>
        <w:tc>
          <w:tcPr>
            <w:tcW w:w="995" w:type="pct"/>
            <w:tcBorders>
              <w:tl2br w:val="nil"/>
              <w:tr2bl w:val="nil"/>
            </w:tcBorders>
            <w:shd w:val="clear" w:color="auto" w:fill="auto"/>
            <w:vAlign w:val="center"/>
          </w:tcPr>
          <w:p>
            <w:pPr>
              <w:widowControl/>
              <w:jc w:val="center"/>
              <w:rPr>
                <w:b/>
                <w:color w:val="000000"/>
                <w:kern w:val="0"/>
                <w:szCs w:val="21"/>
              </w:rPr>
            </w:pPr>
            <w:r>
              <w:rPr>
                <w:b/>
                <w:color w:val="000000"/>
                <w:kern w:val="0"/>
                <w:szCs w:val="21"/>
              </w:rPr>
              <w:t>上年决算金额</w:t>
            </w:r>
          </w:p>
        </w:tc>
        <w:tc>
          <w:tcPr>
            <w:tcW w:w="779" w:type="pct"/>
            <w:tcBorders>
              <w:tl2br w:val="nil"/>
              <w:tr2bl w:val="nil"/>
            </w:tcBorders>
            <w:shd w:val="clear" w:color="auto" w:fill="auto"/>
            <w:vAlign w:val="center"/>
          </w:tcPr>
          <w:p>
            <w:pPr>
              <w:widowControl/>
              <w:jc w:val="center"/>
              <w:rPr>
                <w:b/>
                <w:color w:val="000000"/>
                <w:kern w:val="0"/>
                <w:szCs w:val="21"/>
              </w:rPr>
            </w:pPr>
            <w:r>
              <w:rPr>
                <w:b/>
                <w:color w:val="000000"/>
                <w:kern w:val="0"/>
                <w:szCs w:val="21"/>
              </w:rPr>
              <w:t>增减额</w:t>
            </w:r>
          </w:p>
        </w:tc>
        <w:tc>
          <w:tcPr>
            <w:tcW w:w="777" w:type="pct"/>
            <w:tcBorders>
              <w:tl2br w:val="nil"/>
              <w:tr2bl w:val="nil"/>
            </w:tcBorders>
            <w:shd w:val="clear" w:color="auto" w:fill="auto"/>
            <w:vAlign w:val="center"/>
          </w:tcPr>
          <w:p>
            <w:pPr>
              <w:widowControl/>
              <w:jc w:val="center"/>
              <w:rPr>
                <w:b/>
                <w:color w:val="000000"/>
                <w:kern w:val="0"/>
                <w:szCs w:val="21"/>
              </w:rPr>
            </w:pPr>
            <w:r>
              <w:rPr>
                <w:b/>
                <w:color w:val="000000"/>
                <w:kern w:val="0"/>
                <w:szCs w:val="21"/>
              </w:rPr>
              <w:t>增减率(%)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7" w:hRule="atLeast"/>
        </w:trPr>
        <w:tc>
          <w:tcPr>
            <w:tcW w:w="1331" w:type="pct"/>
            <w:tcBorders>
              <w:tl2br w:val="nil"/>
              <w:tr2bl w:val="nil"/>
            </w:tcBorders>
            <w:shd w:val="clear" w:color="auto" w:fill="auto"/>
            <w:vAlign w:val="center"/>
          </w:tcPr>
          <w:p>
            <w:pPr>
              <w:widowControl/>
              <w:jc w:val="left"/>
              <w:rPr>
                <w:color w:val="000000"/>
                <w:kern w:val="0"/>
                <w:szCs w:val="21"/>
              </w:rPr>
            </w:pPr>
            <w:r>
              <w:rPr>
                <w:color w:val="000000"/>
                <w:kern w:val="0"/>
                <w:szCs w:val="21"/>
              </w:rPr>
              <w:t>公务接待费</w:t>
            </w:r>
          </w:p>
        </w:tc>
        <w:tc>
          <w:tcPr>
            <w:tcW w:w="1116" w:type="pct"/>
            <w:tcBorders>
              <w:tl2br w:val="nil"/>
              <w:tr2bl w:val="nil"/>
            </w:tcBorders>
            <w:shd w:val="clear" w:color="auto" w:fill="auto"/>
            <w:vAlign w:val="center"/>
          </w:tcPr>
          <w:p>
            <w:pPr>
              <w:widowControl/>
              <w:jc w:val="right"/>
              <w:rPr>
                <w:rFonts w:eastAsia="仿宋_GB2312"/>
                <w:color w:val="000000"/>
                <w:kern w:val="0"/>
                <w:szCs w:val="21"/>
              </w:rPr>
            </w:pPr>
            <w:r>
              <w:rPr>
                <w:color w:val="000000"/>
                <w:kern w:val="0"/>
                <w:szCs w:val="21"/>
              </w:rPr>
              <w:t>59,000.00</w:t>
            </w:r>
          </w:p>
        </w:tc>
        <w:tc>
          <w:tcPr>
            <w:tcW w:w="995" w:type="pct"/>
            <w:tcBorders>
              <w:tl2br w:val="nil"/>
              <w:tr2bl w:val="nil"/>
            </w:tcBorders>
            <w:shd w:val="clear" w:color="auto" w:fill="auto"/>
            <w:vAlign w:val="center"/>
          </w:tcPr>
          <w:p>
            <w:pPr>
              <w:widowControl/>
              <w:jc w:val="right"/>
              <w:rPr>
                <w:rFonts w:eastAsia="仿宋_GB2312"/>
                <w:color w:val="000000"/>
                <w:kern w:val="0"/>
                <w:szCs w:val="21"/>
              </w:rPr>
            </w:pPr>
            <w:r>
              <w:rPr>
                <w:color w:val="000000"/>
                <w:kern w:val="0"/>
                <w:szCs w:val="21"/>
              </w:rPr>
              <w:t>63,000.00</w:t>
            </w:r>
          </w:p>
        </w:tc>
        <w:tc>
          <w:tcPr>
            <w:tcW w:w="779" w:type="pct"/>
            <w:tcBorders>
              <w:tl2br w:val="nil"/>
              <w:tr2bl w:val="nil"/>
            </w:tcBorders>
            <w:shd w:val="clear" w:color="auto" w:fill="auto"/>
            <w:vAlign w:val="center"/>
          </w:tcPr>
          <w:p>
            <w:pPr>
              <w:widowControl/>
              <w:jc w:val="right"/>
              <w:rPr>
                <w:color w:val="000000"/>
                <w:kern w:val="0"/>
                <w:szCs w:val="21"/>
              </w:rPr>
            </w:pPr>
            <w:r>
              <w:rPr>
                <w:color w:val="000000"/>
                <w:kern w:val="0"/>
                <w:szCs w:val="21"/>
              </w:rPr>
              <w:t>-4,000.00</w:t>
            </w:r>
          </w:p>
        </w:tc>
        <w:tc>
          <w:tcPr>
            <w:tcW w:w="777" w:type="pct"/>
            <w:tcBorders>
              <w:tl2br w:val="nil"/>
              <w:tr2bl w:val="nil"/>
            </w:tcBorders>
            <w:shd w:val="clear" w:color="auto" w:fill="auto"/>
            <w:vAlign w:val="center"/>
          </w:tcPr>
          <w:p>
            <w:pPr>
              <w:widowControl/>
              <w:jc w:val="right"/>
              <w:rPr>
                <w:color w:val="000000"/>
                <w:kern w:val="0"/>
                <w:szCs w:val="21"/>
              </w:rPr>
            </w:pPr>
            <w:r>
              <w:rPr>
                <w:color w:val="000000"/>
                <w:kern w:val="0"/>
                <w:szCs w:val="21"/>
              </w:rPr>
              <w:t>-6.35</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7" w:hRule="atLeast"/>
        </w:trPr>
        <w:tc>
          <w:tcPr>
            <w:tcW w:w="1331" w:type="pct"/>
            <w:tcBorders>
              <w:tl2br w:val="nil"/>
              <w:tr2bl w:val="nil"/>
            </w:tcBorders>
            <w:shd w:val="clear" w:color="auto" w:fill="auto"/>
            <w:vAlign w:val="center"/>
          </w:tcPr>
          <w:p>
            <w:pPr>
              <w:widowControl/>
              <w:jc w:val="left"/>
              <w:rPr>
                <w:color w:val="000000"/>
                <w:kern w:val="0"/>
                <w:szCs w:val="21"/>
              </w:rPr>
            </w:pPr>
            <w:r>
              <w:rPr>
                <w:color w:val="000000"/>
                <w:kern w:val="0"/>
                <w:szCs w:val="21"/>
              </w:rPr>
              <w:t>公车运行维护费</w:t>
            </w:r>
          </w:p>
        </w:tc>
        <w:tc>
          <w:tcPr>
            <w:tcW w:w="1116" w:type="pct"/>
            <w:tcBorders>
              <w:tl2br w:val="nil"/>
              <w:tr2bl w:val="nil"/>
            </w:tcBorders>
            <w:shd w:val="clear" w:color="auto" w:fill="auto"/>
            <w:vAlign w:val="center"/>
          </w:tcPr>
          <w:p>
            <w:pPr>
              <w:widowControl/>
              <w:jc w:val="right"/>
              <w:rPr>
                <w:rFonts w:eastAsia="仿宋_GB2312"/>
                <w:color w:val="000000"/>
                <w:kern w:val="0"/>
                <w:szCs w:val="21"/>
              </w:rPr>
            </w:pPr>
            <w:r>
              <w:rPr>
                <w:color w:val="000000"/>
                <w:kern w:val="0"/>
                <w:szCs w:val="21"/>
              </w:rPr>
              <w:t>30,000.00</w:t>
            </w:r>
          </w:p>
        </w:tc>
        <w:tc>
          <w:tcPr>
            <w:tcW w:w="995" w:type="pct"/>
            <w:tcBorders>
              <w:tl2br w:val="nil"/>
              <w:tr2bl w:val="nil"/>
            </w:tcBorders>
            <w:shd w:val="clear" w:color="auto" w:fill="auto"/>
            <w:vAlign w:val="center"/>
          </w:tcPr>
          <w:p>
            <w:pPr>
              <w:widowControl/>
              <w:jc w:val="right"/>
              <w:rPr>
                <w:rFonts w:eastAsia="仿宋_GB2312"/>
                <w:color w:val="000000"/>
                <w:kern w:val="0"/>
                <w:szCs w:val="21"/>
              </w:rPr>
            </w:pPr>
            <w:r>
              <w:rPr>
                <w:color w:val="000000"/>
                <w:kern w:val="0"/>
                <w:szCs w:val="21"/>
              </w:rPr>
              <w:t>30,000.00</w:t>
            </w:r>
          </w:p>
        </w:tc>
        <w:tc>
          <w:tcPr>
            <w:tcW w:w="779" w:type="pct"/>
            <w:tcBorders>
              <w:tl2br w:val="nil"/>
              <w:tr2bl w:val="nil"/>
            </w:tcBorders>
            <w:shd w:val="clear" w:color="auto" w:fill="auto"/>
            <w:vAlign w:val="center"/>
          </w:tcPr>
          <w:p>
            <w:pPr>
              <w:widowControl/>
              <w:jc w:val="right"/>
              <w:rPr>
                <w:color w:val="000000"/>
                <w:kern w:val="0"/>
                <w:szCs w:val="21"/>
              </w:rPr>
            </w:pPr>
          </w:p>
        </w:tc>
        <w:tc>
          <w:tcPr>
            <w:tcW w:w="777" w:type="pct"/>
            <w:tcBorders>
              <w:tl2br w:val="nil"/>
              <w:tr2bl w:val="nil"/>
            </w:tcBorders>
            <w:shd w:val="clear" w:color="auto" w:fill="auto"/>
            <w:vAlign w:val="center"/>
          </w:tcPr>
          <w:p>
            <w:pPr>
              <w:widowControl/>
              <w:jc w:val="right"/>
              <w:rPr>
                <w:color w:val="000000"/>
                <w:kern w:val="0"/>
                <w:szCs w:val="21"/>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7" w:hRule="atLeast"/>
        </w:trPr>
        <w:tc>
          <w:tcPr>
            <w:tcW w:w="1331" w:type="pct"/>
            <w:tcBorders>
              <w:tl2br w:val="nil"/>
              <w:tr2bl w:val="nil"/>
            </w:tcBorders>
            <w:shd w:val="clear" w:color="auto" w:fill="auto"/>
            <w:vAlign w:val="center"/>
          </w:tcPr>
          <w:p>
            <w:pPr>
              <w:widowControl/>
              <w:jc w:val="left"/>
              <w:rPr>
                <w:color w:val="000000"/>
                <w:kern w:val="0"/>
                <w:szCs w:val="21"/>
              </w:rPr>
            </w:pPr>
            <w:r>
              <w:rPr>
                <w:color w:val="000000"/>
                <w:kern w:val="0"/>
                <w:szCs w:val="21"/>
              </w:rPr>
              <w:t>因公出国费用</w:t>
            </w:r>
          </w:p>
        </w:tc>
        <w:tc>
          <w:tcPr>
            <w:tcW w:w="1116" w:type="pct"/>
            <w:tcBorders>
              <w:tl2br w:val="nil"/>
              <w:tr2bl w:val="nil"/>
            </w:tcBorders>
            <w:shd w:val="clear" w:color="auto" w:fill="auto"/>
            <w:vAlign w:val="center"/>
          </w:tcPr>
          <w:p>
            <w:pPr>
              <w:widowControl/>
              <w:jc w:val="right"/>
              <w:rPr>
                <w:color w:val="000000"/>
                <w:kern w:val="0"/>
                <w:szCs w:val="21"/>
              </w:rPr>
            </w:pPr>
          </w:p>
        </w:tc>
        <w:tc>
          <w:tcPr>
            <w:tcW w:w="995" w:type="pct"/>
            <w:tcBorders>
              <w:tl2br w:val="nil"/>
              <w:tr2bl w:val="nil"/>
            </w:tcBorders>
            <w:shd w:val="clear" w:color="auto" w:fill="auto"/>
            <w:vAlign w:val="center"/>
          </w:tcPr>
          <w:p>
            <w:pPr>
              <w:widowControl/>
              <w:jc w:val="right"/>
              <w:rPr>
                <w:color w:val="000000"/>
                <w:kern w:val="0"/>
                <w:szCs w:val="21"/>
              </w:rPr>
            </w:pPr>
          </w:p>
        </w:tc>
        <w:tc>
          <w:tcPr>
            <w:tcW w:w="779" w:type="pct"/>
            <w:tcBorders>
              <w:tl2br w:val="nil"/>
              <w:tr2bl w:val="nil"/>
            </w:tcBorders>
            <w:shd w:val="clear" w:color="auto" w:fill="auto"/>
            <w:vAlign w:val="center"/>
          </w:tcPr>
          <w:p>
            <w:pPr>
              <w:widowControl/>
              <w:jc w:val="right"/>
              <w:rPr>
                <w:color w:val="000000"/>
                <w:kern w:val="0"/>
                <w:szCs w:val="21"/>
              </w:rPr>
            </w:pPr>
          </w:p>
        </w:tc>
        <w:tc>
          <w:tcPr>
            <w:tcW w:w="777" w:type="pct"/>
            <w:tcBorders>
              <w:tl2br w:val="nil"/>
              <w:tr2bl w:val="nil"/>
            </w:tcBorders>
            <w:shd w:val="clear" w:color="auto" w:fill="auto"/>
            <w:vAlign w:val="center"/>
          </w:tcPr>
          <w:p>
            <w:pPr>
              <w:widowControl/>
              <w:jc w:val="right"/>
              <w:rPr>
                <w:color w:val="000000"/>
                <w:kern w:val="0"/>
                <w:szCs w:val="21"/>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9" w:hRule="atLeast"/>
        </w:trPr>
        <w:tc>
          <w:tcPr>
            <w:tcW w:w="1331" w:type="pct"/>
            <w:tcBorders>
              <w:tl2br w:val="nil"/>
              <w:tr2bl w:val="nil"/>
            </w:tcBorders>
            <w:shd w:val="clear" w:color="auto" w:fill="auto"/>
            <w:vAlign w:val="center"/>
          </w:tcPr>
          <w:p>
            <w:pPr>
              <w:widowControl/>
              <w:jc w:val="center"/>
              <w:rPr>
                <w:color w:val="000000"/>
                <w:kern w:val="0"/>
                <w:szCs w:val="21"/>
              </w:rPr>
            </w:pPr>
            <w:r>
              <w:rPr>
                <w:color w:val="000000"/>
                <w:kern w:val="0"/>
                <w:szCs w:val="21"/>
              </w:rPr>
              <w:t>合  计</w:t>
            </w:r>
          </w:p>
        </w:tc>
        <w:tc>
          <w:tcPr>
            <w:tcW w:w="1116" w:type="pct"/>
            <w:tcBorders>
              <w:tl2br w:val="nil"/>
              <w:tr2bl w:val="nil"/>
            </w:tcBorders>
            <w:shd w:val="clear" w:color="auto" w:fill="auto"/>
            <w:vAlign w:val="center"/>
          </w:tcPr>
          <w:p>
            <w:pPr>
              <w:widowControl/>
              <w:jc w:val="right"/>
              <w:rPr>
                <w:rFonts w:eastAsia="仿宋_GB2312"/>
                <w:color w:val="000000"/>
                <w:kern w:val="0"/>
                <w:szCs w:val="21"/>
              </w:rPr>
            </w:pPr>
            <w:r>
              <w:rPr>
                <w:color w:val="000000"/>
                <w:kern w:val="0"/>
                <w:szCs w:val="21"/>
              </w:rPr>
              <w:t>89,000.00</w:t>
            </w:r>
          </w:p>
        </w:tc>
        <w:tc>
          <w:tcPr>
            <w:tcW w:w="995" w:type="pct"/>
            <w:tcBorders>
              <w:tl2br w:val="nil"/>
              <w:tr2bl w:val="nil"/>
            </w:tcBorders>
            <w:shd w:val="clear" w:color="auto" w:fill="auto"/>
            <w:vAlign w:val="center"/>
          </w:tcPr>
          <w:p>
            <w:pPr>
              <w:widowControl/>
              <w:jc w:val="right"/>
              <w:rPr>
                <w:rFonts w:eastAsia="仿宋_GB2312"/>
                <w:color w:val="000000"/>
                <w:kern w:val="0"/>
                <w:szCs w:val="21"/>
              </w:rPr>
            </w:pPr>
            <w:r>
              <w:rPr>
                <w:color w:val="000000"/>
                <w:kern w:val="0"/>
                <w:szCs w:val="21"/>
              </w:rPr>
              <w:t>93,000.00</w:t>
            </w:r>
          </w:p>
        </w:tc>
        <w:tc>
          <w:tcPr>
            <w:tcW w:w="779" w:type="pct"/>
            <w:tcBorders>
              <w:tl2br w:val="nil"/>
              <w:tr2bl w:val="nil"/>
            </w:tcBorders>
            <w:shd w:val="clear" w:color="auto" w:fill="auto"/>
            <w:vAlign w:val="center"/>
          </w:tcPr>
          <w:p>
            <w:pPr>
              <w:widowControl/>
              <w:jc w:val="right"/>
              <w:rPr>
                <w:color w:val="000000"/>
                <w:kern w:val="0"/>
                <w:szCs w:val="21"/>
              </w:rPr>
            </w:pPr>
            <w:r>
              <w:rPr>
                <w:color w:val="000000"/>
                <w:kern w:val="0"/>
                <w:szCs w:val="21"/>
              </w:rPr>
              <w:t>-4,000.00</w:t>
            </w:r>
          </w:p>
        </w:tc>
        <w:tc>
          <w:tcPr>
            <w:tcW w:w="777" w:type="pct"/>
            <w:tcBorders>
              <w:tl2br w:val="nil"/>
              <w:tr2bl w:val="nil"/>
            </w:tcBorders>
            <w:shd w:val="clear" w:color="auto" w:fill="auto"/>
            <w:vAlign w:val="center"/>
          </w:tcPr>
          <w:p>
            <w:pPr>
              <w:widowControl/>
              <w:jc w:val="right"/>
              <w:rPr>
                <w:color w:val="000000"/>
                <w:kern w:val="0"/>
                <w:szCs w:val="21"/>
              </w:rPr>
            </w:pPr>
            <w:r>
              <w:rPr>
                <w:color w:val="000000"/>
                <w:kern w:val="0"/>
                <w:szCs w:val="21"/>
              </w:rPr>
              <w:t>-6.35</w:t>
            </w:r>
          </w:p>
        </w:tc>
      </w:tr>
    </w:tbl>
    <w:p>
      <w:pPr>
        <w:spacing w:line="360" w:lineRule="auto"/>
        <w:ind w:firstLine="643" w:firstLineChars="200"/>
        <w:outlineLvl w:val="1"/>
        <w:rPr>
          <w:rFonts w:eastAsia="楷体"/>
          <w:b/>
          <w:bCs/>
          <w:sz w:val="32"/>
          <w:szCs w:val="32"/>
        </w:rPr>
      </w:pPr>
      <w:bookmarkStart w:id="20" w:name="_Toc25938883"/>
      <w:r>
        <w:rPr>
          <w:rFonts w:eastAsia="楷体"/>
          <w:b/>
          <w:bCs/>
          <w:sz w:val="32"/>
          <w:szCs w:val="32"/>
        </w:rPr>
        <w:t>（三）项目支出</w:t>
      </w:r>
      <w:bookmarkEnd w:id="20"/>
    </w:p>
    <w:p>
      <w:pPr>
        <w:spacing w:line="360" w:lineRule="auto"/>
        <w:ind w:firstLine="643" w:firstLineChars="200"/>
        <w:rPr>
          <w:rFonts w:eastAsia="仿宋_GB2312"/>
          <w:b/>
          <w:bCs/>
          <w:sz w:val="32"/>
          <w:szCs w:val="32"/>
        </w:rPr>
      </w:pPr>
      <w:r>
        <w:rPr>
          <w:rFonts w:eastAsia="仿宋_GB2312"/>
          <w:b/>
          <w:bCs/>
          <w:sz w:val="32"/>
          <w:szCs w:val="32"/>
        </w:rPr>
        <w:t>1、项目资金实际使用情况</w:t>
      </w:r>
    </w:p>
    <w:p>
      <w:pPr>
        <w:spacing w:line="360" w:lineRule="auto"/>
        <w:ind w:firstLine="640" w:firstLineChars="200"/>
        <w:rPr>
          <w:rFonts w:eastAsia="仿宋_GB2312"/>
          <w:sz w:val="32"/>
          <w:szCs w:val="32"/>
        </w:rPr>
      </w:pPr>
      <w:r>
        <w:rPr>
          <w:rFonts w:eastAsia="仿宋_GB2312"/>
          <w:sz w:val="32"/>
          <w:szCs w:val="32"/>
        </w:rPr>
        <w:t>项目支出是在基本支出之外为完成其特定的工作任务而发生的支出，主要用于基础设施建设、水利建设等专项支出。</w:t>
      </w:r>
    </w:p>
    <w:p>
      <w:pPr>
        <w:spacing w:line="360" w:lineRule="auto"/>
        <w:ind w:firstLine="640" w:firstLineChars="200"/>
        <w:rPr>
          <w:rFonts w:eastAsia="仿宋_GB2312"/>
          <w:sz w:val="32"/>
          <w:szCs w:val="32"/>
        </w:rPr>
      </w:pPr>
      <w:r>
        <w:rPr>
          <w:rFonts w:eastAsia="仿宋_GB2312"/>
          <w:sz w:val="32"/>
          <w:szCs w:val="32"/>
        </w:rPr>
        <w:t>2018年年初项目支出预算168.20万元，2018年项目支出决算182.50万元，决算支出超预算项目支出14.30万元。具体情况如下：</w:t>
      </w:r>
    </w:p>
    <w:tbl>
      <w:tblPr>
        <w:tblStyle w:val="14"/>
        <w:tblW w:w="4997" w:type="pct"/>
        <w:tblInd w:w="0" w:type="dxa"/>
        <w:tblLayout w:type="autofit"/>
        <w:tblCellMar>
          <w:top w:w="0" w:type="dxa"/>
          <w:left w:w="0" w:type="dxa"/>
          <w:bottom w:w="0" w:type="dxa"/>
          <w:right w:w="0" w:type="dxa"/>
        </w:tblCellMar>
      </w:tblPr>
      <w:tblGrid>
        <w:gridCol w:w="4493"/>
        <w:gridCol w:w="1011"/>
        <w:gridCol w:w="875"/>
        <w:gridCol w:w="875"/>
        <w:gridCol w:w="1077"/>
      </w:tblGrid>
      <w:tr>
        <w:tblPrEx>
          <w:tblCellMar>
            <w:top w:w="0" w:type="dxa"/>
            <w:left w:w="0" w:type="dxa"/>
            <w:bottom w:w="0" w:type="dxa"/>
            <w:right w:w="0" w:type="dxa"/>
          </w:tblCellMar>
        </w:tblPrEx>
        <w:trPr>
          <w:trHeight w:val="283" w:hRule="atLeast"/>
          <w:tblHeader/>
        </w:trPr>
        <w:tc>
          <w:tcPr>
            <w:tcW w:w="2298" w:type="pct"/>
            <w:tcBorders>
              <w:top w:val="single" w:color="000000" w:sz="12"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项目</w:t>
            </w:r>
          </w:p>
        </w:tc>
        <w:tc>
          <w:tcPr>
            <w:tcW w:w="706" w:type="pct"/>
            <w:tcBorders>
              <w:top w:val="single" w:color="000000" w:sz="12"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预算支出</w:t>
            </w:r>
          </w:p>
        </w:tc>
        <w:tc>
          <w:tcPr>
            <w:tcW w:w="591" w:type="pct"/>
            <w:tcBorders>
              <w:top w:val="single" w:color="000000" w:sz="12"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决算支出</w:t>
            </w:r>
          </w:p>
        </w:tc>
        <w:tc>
          <w:tcPr>
            <w:tcW w:w="630" w:type="pct"/>
            <w:tcBorders>
              <w:top w:val="single" w:color="000000" w:sz="12"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支出差异</w:t>
            </w:r>
          </w:p>
        </w:tc>
        <w:tc>
          <w:tcPr>
            <w:tcW w:w="772" w:type="pct"/>
            <w:tcBorders>
              <w:top w:val="single" w:color="000000" w:sz="12" w:space="0"/>
              <w:left w:val="dotted" w:color="000000" w:sz="4" w:space="0"/>
              <w:bottom w:val="dotted" w:color="000000" w:sz="4" w:space="0"/>
              <w:right w:val="nil"/>
            </w:tcBorders>
            <w:shd w:val="clear" w:color="auto" w:fill="auto"/>
            <w:noWrap/>
            <w:tcMar>
              <w:top w:w="15" w:type="dxa"/>
              <w:left w:w="15" w:type="dxa"/>
              <w:right w:w="15" w:type="dxa"/>
            </w:tcMar>
            <w:vAlign w:val="center"/>
          </w:tcPr>
          <w:p>
            <w:pPr>
              <w:widowControl/>
              <w:jc w:val="center"/>
              <w:textAlignment w:val="center"/>
              <w:rPr>
                <w:b/>
                <w:color w:val="000000"/>
                <w:szCs w:val="21"/>
              </w:rPr>
            </w:pPr>
            <w:r>
              <w:rPr>
                <w:b/>
                <w:color w:val="000000"/>
                <w:kern w:val="0"/>
                <w:szCs w:val="21"/>
              </w:rPr>
              <w:t xml:space="preserve">差异占比 </w:t>
            </w: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2017年森林防火集中祭祀点奖补资金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12.00</w:t>
            </w: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12.00</w:t>
            </w: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jc w:val="right"/>
              <w:rPr>
                <w:color w:val="000000"/>
                <w:szCs w:val="21"/>
              </w:rPr>
            </w:pP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分成福利彩票公益金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17.50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17.50</w:t>
            </w: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jc w:val="right"/>
              <w:rPr>
                <w:color w:val="000000"/>
                <w:szCs w:val="21"/>
              </w:rPr>
            </w:pP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道路建设资金（檀山社区）</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4.00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4.00</w:t>
            </w: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jc w:val="right"/>
              <w:rPr>
                <w:color w:val="000000"/>
                <w:szCs w:val="21"/>
              </w:rPr>
            </w:pP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2018年县市区基层政权建设补助经费（雄虎村）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5.00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-5.00</w:t>
            </w: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-100.00%</w:t>
            </w: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2017年新型城镇化小型基础设施建设补助资金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15.00</w:t>
            </w: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15.00</w:t>
            </w: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jc w:val="right"/>
              <w:rPr>
                <w:color w:val="000000"/>
                <w:szCs w:val="21"/>
              </w:rPr>
            </w:pP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新农村建设资金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15.00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15.00</w:t>
            </w: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Cs w:val="21"/>
              </w:rPr>
            </w:pP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2017年度市级水利建设专项资金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30.00</w:t>
            </w: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30.00</w:t>
            </w: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jc w:val="right"/>
              <w:rPr>
                <w:color w:val="000000"/>
                <w:szCs w:val="21"/>
              </w:rPr>
            </w:pP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2018年市级水利建设专项资金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19.00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-19.00</w:t>
            </w: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-100.00%</w:t>
            </w: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2018年社会保障补助资金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10.00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10.00</w:t>
            </w: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0.00%</w:t>
            </w: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2018年乡村旅游发展专项资金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6.00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-6.00</w:t>
            </w: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-100.00%</w:t>
            </w: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2018年乡镇财政管理经费</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30.00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25.00</w:t>
            </w: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-5.00</w:t>
            </w: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-16.67%</w:t>
            </w: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2017年其他农村综合改革支出经费</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10.00</w:t>
            </w: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10.00</w:t>
            </w: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jc w:val="right"/>
              <w:rPr>
                <w:color w:val="000000"/>
                <w:szCs w:val="21"/>
              </w:rPr>
            </w:pP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2018年其他农村综合改革支出经费</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8.00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8.00</w:t>
            </w: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Cs w:val="21"/>
              </w:rPr>
            </w:pP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省级体育彩票公益金项目资金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14.50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36.00</w:t>
            </w: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21.50</w:t>
            </w: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148.28%</w:t>
            </w: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2018年市级福利彩票公益金项目资金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16.00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-16.00</w:t>
            </w: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-100.00%</w:t>
            </w: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2018年公益事业资金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5.00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-5.00</w:t>
            </w: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-100.00%</w:t>
            </w: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农业基础设施维修资金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10.00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-10.00</w:t>
            </w: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-100.00%</w:t>
            </w: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水塘清淤护坡维修资金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5.00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-5.00</w:t>
            </w: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-100.00%</w:t>
            </w:r>
          </w:p>
        </w:tc>
      </w:tr>
      <w:tr>
        <w:tblPrEx>
          <w:tblCellMar>
            <w:top w:w="0" w:type="dxa"/>
            <w:left w:w="0" w:type="dxa"/>
            <w:bottom w:w="0" w:type="dxa"/>
            <w:right w:w="0" w:type="dxa"/>
          </w:tblCellMar>
        </w:tblPrEx>
        <w:trPr>
          <w:trHeight w:val="270" w:hRule="atLeast"/>
        </w:trPr>
        <w:tc>
          <w:tcPr>
            <w:tcW w:w="2298" w:type="pct"/>
            <w:tcBorders>
              <w:top w:val="dotted" w:color="000000" w:sz="4" w:space="0"/>
              <w:left w:val="nil"/>
              <w:bottom w:val="dotted" w:color="000000" w:sz="4" w:space="0"/>
              <w:right w:val="dotted" w:color="000000" w:sz="4" w:space="0"/>
            </w:tcBorders>
            <w:shd w:val="clear" w:color="auto" w:fill="auto"/>
            <w:noWrap/>
            <w:tcMar>
              <w:top w:w="15" w:type="dxa"/>
              <w:left w:w="15" w:type="dxa"/>
              <w:right w:w="15" w:type="dxa"/>
            </w:tcMar>
            <w:vAlign w:val="center"/>
          </w:tcPr>
          <w:p>
            <w:pPr>
              <w:widowControl/>
              <w:textAlignment w:val="center"/>
              <w:rPr>
                <w:color w:val="000000"/>
                <w:szCs w:val="21"/>
              </w:rPr>
            </w:pPr>
            <w:r>
              <w:rPr>
                <w:color w:val="000000"/>
                <w:kern w:val="0"/>
                <w:szCs w:val="21"/>
              </w:rPr>
              <w:t>2018年旅游厕所建设项目资金</w:t>
            </w:r>
          </w:p>
        </w:tc>
        <w:tc>
          <w:tcPr>
            <w:tcW w:w="706"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3.20</w:t>
            </w:r>
          </w:p>
        </w:tc>
        <w:tc>
          <w:tcPr>
            <w:tcW w:w="591"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jc w:val="right"/>
              <w:rPr>
                <w:color w:val="000000"/>
                <w:szCs w:val="21"/>
              </w:rPr>
            </w:pPr>
          </w:p>
        </w:tc>
        <w:tc>
          <w:tcPr>
            <w:tcW w:w="630" w:type="pct"/>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-3.20</w:t>
            </w:r>
          </w:p>
        </w:tc>
        <w:tc>
          <w:tcPr>
            <w:tcW w:w="772" w:type="pct"/>
            <w:tcBorders>
              <w:top w:val="dotted" w:color="000000" w:sz="4" w:space="0"/>
              <w:left w:val="dotted" w:color="000000" w:sz="4" w:space="0"/>
              <w:bottom w:val="dotted"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-100.00%</w:t>
            </w:r>
          </w:p>
        </w:tc>
      </w:tr>
      <w:tr>
        <w:tblPrEx>
          <w:tblCellMar>
            <w:top w:w="0" w:type="dxa"/>
            <w:left w:w="0" w:type="dxa"/>
            <w:bottom w:w="0" w:type="dxa"/>
            <w:right w:w="0" w:type="dxa"/>
          </w:tblCellMar>
        </w:tblPrEx>
        <w:trPr>
          <w:trHeight w:val="285" w:hRule="atLeast"/>
        </w:trPr>
        <w:tc>
          <w:tcPr>
            <w:tcW w:w="2298" w:type="pct"/>
            <w:tcBorders>
              <w:top w:val="dotted" w:color="000000" w:sz="4" w:space="0"/>
              <w:left w:val="nil"/>
              <w:bottom w:val="single" w:color="000000" w:sz="12" w:space="0"/>
              <w:right w:val="dotted" w:color="000000" w:sz="4" w:space="0"/>
            </w:tcBorders>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rPr>
              <w:t>合计</w:t>
            </w:r>
          </w:p>
        </w:tc>
        <w:tc>
          <w:tcPr>
            <w:tcW w:w="706" w:type="pct"/>
            <w:tcBorders>
              <w:top w:val="dotted" w:color="000000" w:sz="4" w:space="0"/>
              <w:left w:val="dotted" w:color="000000" w:sz="4" w:space="0"/>
              <w:bottom w:val="single" w:color="000000" w:sz="12"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168.20</w:t>
            </w:r>
          </w:p>
        </w:tc>
        <w:tc>
          <w:tcPr>
            <w:tcW w:w="591" w:type="pct"/>
            <w:tcBorders>
              <w:top w:val="dotted" w:color="000000" w:sz="4" w:space="0"/>
              <w:left w:val="dotted" w:color="000000" w:sz="4" w:space="0"/>
              <w:bottom w:val="single" w:color="000000" w:sz="12"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182.50</w:t>
            </w:r>
          </w:p>
        </w:tc>
        <w:tc>
          <w:tcPr>
            <w:tcW w:w="630" w:type="pct"/>
            <w:tcBorders>
              <w:top w:val="dotted" w:color="000000" w:sz="4" w:space="0"/>
              <w:left w:val="dotted" w:color="000000" w:sz="4" w:space="0"/>
              <w:bottom w:val="single" w:color="000000" w:sz="12" w:space="0"/>
              <w:right w:val="dotted" w:color="000000" w:sz="4" w:space="0"/>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14.30</w:t>
            </w:r>
          </w:p>
        </w:tc>
        <w:tc>
          <w:tcPr>
            <w:tcW w:w="772" w:type="pct"/>
            <w:tcBorders>
              <w:top w:val="dotted" w:color="000000" w:sz="4" w:space="0"/>
              <w:left w:val="dotted" w:color="000000" w:sz="4" w:space="0"/>
              <w:bottom w:val="single" w:color="000000" w:sz="12" w:space="0"/>
              <w:right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8.50%</w:t>
            </w:r>
          </w:p>
        </w:tc>
      </w:tr>
    </w:tbl>
    <w:p>
      <w:pPr>
        <w:spacing w:line="360" w:lineRule="auto"/>
        <w:ind w:firstLine="640" w:firstLineChars="200"/>
        <w:rPr>
          <w:rFonts w:eastAsia="仿宋_GB2312"/>
          <w:sz w:val="32"/>
          <w:szCs w:val="32"/>
        </w:rPr>
      </w:pPr>
      <w:r>
        <w:rPr>
          <w:rFonts w:eastAsia="仿宋_GB2312"/>
          <w:sz w:val="32"/>
          <w:szCs w:val="32"/>
        </w:rPr>
        <w:t>2018年项目决算收入285.20万元，其中上年结转和结余数97.00万元，本年决算收入188.20万元；2018年项目决算支出182.50万元，结转和结余102.70万元。项目决算收入支出明细如下表：</w:t>
      </w:r>
    </w:p>
    <w:p>
      <w:pPr>
        <w:spacing w:line="360" w:lineRule="auto"/>
        <w:ind w:firstLine="480" w:firstLineChars="200"/>
        <w:jc w:val="right"/>
        <w:rPr>
          <w:rFonts w:eastAsia="仿宋_GB2312"/>
          <w:sz w:val="24"/>
        </w:rPr>
      </w:pPr>
    </w:p>
    <w:p>
      <w:pPr>
        <w:spacing w:line="360" w:lineRule="auto"/>
        <w:ind w:firstLine="480" w:firstLineChars="200"/>
        <w:jc w:val="right"/>
        <w:rPr>
          <w:rFonts w:eastAsia="仿宋_GB2312"/>
          <w:sz w:val="24"/>
        </w:rPr>
      </w:pPr>
    </w:p>
    <w:p>
      <w:pPr>
        <w:spacing w:line="360" w:lineRule="auto"/>
        <w:ind w:firstLine="480" w:firstLineChars="200"/>
        <w:jc w:val="right"/>
        <w:rPr>
          <w:rFonts w:eastAsia="仿宋_GB2312"/>
          <w:sz w:val="24"/>
        </w:rPr>
      </w:pPr>
      <w:r>
        <w:rPr>
          <w:rFonts w:eastAsia="仿宋_GB2312"/>
          <w:sz w:val="24"/>
        </w:rPr>
        <w:t>单位：万元</w:t>
      </w:r>
    </w:p>
    <w:tbl>
      <w:tblPr>
        <w:tblStyle w:val="14"/>
        <w:tblW w:w="5026" w:type="pct"/>
        <w:tblInd w:w="0" w:type="dxa"/>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0" w:type="dxa"/>
          <w:bottom w:w="0" w:type="dxa"/>
          <w:right w:w="0" w:type="dxa"/>
        </w:tblCellMar>
      </w:tblPr>
      <w:tblGrid>
        <w:gridCol w:w="3987"/>
        <w:gridCol w:w="1275"/>
        <w:gridCol w:w="992"/>
        <w:gridCol w:w="850"/>
        <w:gridCol w:w="1275"/>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88" w:hRule="atLeast"/>
          <w:tblHeader/>
        </w:trPr>
        <w:tc>
          <w:tcPr>
            <w:tcW w:w="2379"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sz w:val="18"/>
                <w:szCs w:val="18"/>
              </w:rPr>
            </w:pPr>
            <w:r>
              <w:rPr>
                <w:b/>
                <w:color w:val="000000"/>
                <w:kern w:val="0"/>
                <w:sz w:val="18"/>
                <w:szCs w:val="18"/>
              </w:rPr>
              <w:t>项目</w:t>
            </w:r>
          </w:p>
        </w:tc>
        <w:tc>
          <w:tcPr>
            <w:tcW w:w="761"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kern w:val="0"/>
                <w:sz w:val="18"/>
                <w:szCs w:val="18"/>
              </w:rPr>
            </w:pPr>
            <w:r>
              <w:rPr>
                <w:b/>
                <w:bCs/>
                <w:color w:val="000000"/>
                <w:kern w:val="0"/>
                <w:sz w:val="18"/>
                <w:szCs w:val="18"/>
              </w:rPr>
              <w:t>上年结转结余</w:t>
            </w:r>
          </w:p>
        </w:tc>
        <w:tc>
          <w:tcPr>
            <w:tcW w:w="592"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sz w:val="18"/>
                <w:szCs w:val="18"/>
              </w:rPr>
            </w:pPr>
            <w:r>
              <w:rPr>
                <w:b/>
                <w:color w:val="000000"/>
                <w:kern w:val="0"/>
                <w:sz w:val="18"/>
                <w:szCs w:val="18"/>
              </w:rPr>
              <w:t>决算收入</w:t>
            </w:r>
          </w:p>
        </w:tc>
        <w:tc>
          <w:tcPr>
            <w:tcW w:w="507"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sz w:val="18"/>
                <w:szCs w:val="18"/>
              </w:rPr>
            </w:pPr>
            <w:r>
              <w:rPr>
                <w:b/>
                <w:color w:val="000000"/>
                <w:kern w:val="0"/>
                <w:sz w:val="18"/>
                <w:szCs w:val="18"/>
              </w:rPr>
              <w:t>决算支出</w:t>
            </w:r>
          </w:p>
        </w:tc>
        <w:tc>
          <w:tcPr>
            <w:tcW w:w="761"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000000"/>
                <w:sz w:val="18"/>
                <w:szCs w:val="18"/>
              </w:rPr>
            </w:pPr>
            <w:r>
              <w:rPr>
                <w:b/>
                <w:color w:val="000000"/>
                <w:kern w:val="0"/>
                <w:sz w:val="18"/>
                <w:szCs w:val="18"/>
              </w:rPr>
              <w:t>结转和结余数</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2017年森林防火集中祭祀点奖补资金</w:t>
            </w: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 w:val="22"/>
                <w:szCs w:val="22"/>
              </w:rPr>
            </w:pPr>
            <w:r>
              <w:rPr>
                <w:color w:val="000000"/>
                <w:kern w:val="0"/>
                <w:sz w:val="22"/>
                <w:szCs w:val="22"/>
              </w:rPr>
              <w:t xml:space="preserve">12.00 </w:t>
            </w:r>
          </w:p>
        </w:tc>
        <w:tc>
          <w:tcPr>
            <w:tcW w:w="592" w:type="pct"/>
            <w:tcBorders>
              <w:tl2br w:val="nil"/>
              <w:tr2bl w:val="nil"/>
            </w:tcBorders>
            <w:shd w:val="clear" w:color="auto" w:fill="auto"/>
            <w:noWrap/>
            <w:tcMar>
              <w:top w:w="15" w:type="dxa"/>
              <w:left w:w="15" w:type="dxa"/>
              <w:right w:w="15" w:type="dxa"/>
            </w:tcMar>
            <w:vAlign w:val="center"/>
          </w:tcPr>
          <w:p>
            <w:pPr>
              <w:jc w:val="right"/>
              <w:rPr>
                <w:color w:val="000000"/>
                <w:sz w:val="22"/>
                <w:szCs w:val="22"/>
              </w:rPr>
            </w:pPr>
          </w:p>
        </w:tc>
        <w:tc>
          <w:tcPr>
            <w:tcW w:w="50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12.00 </w:t>
            </w:r>
          </w:p>
        </w:tc>
        <w:tc>
          <w:tcPr>
            <w:tcW w:w="761" w:type="pct"/>
            <w:tcBorders>
              <w:tl2br w:val="nil"/>
              <w:tr2bl w:val="nil"/>
            </w:tcBorders>
            <w:shd w:val="clear" w:color="auto" w:fill="auto"/>
            <w:noWrap/>
            <w:tcMar>
              <w:top w:w="15" w:type="dxa"/>
              <w:left w:w="15" w:type="dxa"/>
              <w:right w:w="15" w:type="dxa"/>
            </w:tcMar>
            <w:vAlign w:val="center"/>
          </w:tcPr>
          <w:p>
            <w:pPr>
              <w:rPr>
                <w:color w:val="000000"/>
                <w:sz w:val="22"/>
                <w:szCs w:val="22"/>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分成福利彩票公益金</w:t>
            </w: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 w:val="22"/>
                <w:szCs w:val="22"/>
              </w:rPr>
            </w:pPr>
            <w:r>
              <w:rPr>
                <w:color w:val="000000"/>
                <w:kern w:val="0"/>
                <w:sz w:val="22"/>
                <w:szCs w:val="22"/>
              </w:rPr>
              <w:t xml:space="preserve">5.00 </w:t>
            </w: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17.50 </w:t>
            </w:r>
          </w:p>
        </w:tc>
        <w:tc>
          <w:tcPr>
            <w:tcW w:w="50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17.50 </w:t>
            </w: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5.00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道路建设资金（檀山社区）</w:t>
            </w:r>
          </w:p>
        </w:tc>
        <w:tc>
          <w:tcPr>
            <w:tcW w:w="761" w:type="pct"/>
            <w:tcBorders>
              <w:tl2br w:val="nil"/>
              <w:tr2bl w:val="nil"/>
            </w:tcBorders>
            <w:shd w:val="clear" w:color="auto" w:fill="auto"/>
            <w:noWrap/>
            <w:tcMar>
              <w:top w:w="15" w:type="dxa"/>
              <w:left w:w="15" w:type="dxa"/>
              <w:right w:w="15" w:type="dxa"/>
            </w:tcMar>
            <w:vAlign w:val="center"/>
          </w:tcPr>
          <w:p>
            <w:pPr>
              <w:jc w:val="right"/>
              <w:rPr>
                <w:color w:val="000000"/>
                <w:kern w:val="0"/>
                <w:sz w:val="22"/>
                <w:szCs w:val="22"/>
              </w:rPr>
            </w:pP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9.00 </w:t>
            </w:r>
          </w:p>
        </w:tc>
        <w:tc>
          <w:tcPr>
            <w:tcW w:w="50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4.00 </w:t>
            </w: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5.00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2018年县市区基层政权建设补助经费（雄虎村）</w:t>
            </w:r>
          </w:p>
        </w:tc>
        <w:tc>
          <w:tcPr>
            <w:tcW w:w="761" w:type="pct"/>
            <w:tcBorders>
              <w:tl2br w:val="nil"/>
              <w:tr2bl w:val="nil"/>
            </w:tcBorders>
            <w:shd w:val="clear" w:color="auto" w:fill="auto"/>
            <w:noWrap/>
            <w:tcMar>
              <w:top w:w="15" w:type="dxa"/>
              <w:left w:w="15" w:type="dxa"/>
              <w:right w:w="15" w:type="dxa"/>
            </w:tcMar>
            <w:vAlign w:val="center"/>
          </w:tcPr>
          <w:p>
            <w:pPr>
              <w:jc w:val="right"/>
              <w:rPr>
                <w:color w:val="000000"/>
                <w:kern w:val="0"/>
                <w:sz w:val="22"/>
                <w:szCs w:val="22"/>
              </w:rPr>
            </w:pP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5.00 </w:t>
            </w:r>
          </w:p>
        </w:tc>
        <w:tc>
          <w:tcPr>
            <w:tcW w:w="507" w:type="pct"/>
            <w:tcBorders>
              <w:tl2br w:val="nil"/>
              <w:tr2bl w:val="nil"/>
            </w:tcBorders>
            <w:shd w:val="clear" w:color="auto" w:fill="auto"/>
            <w:noWrap/>
            <w:tcMar>
              <w:top w:w="15" w:type="dxa"/>
              <w:left w:w="15" w:type="dxa"/>
              <w:right w:w="15" w:type="dxa"/>
            </w:tcMar>
            <w:vAlign w:val="center"/>
          </w:tcPr>
          <w:p>
            <w:pPr>
              <w:rPr>
                <w:color w:val="000000"/>
                <w:sz w:val="22"/>
                <w:szCs w:val="22"/>
              </w:rPr>
            </w:pP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5.00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2017年新型城镇化小型基础设施建设补助资金</w:t>
            </w: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 w:val="22"/>
                <w:szCs w:val="22"/>
              </w:rPr>
            </w:pPr>
            <w:r>
              <w:rPr>
                <w:color w:val="000000"/>
                <w:kern w:val="0"/>
                <w:sz w:val="22"/>
                <w:szCs w:val="22"/>
              </w:rPr>
              <w:t xml:space="preserve">15.00 </w:t>
            </w: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0.00 </w:t>
            </w:r>
          </w:p>
        </w:tc>
        <w:tc>
          <w:tcPr>
            <w:tcW w:w="50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15.00 </w:t>
            </w:r>
          </w:p>
        </w:tc>
        <w:tc>
          <w:tcPr>
            <w:tcW w:w="761" w:type="pct"/>
            <w:tcBorders>
              <w:tl2br w:val="nil"/>
              <w:tr2bl w:val="nil"/>
            </w:tcBorders>
            <w:shd w:val="clear" w:color="auto" w:fill="auto"/>
            <w:noWrap/>
            <w:tcMar>
              <w:top w:w="15" w:type="dxa"/>
              <w:left w:w="15" w:type="dxa"/>
              <w:right w:w="15" w:type="dxa"/>
            </w:tcMar>
            <w:vAlign w:val="center"/>
          </w:tcPr>
          <w:p>
            <w:pPr>
              <w:rPr>
                <w:color w:val="000000"/>
                <w:sz w:val="22"/>
                <w:szCs w:val="22"/>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新农村建设资金</w:t>
            </w:r>
          </w:p>
        </w:tc>
        <w:tc>
          <w:tcPr>
            <w:tcW w:w="761" w:type="pct"/>
            <w:tcBorders>
              <w:tl2br w:val="nil"/>
              <w:tr2bl w:val="nil"/>
            </w:tcBorders>
            <w:shd w:val="clear" w:color="auto" w:fill="auto"/>
            <w:noWrap/>
            <w:tcMar>
              <w:top w:w="15" w:type="dxa"/>
              <w:left w:w="15" w:type="dxa"/>
              <w:right w:w="15" w:type="dxa"/>
            </w:tcMar>
            <w:vAlign w:val="center"/>
          </w:tcPr>
          <w:p>
            <w:pPr>
              <w:jc w:val="right"/>
              <w:rPr>
                <w:color w:val="000000"/>
                <w:kern w:val="0"/>
                <w:sz w:val="22"/>
                <w:szCs w:val="22"/>
              </w:rPr>
            </w:pP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30.00 </w:t>
            </w:r>
          </w:p>
        </w:tc>
        <w:tc>
          <w:tcPr>
            <w:tcW w:w="50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15.00 </w:t>
            </w: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15.00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2017年度市级水利建设专项资金</w:t>
            </w: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 w:val="22"/>
                <w:szCs w:val="22"/>
              </w:rPr>
            </w:pPr>
            <w:r>
              <w:rPr>
                <w:color w:val="000000"/>
                <w:kern w:val="0"/>
                <w:sz w:val="22"/>
                <w:szCs w:val="22"/>
              </w:rPr>
              <w:t xml:space="preserve">30.00 </w:t>
            </w: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0.00 </w:t>
            </w:r>
          </w:p>
        </w:tc>
        <w:tc>
          <w:tcPr>
            <w:tcW w:w="50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30.00 </w:t>
            </w:r>
          </w:p>
        </w:tc>
        <w:tc>
          <w:tcPr>
            <w:tcW w:w="761" w:type="pct"/>
            <w:tcBorders>
              <w:tl2br w:val="nil"/>
              <w:tr2bl w:val="nil"/>
            </w:tcBorders>
            <w:shd w:val="clear" w:color="auto" w:fill="auto"/>
            <w:noWrap/>
            <w:tcMar>
              <w:top w:w="15" w:type="dxa"/>
              <w:left w:w="15" w:type="dxa"/>
              <w:right w:w="15" w:type="dxa"/>
            </w:tcMar>
            <w:vAlign w:val="center"/>
          </w:tcPr>
          <w:p>
            <w:pPr>
              <w:rPr>
                <w:color w:val="000000"/>
                <w:sz w:val="22"/>
                <w:szCs w:val="22"/>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2018年市级水利建设专项资金</w:t>
            </w:r>
          </w:p>
        </w:tc>
        <w:tc>
          <w:tcPr>
            <w:tcW w:w="761" w:type="pct"/>
            <w:tcBorders>
              <w:tl2br w:val="nil"/>
              <w:tr2bl w:val="nil"/>
            </w:tcBorders>
            <w:shd w:val="clear" w:color="auto" w:fill="auto"/>
            <w:noWrap/>
            <w:tcMar>
              <w:top w:w="15" w:type="dxa"/>
              <w:left w:w="15" w:type="dxa"/>
              <w:right w:w="15" w:type="dxa"/>
            </w:tcMar>
            <w:vAlign w:val="center"/>
          </w:tcPr>
          <w:p>
            <w:pPr>
              <w:jc w:val="right"/>
              <w:rPr>
                <w:color w:val="000000"/>
                <w:kern w:val="0"/>
                <w:sz w:val="22"/>
                <w:szCs w:val="22"/>
              </w:rPr>
            </w:pP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19.00 </w:t>
            </w:r>
          </w:p>
        </w:tc>
        <w:tc>
          <w:tcPr>
            <w:tcW w:w="507" w:type="pct"/>
            <w:tcBorders>
              <w:tl2br w:val="nil"/>
              <w:tr2bl w:val="nil"/>
            </w:tcBorders>
            <w:shd w:val="clear" w:color="auto" w:fill="auto"/>
            <w:noWrap/>
            <w:tcMar>
              <w:top w:w="15" w:type="dxa"/>
              <w:left w:w="15" w:type="dxa"/>
              <w:right w:w="15" w:type="dxa"/>
            </w:tcMar>
            <w:vAlign w:val="center"/>
          </w:tcPr>
          <w:p>
            <w:pPr>
              <w:rPr>
                <w:color w:val="000000"/>
                <w:sz w:val="22"/>
                <w:szCs w:val="22"/>
              </w:rPr>
            </w:pP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19.00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2018年社会保障补助资金</w:t>
            </w:r>
          </w:p>
        </w:tc>
        <w:tc>
          <w:tcPr>
            <w:tcW w:w="761" w:type="pct"/>
            <w:tcBorders>
              <w:tl2br w:val="nil"/>
              <w:tr2bl w:val="nil"/>
            </w:tcBorders>
            <w:shd w:val="clear" w:color="auto" w:fill="auto"/>
            <w:noWrap/>
            <w:tcMar>
              <w:top w:w="15" w:type="dxa"/>
              <w:left w:w="15" w:type="dxa"/>
              <w:right w:w="15" w:type="dxa"/>
            </w:tcMar>
            <w:vAlign w:val="center"/>
          </w:tcPr>
          <w:p>
            <w:pPr>
              <w:jc w:val="right"/>
              <w:rPr>
                <w:color w:val="000000"/>
                <w:kern w:val="0"/>
                <w:sz w:val="22"/>
                <w:szCs w:val="22"/>
              </w:rPr>
            </w:pP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10.00 </w:t>
            </w:r>
          </w:p>
        </w:tc>
        <w:tc>
          <w:tcPr>
            <w:tcW w:w="50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10.00 </w:t>
            </w:r>
          </w:p>
        </w:tc>
        <w:tc>
          <w:tcPr>
            <w:tcW w:w="761" w:type="pct"/>
            <w:tcBorders>
              <w:tl2br w:val="nil"/>
              <w:tr2bl w:val="nil"/>
            </w:tcBorders>
            <w:shd w:val="clear" w:color="auto" w:fill="auto"/>
            <w:noWrap/>
            <w:tcMar>
              <w:top w:w="15" w:type="dxa"/>
              <w:left w:w="15" w:type="dxa"/>
              <w:right w:w="15" w:type="dxa"/>
            </w:tcMar>
            <w:vAlign w:val="center"/>
          </w:tcPr>
          <w:p>
            <w:pPr>
              <w:rPr>
                <w:color w:val="000000"/>
                <w:sz w:val="22"/>
                <w:szCs w:val="22"/>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2018年乡村旅游发展专项资金</w:t>
            </w:r>
          </w:p>
        </w:tc>
        <w:tc>
          <w:tcPr>
            <w:tcW w:w="761" w:type="pct"/>
            <w:tcBorders>
              <w:tl2br w:val="nil"/>
              <w:tr2bl w:val="nil"/>
            </w:tcBorders>
            <w:shd w:val="clear" w:color="auto" w:fill="auto"/>
            <w:noWrap/>
            <w:tcMar>
              <w:top w:w="15" w:type="dxa"/>
              <w:left w:w="15" w:type="dxa"/>
              <w:right w:w="15" w:type="dxa"/>
            </w:tcMar>
            <w:vAlign w:val="center"/>
          </w:tcPr>
          <w:p>
            <w:pPr>
              <w:jc w:val="right"/>
              <w:rPr>
                <w:color w:val="000000"/>
                <w:kern w:val="0"/>
                <w:sz w:val="22"/>
                <w:szCs w:val="22"/>
              </w:rPr>
            </w:pP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6.00 </w:t>
            </w:r>
          </w:p>
        </w:tc>
        <w:tc>
          <w:tcPr>
            <w:tcW w:w="507" w:type="pct"/>
            <w:tcBorders>
              <w:tl2br w:val="nil"/>
              <w:tr2bl w:val="nil"/>
            </w:tcBorders>
            <w:shd w:val="clear" w:color="auto" w:fill="auto"/>
            <w:noWrap/>
            <w:tcMar>
              <w:top w:w="15" w:type="dxa"/>
              <w:left w:w="15" w:type="dxa"/>
              <w:right w:w="15" w:type="dxa"/>
            </w:tcMar>
            <w:vAlign w:val="center"/>
          </w:tcPr>
          <w:p>
            <w:pPr>
              <w:rPr>
                <w:color w:val="000000"/>
                <w:sz w:val="22"/>
                <w:szCs w:val="22"/>
              </w:rPr>
            </w:pP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6.00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2018年乡镇财政管理经费</w:t>
            </w:r>
          </w:p>
        </w:tc>
        <w:tc>
          <w:tcPr>
            <w:tcW w:w="761" w:type="pct"/>
            <w:tcBorders>
              <w:tl2br w:val="nil"/>
              <w:tr2bl w:val="nil"/>
            </w:tcBorders>
            <w:shd w:val="clear" w:color="auto" w:fill="auto"/>
            <w:noWrap/>
            <w:tcMar>
              <w:top w:w="15" w:type="dxa"/>
              <w:left w:w="15" w:type="dxa"/>
              <w:right w:w="15" w:type="dxa"/>
            </w:tcMar>
            <w:vAlign w:val="center"/>
          </w:tcPr>
          <w:p>
            <w:pPr>
              <w:jc w:val="right"/>
              <w:rPr>
                <w:color w:val="000000"/>
                <w:kern w:val="0"/>
                <w:sz w:val="22"/>
                <w:szCs w:val="22"/>
              </w:rPr>
            </w:pP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30.00 </w:t>
            </w:r>
          </w:p>
        </w:tc>
        <w:tc>
          <w:tcPr>
            <w:tcW w:w="50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25.00 </w:t>
            </w: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5.00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2017年其他农村综合改革支出经费</w:t>
            </w: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 w:val="22"/>
                <w:szCs w:val="22"/>
              </w:rPr>
            </w:pPr>
            <w:r>
              <w:rPr>
                <w:color w:val="000000"/>
                <w:kern w:val="0"/>
                <w:sz w:val="22"/>
                <w:szCs w:val="22"/>
              </w:rPr>
              <w:t xml:space="preserve">10.00 </w:t>
            </w: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0.00 </w:t>
            </w:r>
          </w:p>
        </w:tc>
        <w:tc>
          <w:tcPr>
            <w:tcW w:w="50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10.00 </w:t>
            </w:r>
          </w:p>
        </w:tc>
        <w:tc>
          <w:tcPr>
            <w:tcW w:w="761" w:type="pct"/>
            <w:tcBorders>
              <w:tl2br w:val="nil"/>
              <w:tr2bl w:val="nil"/>
            </w:tcBorders>
            <w:shd w:val="clear" w:color="auto" w:fill="auto"/>
            <w:noWrap/>
            <w:tcMar>
              <w:top w:w="15" w:type="dxa"/>
              <w:left w:w="15" w:type="dxa"/>
              <w:right w:w="15" w:type="dxa"/>
            </w:tcMar>
            <w:vAlign w:val="center"/>
          </w:tcPr>
          <w:p>
            <w:pPr>
              <w:rPr>
                <w:color w:val="000000"/>
                <w:sz w:val="22"/>
                <w:szCs w:val="22"/>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2018年其他农村综合改革支出经费</w:t>
            </w:r>
          </w:p>
        </w:tc>
        <w:tc>
          <w:tcPr>
            <w:tcW w:w="761" w:type="pct"/>
            <w:tcBorders>
              <w:tl2br w:val="nil"/>
              <w:tr2bl w:val="nil"/>
            </w:tcBorders>
            <w:shd w:val="clear" w:color="auto" w:fill="auto"/>
            <w:noWrap/>
            <w:tcMar>
              <w:top w:w="15" w:type="dxa"/>
              <w:left w:w="15" w:type="dxa"/>
              <w:right w:w="15" w:type="dxa"/>
            </w:tcMar>
            <w:vAlign w:val="center"/>
          </w:tcPr>
          <w:p>
            <w:pPr>
              <w:jc w:val="right"/>
              <w:rPr>
                <w:color w:val="000000"/>
                <w:kern w:val="0"/>
                <w:sz w:val="22"/>
                <w:szCs w:val="22"/>
              </w:rPr>
            </w:pP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8.00 </w:t>
            </w:r>
          </w:p>
        </w:tc>
        <w:tc>
          <w:tcPr>
            <w:tcW w:w="50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8.00 </w:t>
            </w:r>
          </w:p>
        </w:tc>
        <w:tc>
          <w:tcPr>
            <w:tcW w:w="761" w:type="pct"/>
            <w:tcBorders>
              <w:tl2br w:val="nil"/>
              <w:tr2bl w:val="nil"/>
            </w:tcBorders>
            <w:shd w:val="clear" w:color="auto" w:fill="auto"/>
            <w:noWrap/>
            <w:tcMar>
              <w:top w:w="15" w:type="dxa"/>
              <w:left w:w="15" w:type="dxa"/>
              <w:right w:w="15" w:type="dxa"/>
            </w:tcMar>
            <w:vAlign w:val="center"/>
          </w:tcPr>
          <w:p>
            <w:pPr>
              <w:rPr>
                <w:color w:val="000000"/>
                <w:sz w:val="22"/>
                <w:szCs w:val="22"/>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省级体育彩票公益金项目资金</w:t>
            </w: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 w:val="22"/>
                <w:szCs w:val="22"/>
              </w:rPr>
            </w:pPr>
            <w:r>
              <w:rPr>
                <w:color w:val="000000"/>
                <w:kern w:val="0"/>
                <w:sz w:val="22"/>
                <w:szCs w:val="22"/>
              </w:rPr>
              <w:t xml:space="preserve">25.00 </w:t>
            </w: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14.50 </w:t>
            </w:r>
          </w:p>
        </w:tc>
        <w:tc>
          <w:tcPr>
            <w:tcW w:w="50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36.00 </w:t>
            </w: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3.50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2018年市级福利彩票公益金项目资金</w:t>
            </w:r>
          </w:p>
        </w:tc>
        <w:tc>
          <w:tcPr>
            <w:tcW w:w="761" w:type="pct"/>
            <w:tcBorders>
              <w:tl2br w:val="nil"/>
              <w:tr2bl w:val="nil"/>
            </w:tcBorders>
            <w:shd w:val="clear" w:color="auto" w:fill="auto"/>
            <w:noWrap/>
            <w:tcMar>
              <w:top w:w="15" w:type="dxa"/>
              <w:left w:w="15" w:type="dxa"/>
              <w:right w:w="15" w:type="dxa"/>
            </w:tcMar>
            <w:vAlign w:val="center"/>
          </w:tcPr>
          <w:p>
            <w:pPr>
              <w:jc w:val="right"/>
              <w:rPr>
                <w:color w:val="000000"/>
                <w:kern w:val="0"/>
                <w:sz w:val="22"/>
                <w:szCs w:val="22"/>
              </w:rPr>
            </w:pP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16.00 </w:t>
            </w:r>
          </w:p>
        </w:tc>
        <w:tc>
          <w:tcPr>
            <w:tcW w:w="507" w:type="pct"/>
            <w:tcBorders>
              <w:tl2br w:val="nil"/>
              <w:tr2bl w:val="nil"/>
            </w:tcBorders>
            <w:shd w:val="clear" w:color="auto" w:fill="auto"/>
            <w:noWrap/>
            <w:tcMar>
              <w:top w:w="15" w:type="dxa"/>
              <w:left w:w="15" w:type="dxa"/>
              <w:right w:w="15" w:type="dxa"/>
            </w:tcMar>
            <w:vAlign w:val="center"/>
          </w:tcPr>
          <w:p>
            <w:pPr>
              <w:rPr>
                <w:color w:val="000000"/>
                <w:sz w:val="22"/>
                <w:szCs w:val="22"/>
              </w:rPr>
            </w:pP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16.00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2018年公益事业资金</w:t>
            </w:r>
          </w:p>
        </w:tc>
        <w:tc>
          <w:tcPr>
            <w:tcW w:w="761" w:type="pct"/>
            <w:tcBorders>
              <w:tl2br w:val="nil"/>
              <w:tr2bl w:val="nil"/>
            </w:tcBorders>
            <w:shd w:val="clear" w:color="auto" w:fill="auto"/>
            <w:noWrap/>
            <w:tcMar>
              <w:top w:w="15" w:type="dxa"/>
              <w:left w:w="15" w:type="dxa"/>
              <w:right w:w="15" w:type="dxa"/>
            </w:tcMar>
            <w:vAlign w:val="center"/>
          </w:tcPr>
          <w:p>
            <w:pPr>
              <w:jc w:val="right"/>
              <w:rPr>
                <w:color w:val="000000"/>
                <w:kern w:val="0"/>
                <w:sz w:val="22"/>
                <w:szCs w:val="22"/>
              </w:rPr>
            </w:pP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5.00 </w:t>
            </w:r>
          </w:p>
        </w:tc>
        <w:tc>
          <w:tcPr>
            <w:tcW w:w="507" w:type="pct"/>
            <w:tcBorders>
              <w:tl2br w:val="nil"/>
              <w:tr2bl w:val="nil"/>
            </w:tcBorders>
            <w:shd w:val="clear" w:color="auto" w:fill="auto"/>
            <w:noWrap/>
            <w:tcMar>
              <w:top w:w="15" w:type="dxa"/>
              <w:left w:w="15" w:type="dxa"/>
              <w:right w:w="15" w:type="dxa"/>
            </w:tcMar>
            <w:vAlign w:val="center"/>
          </w:tcPr>
          <w:p>
            <w:pPr>
              <w:rPr>
                <w:color w:val="000000"/>
                <w:sz w:val="22"/>
                <w:szCs w:val="22"/>
              </w:rPr>
            </w:pP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5.00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农业基础设施维修资金</w:t>
            </w:r>
          </w:p>
        </w:tc>
        <w:tc>
          <w:tcPr>
            <w:tcW w:w="761" w:type="pct"/>
            <w:tcBorders>
              <w:tl2br w:val="nil"/>
              <w:tr2bl w:val="nil"/>
            </w:tcBorders>
            <w:shd w:val="clear" w:color="auto" w:fill="auto"/>
            <w:noWrap/>
            <w:tcMar>
              <w:top w:w="15" w:type="dxa"/>
              <w:left w:w="15" w:type="dxa"/>
              <w:right w:w="15" w:type="dxa"/>
            </w:tcMar>
            <w:vAlign w:val="center"/>
          </w:tcPr>
          <w:p>
            <w:pPr>
              <w:jc w:val="right"/>
              <w:rPr>
                <w:color w:val="000000"/>
                <w:kern w:val="0"/>
                <w:sz w:val="22"/>
                <w:szCs w:val="22"/>
              </w:rPr>
            </w:pP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10.00 </w:t>
            </w:r>
          </w:p>
        </w:tc>
        <w:tc>
          <w:tcPr>
            <w:tcW w:w="507" w:type="pct"/>
            <w:tcBorders>
              <w:tl2br w:val="nil"/>
              <w:tr2bl w:val="nil"/>
            </w:tcBorders>
            <w:shd w:val="clear" w:color="auto" w:fill="auto"/>
            <w:noWrap/>
            <w:tcMar>
              <w:top w:w="15" w:type="dxa"/>
              <w:left w:w="15" w:type="dxa"/>
              <w:right w:w="15" w:type="dxa"/>
            </w:tcMar>
            <w:vAlign w:val="center"/>
          </w:tcPr>
          <w:p>
            <w:pPr>
              <w:rPr>
                <w:color w:val="000000"/>
                <w:sz w:val="22"/>
                <w:szCs w:val="22"/>
              </w:rPr>
            </w:pP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10.00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水塘清淤护坡维修资金</w:t>
            </w:r>
          </w:p>
        </w:tc>
        <w:tc>
          <w:tcPr>
            <w:tcW w:w="761" w:type="pct"/>
            <w:tcBorders>
              <w:tl2br w:val="nil"/>
              <w:tr2bl w:val="nil"/>
            </w:tcBorders>
            <w:shd w:val="clear" w:color="auto" w:fill="auto"/>
            <w:noWrap/>
            <w:tcMar>
              <w:top w:w="15" w:type="dxa"/>
              <w:left w:w="15" w:type="dxa"/>
              <w:right w:w="15" w:type="dxa"/>
            </w:tcMar>
            <w:vAlign w:val="center"/>
          </w:tcPr>
          <w:p>
            <w:pPr>
              <w:jc w:val="right"/>
              <w:rPr>
                <w:color w:val="000000"/>
                <w:kern w:val="0"/>
                <w:sz w:val="22"/>
                <w:szCs w:val="22"/>
              </w:rPr>
            </w:pP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5.00 </w:t>
            </w:r>
          </w:p>
        </w:tc>
        <w:tc>
          <w:tcPr>
            <w:tcW w:w="507" w:type="pct"/>
            <w:tcBorders>
              <w:tl2br w:val="nil"/>
              <w:tr2bl w:val="nil"/>
            </w:tcBorders>
            <w:shd w:val="clear" w:color="auto" w:fill="auto"/>
            <w:noWrap/>
            <w:tcMar>
              <w:top w:w="15" w:type="dxa"/>
              <w:left w:w="15" w:type="dxa"/>
              <w:right w:w="15" w:type="dxa"/>
            </w:tcMar>
            <w:vAlign w:val="center"/>
          </w:tcPr>
          <w:p>
            <w:pPr>
              <w:rPr>
                <w:color w:val="000000"/>
                <w:sz w:val="22"/>
                <w:szCs w:val="22"/>
              </w:rPr>
            </w:pP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5.00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66" w:hRule="atLeast"/>
        </w:trPr>
        <w:tc>
          <w:tcPr>
            <w:tcW w:w="2379"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rPr>
              <w:t>2018年旅游厕所建设项目资金</w:t>
            </w:r>
          </w:p>
        </w:tc>
        <w:tc>
          <w:tcPr>
            <w:tcW w:w="761" w:type="pct"/>
            <w:tcBorders>
              <w:tl2br w:val="nil"/>
              <w:tr2bl w:val="nil"/>
            </w:tcBorders>
            <w:shd w:val="clear" w:color="auto" w:fill="auto"/>
            <w:noWrap/>
            <w:tcMar>
              <w:top w:w="15" w:type="dxa"/>
              <w:left w:w="15" w:type="dxa"/>
              <w:right w:w="15" w:type="dxa"/>
            </w:tcMar>
            <w:vAlign w:val="center"/>
          </w:tcPr>
          <w:p>
            <w:pPr>
              <w:jc w:val="right"/>
              <w:rPr>
                <w:color w:val="000000"/>
                <w:kern w:val="0"/>
                <w:sz w:val="22"/>
                <w:szCs w:val="22"/>
              </w:rPr>
            </w:pP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3.20 </w:t>
            </w:r>
          </w:p>
        </w:tc>
        <w:tc>
          <w:tcPr>
            <w:tcW w:w="507" w:type="pct"/>
            <w:tcBorders>
              <w:tl2br w:val="nil"/>
              <w:tr2bl w:val="nil"/>
            </w:tcBorders>
            <w:shd w:val="clear" w:color="auto" w:fill="auto"/>
            <w:noWrap/>
            <w:tcMar>
              <w:top w:w="15" w:type="dxa"/>
              <w:left w:w="15" w:type="dxa"/>
              <w:right w:w="15" w:type="dxa"/>
            </w:tcMar>
            <w:vAlign w:val="center"/>
          </w:tcPr>
          <w:p>
            <w:pPr>
              <w:rPr>
                <w:color w:val="000000"/>
                <w:sz w:val="22"/>
                <w:szCs w:val="22"/>
              </w:rPr>
            </w:pP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3.20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99" w:hRule="atLeast"/>
        </w:trPr>
        <w:tc>
          <w:tcPr>
            <w:tcW w:w="2379"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合计</w:t>
            </w: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kern w:val="0"/>
                <w:sz w:val="22"/>
                <w:szCs w:val="22"/>
              </w:rPr>
            </w:pPr>
            <w:r>
              <w:rPr>
                <w:color w:val="000000"/>
                <w:kern w:val="0"/>
                <w:sz w:val="22"/>
                <w:szCs w:val="22"/>
              </w:rPr>
              <w:t xml:space="preserve">97.00 </w:t>
            </w:r>
          </w:p>
        </w:tc>
        <w:tc>
          <w:tcPr>
            <w:tcW w:w="592"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188.20 </w:t>
            </w:r>
          </w:p>
        </w:tc>
        <w:tc>
          <w:tcPr>
            <w:tcW w:w="507"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182.50 </w:t>
            </w:r>
          </w:p>
        </w:tc>
        <w:tc>
          <w:tcPr>
            <w:tcW w:w="761"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rPr>
              <w:t xml:space="preserve">102.70 </w:t>
            </w:r>
          </w:p>
        </w:tc>
      </w:tr>
    </w:tbl>
    <w:p>
      <w:pPr>
        <w:spacing w:line="360" w:lineRule="auto"/>
        <w:ind w:firstLine="640" w:firstLineChars="200"/>
        <w:rPr>
          <w:rFonts w:eastAsia="仿宋_GB2312"/>
          <w:sz w:val="32"/>
          <w:szCs w:val="32"/>
        </w:rPr>
      </w:pPr>
      <w:r>
        <w:rPr>
          <w:rFonts w:eastAsia="仿宋_GB2312"/>
          <w:sz w:val="32"/>
          <w:szCs w:val="32"/>
        </w:rPr>
        <w:t>2018年项目资金结转和结余主要系基础设施建设、水利建设等专项资金未及时拨付。</w:t>
      </w:r>
    </w:p>
    <w:p>
      <w:pPr>
        <w:spacing w:line="360" w:lineRule="auto"/>
        <w:ind w:firstLine="643" w:firstLineChars="200"/>
        <w:rPr>
          <w:rFonts w:eastAsia="仿宋_GB2312"/>
          <w:b/>
          <w:bCs/>
          <w:sz w:val="32"/>
          <w:szCs w:val="32"/>
        </w:rPr>
      </w:pPr>
      <w:r>
        <w:rPr>
          <w:rFonts w:eastAsia="仿宋_GB2312"/>
          <w:b/>
          <w:bCs/>
          <w:sz w:val="32"/>
          <w:szCs w:val="32"/>
        </w:rPr>
        <w:t>2、抽查项目情况</w:t>
      </w:r>
    </w:p>
    <w:p>
      <w:pPr>
        <w:spacing w:line="360" w:lineRule="auto"/>
        <w:ind w:firstLine="640" w:firstLineChars="200"/>
        <w:rPr>
          <w:rFonts w:eastAsia="仿宋_GB2312"/>
          <w:sz w:val="32"/>
          <w:szCs w:val="32"/>
        </w:rPr>
      </w:pPr>
      <w:r>
        <w:rPr>
          <w:rFonts w:eastAsia="仿宋_GB2312"/>
          <w:sz w:val="32"/>
          <w:szCs w:val="32"/>
        </w:rPr>
        <w:t>评价组抽查了部分项目的实施与管理情况，发现岘山镇政府在项目立项时，未设立绩效目标以及未对项目绩效目标进行细化以及量化，无法客观的对项目完成情况作出评价。</w:t>
      </w:r>
    </w:p>
    <w:p>
      <w:pPr>
        <w:spacing w:line="360" w:lineRule="auto"/>
        <w:ind w:firstLine="643" w:firstLineChars="200"/>
        <w:outlineLvl w:val="1"/>
        <w:rPr>
          <w:rFonts w:eastAsia="楷体"/>
          <w:b/>
          <w:bCs/>
          <w:sz w:val="32"/>
          <w:szCs w:val="32"/>
        </w:rPr>
      </w:pPr>
      <w:bookmarkStart w:id="21" w:name="_Toc25938884"/>
      <w:r>
        <w:rPr>
          <w:rFonts w:eastAsia="楷体"/>
          <w:b/>
          <w:bCs/>
          <w:sz w:val="32"/>
          <w:szCs w:val="32"/>
        </w:rPr>
        <w:t>（四）部门整体支出组织及管理情况</w:t>
      </w:r>
      <w:bookmarkEnd w:id="21"/>
    </w:p>
    <w:p>
      <w:pPr>
        <w:spacing w:line="360" w:lineRule="auto"/>
        <w:ind w:firstLine="643" w:firstLineChars="200"/>
        <w:rPr>
          <w:rFonts w:eastAsia="仿宋_GB2312"/>
          <w:b/>
          <w:bCs/>
          <w:sz w:val="32"/>
          <w:szCs w:val="32"/>
        </w:rPr>
      </w:pPr>
      <w:r>
        <w:rPr>
          <w:rFonts w:eastAsia="仿宋_GB2312"/>
          <w:b/>
          <w:bCs/>
          <w:sz w:val="32"/>
          <w:szCs w:val="32"/>
        </w:rPr>
        <w:t>1、部门整体支出组织情况</w:t>
      </w:r>
    </w:p>
    <w:p>
      <w:pPr>
        <w:spacing w:line="360" w:lineRule="auto"/>
        <w:ind w:firstLine="640" w:firstLineChars="200"/>
        <w:rPr>
          <w:rFonts w:eastAsia="仿宋_GB2312"/>
          <w:sz w:val="32"/>
          <w:szCs w:val="32"/>
        </w:rPr>
      </w:pPr>
      <w:r>
        <w:rPr>
          <w:rFonts w:eastAsia="仿宋_GB2312"/>
          <w:sz w:val="32"/>
          <w:szCs w:val="32"/>
        </w:rPr>
        <w:t>为推进岘山镇财政所财务精细化管理工作，进一步加强岘山镇财政资金的监督管理，岘山镇政府设立了财政资金监管工作领导小组，镇长任组长，人大、纪委书记任副组长，财政所长、副所长等任组员，领导小组下设办公室，由财政所长兼任办公室主任，由财政所副所长专门负责镇财政资金的日常监督管理工作。</w:t>
      </w:r>
    </w:p>
    <w:p>
      <w:pPr>
        <w:spacing w:line="360" w:lineRule="auto"/>
        <w:ind w:firstLine="643" w:firstLineChars="200"/>
        <w:rPr>
          <w:rFonts w:eastAsia="仿宋_GB2312"/>
          <w:b/>
          <w:bCs/>
          <w:sz w:val="32"/>
          <w:szCs w:val="32"/>
        </w:rPr>
      </w:pPr>
      <w:r>
        <w:rPr>
          <w:rFonts w:eastAsia="仿宋_GB2312"/>
          <w:b/>
          <w:bCs/>
          <w:sz w:val="32"/>
          <w:szCs w:val="32"/>
        </w:rPr>
        <w:t>2、部门整体支出管理情况</w:t>
      </w:r>
    </w:p>
    <w:p>
      <w:pPr>
        <w:spacing w:line="360" w:lineRule="auto"/>
        <w:ind w:firstLine="640" w:firstLineChars="200"/>
        <w:rPr>
          <w:rFonts w:eastAsia="仿宋_GB2312"/>
          <w:sz w:val="32"/>
          <w:szCs w:val="32"/>
        </w:rPr>
      </w:pPr>
      <w:r>
        <w:rPr>
          <w:rFonts w:eastAsia="仿宋_GB2312"/>
          <w:sz w:val="32"/>
          <w:szCs w:val="32"/>
        </w:rPr>
        <w:t>为规范和加强收入、支出、资产等管理，岘山镇政府制定了《财政财务管理制度》、《岘山镇村级工程建设项目资金管理办法》、《固定资产管理制度》、《合同管理管理制度》、《政府采购管理制度》、《财务收支管理制度》等制度，规范了资金使用范围和用途，明确了各项费用报销内容及范围、程序及标准、审批权限等。上述制度规定得到了较好地执行。</w:t>
      </w:r>
    </w:p>
    <w:p>
      <w:pPr>
        <w:spacing w:line="360" w:lineRule="auto"/>
        <w:ind w:firstLine="643" w:firstLineChars="200"/>
        <w:rPr>
          <w:rFonts w:eastAsia="仿宋_GB2312"/>
          <w:b/>
          <w:bCs/>
          <w:sz w:val="32"/>
          <w:szCs w:val="32"/>
        </w:rPr>
      </w:pPr>
      <w:r>
        <w:rPr>
          <w:rFonts w:eastAsia="仿宋_GB2312"/>
          <w:b/>
          <w:bCs/>
          <w:sz w:val="32"/>
          <w:szCs w:val="32"/>
        </w:rPr>
        <w:t>3、项目资金管理情况</w:t>
      </w:r>
    </w:p>
    <w:p>
      <w:pPr>
        <w:spacing w:line="360" w:lineRule="auto"/>
        <w:ind w:firstLine="640" w:firstLineChars="200"/>
        <w:rPr>
          <w:rFonts w:eastAsia="仿宋_GB2312"/>
          <w:sz w:val="32"/>
          <w:szCs w:val="32"/>
        </w:rPr>
      </w:pPr>
      <w:r>
        <w:rPr>
          <w:rFonts w:eastAsia="仿宋_GB2312"/>
          <w:sz w:val="32"/>
          <w:szCs w:val="32"/>
        </w:rPr>
        <w:t>为加强项目管理，提高工程质量，保证建设项目进度，控制建设项目成本，防范商业等舞弊行为，岘山镇政府制定了《岘山镇村级工程建设项目资金管理办法》、《岘山镇重大项目集体决策制度实施细则》等制度，明确了项目资金管理的职责分工，对专项资金的使用进行了规范。</w:t>
      </w:r>
    </w:p>
    <w:p>
      <w:pPr>
        <w:spacing w:line="360" w:lineRule="auto"/>
        <w:ind w:firstLine="643" w:firstLineChars="200"/>
        <w:outlineLvl w:val="0"/>
        <w:rPr>
          <w:rFonts w:eastAsia="黑体"/>
          <w:b/>
          <w:bCs/>
          <w:sz w:val="32"/>
          <w:szCs w:val="32"/>
        </w:rPr>
      </w:pPr>
      <w:bookmarkStart w:id="22" w:name="_Toc25938885"/>
      <w:r>
        <w:rPr>
          <w:rFonts w:eastAsia="黑体"/>
          <w:b/>
          <w:bCs/>
          <w:sz w:val="32"/>
          <w:szCs w:val="32"/>
        </w:rPr>
        <w:t>四、部门整体支出绩效情况</w:t>
      </w:r>
      <w:bookmarkEnd w:id="22"/>
    </w:p>
    <w:p>
      <w:pPr>
        <w:spacing w:line="360" w:lineRule="auto"/>
        <w:ind w:firstLine="643" w:firstLineChars="200"/>
        <w:outlineLvl w:val="1"/>
        <w:rPr>
          <w:rFonts w:eastAsia="楷体"/>
          <w:b/>
          <w:bCs/>
          <w:sz w:val="32"/>
          <w:szCs w:val="32"/>
        </w:rPr>
      </w:pPr>
      <w:bookmarkStart w:id="23" w:name="_Toc25938886"/>
      <w:r>
        <w:rPr>
          <w:rFonts w:eastAsia="楷体"/>
          <w:b/>
          <w:bCs/>
          <w:sz w:val="32"/>
          <w:szCs w:val="32"/>
        </w:rPr>
        <w:t>（一）综合评价结论</w:t>
      </w:r>
      <w:bookmarkEnd w:id="23"/>
    </w:p>
    <w:p>
      <w:pPr>
        <w:spacing w:line="360" w:lineRule="auto"/>
        <w:ind w:firstLine="640" w:firstLineChars="200"/>
        <w:rPr>
          <w:rFonts w:eastAsia="楷体"/>
          <w:b/>
          <w:bCs/>
          <w:sz w:val="32"/>
          <w:szCs w:val="32"/>
        </w:rPr>
      </w:pPr>
      <w:r>
        <w:rPr>
          <w:rFonts w:eastAsia="仿宋_GB2312"/>
          <w:sz w:val="32"/>
          <w:szCs w:val="32"/>
        </w:rPr>
        <w:t>2018年，岘山镇政府履行政府赋予的职能职责，全面贯彻落实党的十九大精神和省、市、县经济工作会议精神，紧紧围绕县委县政府“生态立县、项目兴县、文化强县”三大战略目标，进一步解放思想，凝聚力量，抢抓机遇，真抓实干，较好地完成了各项工作任务。通过随机发放调查问卷，服务对象和社会公众对衡阳县岘山镇政府整体工作的加权满意度为86.75%</w:t>
      </w:r>
      <w:r>
        <w:rPr>
          <w:rFonts w:eastAsia="仿宋_GB2312"/>
          <w:color w:val="000000" w:themeColor="text1"/>
          <w:sz w:val="32"/>
          <w:szCs w:val="32"/>
        </w:rPr>
        <w:t>；</w:t>
      </w:r>
      <w:r>
        <w:rPr>
          <w:rFonts w:eastAsia="仿宋_GB2312"/>
          <w:sz w:val="32"/>
          <w:szCs w:val="32"/>
        </w:rPr>
        <w:t>通过书面评价环节与现场评价环节，综合岘山镇政府提供的佐证材料和现场核查结果，根据《2018年度衡阳县岘山镇人民政府部门整体支出绩效评价指标评分表》（详见附表）评分，得分84分，按照《关于规范绩效评价结果等级划分标准的通知》（财预便〔2017〕44号）规定，综合评价等级为“良”。</w:t>
      </w:r>
    </w:p>
    <w:p>
      <w:pPr>
        <w:spacing w:line="360" w:lineRule="auto"/>
        <w:ind w:firstLine="643" w:firstLineChars="200"/>
        <w:outlineLvl w:val="1"/>
        <w:rPr>
          <w:rFonts w:eastAsia="楷体"/>
          <w:b/>
          <w:bCs/>
          <w:sz w:val="32"/>
          <w:szCs w:val="32"/>
        </w:rPr>
      </w:pPr>
      <w:bookmarkStart w:id="24" w:name="_Toc25938887"/>
      <w:r>
        <w:rPr>
          <w:rFonts w:eastAsia="楷体"/>
          <w:b/>
          <w:bCs/>
          <w:sz w:val="32"/>
          <w:szCs w:val="32"/>
        </w:rPr>
        <w:t>（二）综合评价情况</w:t>
      </w:r>
      <w:bookmarkEnd w:id="24"/>
    </w:p>
    <w:p>
      <w:pPr>
        <w:spacing w:line="360" w:lineRule="auto"/>
        <w:ind w:firstLine="643" w:firstLineChars="200"/>
        <w:rPr>
          <w:rFonts w:eastAsia="仿宋_GB2312"/>
          <w:b/>
          <w:bCs/>
          <w:sz w:val="32"/>
          <w:szCs w:val="32"/>
        </w:rPr>
      </w:pPr>
      <w:r>
        <w:rPr>
          <w:rFonts w:eastAsia="仿宋_GB2312"/>
          <w:b/>
          <w:bCs/>
          <w:sz w:val="32"/>
          <w:szCs w:val="32"/>
        </w:rPr>
        <w:t>1、持续推进脱贫攻坚工作</w:t>
      </w:r>
    </w:p>
    <w:p>
      <w:pPr>
        <w:spacing w:line="360" w:lineRule="auto"/>
        <w:ind w:firstLine="640" w:firstLineChars="200"/>
        <w:rPr>
          <w:rFonts w:eastAsia="仿宋_GB2312"/>
          <w:sz w:val="32"/>
          <w:szCs w:val="32"/>
        </w:rPr>
      </w:pPr>
      <w:r>
        <w:rPr>
          <w:rFonts w:eastAsia="仿宋_GB2312"/>
          <w:sz w:val="32"/>
          <w:szCs w:val="32"/>
        </w:rPr>
        <w:t>岘山镇建档立卡贫困户共940户2991人，2014年至2017年脱贫522户1730人，2018年脱贫204户698人，未脱贫214户563人。2018年对岘山、碧崖、</w:t>
      </w:r>
      <w:r>
        <w:rPr>
          <w:sz w:val="32"/>
          <w:szCs w:val="32"/>
        </w:rPr>
        <w:t>枟</w:t>
      </w:r>
      <w:r>
        <w:rPr>
          <w:rFonts w:eastAsia="仿宋_GB2312"/>
          <w:sz w:val="32"/>
          <w:szCs w:val="32"/>
        </w:rPr>
        <w:t>山三个易地扶贫搬迁安置点的56户202人贫困户全部安排入住，完成拆旧复垦工作，并顺利通过省、市验收合格。截止2018年年底总共发放补贴资金种类32项，共发放惠农资金 1887.69 万元；城镇低保18户27人，农村低保593户1107人，低保资金100％发放到位；549名残疾人享受了两项补贴，其中代缴227人养老保险金；重特大病种及低收入家庭医疗救助 61人，实行特困供养人员医疗费用全免；发放临时救助资金约5万元，走访慰问特困户、优抚对象、残疾人家庭共150余户，送去慰问资金约2万元；全镇建立了3个老年人活动中心、1个农村儿童之家；竣工完成42户农村“四类”对象危房改造。</w:t>
      </w:r>
    </w:p>
    <w:p>
      <w:pPr>
        <w:spacing w:line="360" w:lineRule="auto"/>
        <w:ind w:firstLine="643" w:firstLineChars="200"/>
        <w:rPr>
          <w:rFonts w:eastAsia="仿宋_GB2312"/>
          <w:b/>
          <w:bCs/>
          <w:sz w:val="32"/>
          <w:szCs w:val="32"/>
        </w:rPr>
      </w:pPr>
      <w:r>
        <w:rPr>
          <w:rFonts w:eastAsia="仿宋_GB2312"/>
          <w:b/>
          <w:bCs/>
          <w:sz w:val="32"/>
          <w:szCs w:val="32"/>
        </w:rPr>
        <w:t>2、教育、医疗事业齐头并进</w:t>
      </w:r>
    </w:p>
    <w:p>
      <w:pPr>
        <w:spacing w:line="360" w:lineRule="auto"/>
        <w:ind w:firstLine="640" w:firstLineChars="200"/>
        <w:rPr>
          <w:rFonts w:eastAsia="仿宋_GB2312"/>
          <w:sz w:val="32"/>
          <w:szCs w:val="32"/>
        </w:rPr>
      </w:pPr>
      <w:r>
        <w:rPr>
          <w:rFonts w:eastAsia="仿宋_GB2312"/>
          <w:sz w:val="32"/>
          <w:szCs w:val="32"/>
        </w:rPr>
        <w:t>教育方面，2018年以“三学三比”为主线，成功开展“武水河畔新时代好少年”评选和推介活动，弘扬正能量，创建平安、上进、明德、守纪、和谐校园；共筹集资金300多万元改善办学条件，完善教学设施；加强文体阵地建设，送体育器材、音响、图书下村，丰富群众精神文化生活，积极开展形式多样的文化体育活动。医疗方面，2018年建立居民健康档案 62247人份，65岁以上老年人管理6698人，发放9.6万份宣传资料，开展义诊及免费送医送药活动60余次，发放药品约2万元，共救治贫困人口392人，报销比例均达到90%以上。</w:t>
      </w:r>
    </w:p>
    <w:p>
      <w:pPr>
        <w:spacing w:line="360" w:lineRule="auto"/>
        <w:ind w:firstLine="643" w:firstLineChars="200"/>
        <w:rPr>
          <w:rFonts w:eastAsia="仿宋_GB2312"/>
          <w:b/>
          <w:bCs/>
          <w:sz w:val="32"/>
          <w:szCs w:val="32"/>
        </w:rPr>
      </w:pPr>
      <w:r>
        <w:rPr>
          <w:rFonts w:eastAsia="仿宋_GB2312"/>
          <w:b/>
          <w:bCs/>
          <w:sz w:val="32"/>
          <w:szCs w:val="32"/>
        </w:rPr>
        <w:t>3、全面开展乡村振兴战略</w:t>
      </w:r>
    </w:p>
    <w:p>
      <w:pPr>
        <w:spacing w:line="360" w:lineRule="auto"/>
        <w:ind w:firstLine="640" w:firstLineChars="200"/>
        <w:rPr>
          <w:rFonts w:eastAsia="仿宋_GB2312"/>
          <w:sz w:val="32"/>
          <w:szCs w:val="32"/>
        </w:rPr>
      </w:pPr>
      <w:r>
        <w:rPr>
          <w:rFonts w:eastAsia="仿宋_GB2312"/>
          <w:sz w:val="32"/>
          <w:szCs w:val="32"/>
        </w:rPr>
        <w:t>全面完成农村土地承包经营权登记颁证扫尾工作并顺利通过省、县验收；共发展新型农业主体57家，其中农民专业合作社33家，家庭农场24家；2018年新发展新型农业主体9家，其中农民专业合作社6家，家庭农场3家；申报县级示范家庭农场2个，省级示范家庭农场1个，县级示范专业合作社1个；持续推广新品种、新农药、新化肥和新技术，推广新型高速插秧机1台，落实早中稻插秧机面积20000亩，推广水稻新品种种植面积达5万余亩，辣椒新品种种植面积约500余亩，冬种油菜面积约5万亩；大力发展油茶、金槐、八月果、杨梅、冬枣等特色农林种植业，推动甲鱼、小龙虾、山黄鸡、淡水鱼、青蛙等特色养殖业，带动村域农、林、牧、渔经济发展。</w:t>
      </w:r>
    </w:p>
    <w:p>
      <w:pPr>
        <w:spacing w:line="360" w:lineRule="auto"/>
        <w:ind w:firstLine="643" w:firstLineChars="200"/>
        <w:rPr>
          <w:rFonts w:eastAsia="仿宋_GB2312"/>
          <w:b/>
          <w:bCs/>
          <w:sz w:val="32"/>
          <w:szCs w:val="32"/>
        </w:rPr>
      </w:pPr>
      <w:r>
        <w:rPr>
          <w:rFonts w:eastAsia="仿宋_GB2312"/>
          <w:b/>
          <w:bCs/>
          <w:sz w:val="32"/>
          <w:szCs w:val="32"/>
        </w:rPr>
        <w:t>4、加快小城镇建设步伐</w:t>
      </w:r>
    </w:p>
    <w:p>
      <w:pPr>
        <w:spacing w:line="360" w:lineRule="auto"/>
        <w:ind w:firstLine="640" w:firstLineChars="200"/>
        <w:rPr>
          <w:rFonts w:eastAsia="仿宋_GB2312"/>
          <w:sz w:val="32"/>
          <w:szCs w:val="32"/>
        </w:rPr>
      </w:pPr>
      <w:r>
        <w:rPr>
          <w:rFonts w:eastAsia="仿宋_GB2312"/>
          <w:sz w:val="32"/>
          <w:szCs w:val="32"/>
        </w:rPr>
        <w:t>完成大型综合农贸市场建设项目工程量31000平方米，其中商铺107个，住宅137套，摊位占地面积 3500平方米，摊位150个，方便岘山居民自产自销及购物需求，实现公共服务均等化；完成中兴大道提质改造，对路面进行拓宽、硬化、油化，由原来的5.5米拓宽至10米，油化面积达4500平方米，在路旁安装了路灯，打造了绿化、亮化工程；新安装钢护栏2400米，在易市村完成修建一条长2.2公里、宽8米的县道，完成村组道路硬化累计完成7公里，村组道路加宽累计完成12公里；35千伏变电站配套工作建设顺利推进，完成金辉等5个村12.35公里244根电杆的立杆任务；完成渠道清淤286公里，维修水毁工程20余处，完成水利工程建设项目12个，完成新增5座小二型水库危险水利工程的规划设计，及时修复檀西干渠的和平土坝。</w:t>
      </w:r>
    </w:p>
    <w:p>
      <w:pPr>
        <w:spacing w:line="360" w:lineRule="auto"/>
        <w:ind w:firstLine="643" w:firstLineChars="200"/>
        <w:rPr>
          <w:rFonts w:eastAsia="仿宋_GB2312"/>
          <w:b/>
          <w:bCs/>
          <w:sz w:val="32"/>
          <w:szCs w:val="32"/>
        </w:rPr>
      </w:pPr>
      <w:r>
        <w:rPr>
          <w:rFonts w:eastAsia="仿宋_GB2312"/>
          <w:b/>
          <w:bCs/>
          <w:sz w:val="32"/>
          <w:szCs w:val="32"/>
        </w:rPr>
        <w:t>5、美丽乡村建设开花结果</w:t>
      </w:r>
    </w:p>
    <w:p>
      <w:pPr>
        <w:spacing w:line="360" w:lineRule="auto"/>
        <w:ind w:firstLine="640" w:firstLineChars="200"/>
        <w:rPr>
          <w:rFonts w:eastAsia="仿宋_GB2312"/>
          <w:sz w:val="32"/>
          <w:szCs w:val="32"/>
        </w:rPr>
      </w:pPr>
      <w:r>
        <w:rPr>
          <w:rFonts w:eastAsia="仿宋_GB2312"/>
          <w:sz w:val="32"/>
          <w:szCs w:val="32"/>
        </w:rPr>
        <w:t>2018年岘山村注册成立衡阳县创岘种养专业合作社，以红高粱、水稻、棉花、油茶种植为主，以种植无花果、火龙果等果木林为辅，养殖淡水鱼水面50亩，养鸡1万羽，每年可解决就业80人，安排村内劳动就业1430人次，其中贫困户368人次，残疾人57人次，村集体盈利7.15万元；投入300万元建衡阳县岘山镇冬晖电器厂，其中村投入资金80万元，年销售300万元，安置就业人员10人，村集体年获利2.5万元；建设武水印象休闲农庄，其中村集体投入90万元，可安置15人就业，村集体每年获利5万元；引进华盈鞋厂投资200万元，解决80名劳动就业；成立武水新村置业有限公司，对村庄建设进行统一规划和建设，获利10万元；注册成立衡阳县尚善生态蔬菜种植有限公司，种植蔬菜50亩，安排村内的残疾人就业。</w:t>
      </w:r>
    </w:p>
    <w:p>
      <w:pPr>
        <w:spacing w:line="360" w:lineRule="auto"/>
        <w:ind w:firstLine="640" w:firstLineChars="200"/>
        <w:rPr>
          <w:rFonts w:eastAsia="仿宋_GB2312"/>
          <w:sz w:val="32"/>
          <w:szCs w:val="32"/>
        </w:rPr>
      </w:pPr>
      <w:r>
        <w:rPr>
          <w:rFonts w:eastAsia="仿宋_GB2312"/>
          <w:sz w:val="32"/>
          <w:szCs w:val="32"/>
        </w:rPr>
        <w:t>2018年紫云村发展村内织女湖、紫云庵、响鼓排、杷樵坳、刘氏宗祠等观光景区旅游，同时依托天排淡水鱼养殖专业合作社、淼森鑫种养专业合作社、狮子岭生态农场三个专业合作社，推进美丽家园建设，其中生态家庭农场流转荒山田土205亩，种植金丝楠木、冬枣、皇竹草、生态水稻、有机菜，建生态黄牛场，养殖桂鱼鱼塘水面30亩。</w:t>
      </w:r>
    </w:p>
    <w:p>
      <w:pPr>
        <w:spacing w:line="360" w:lineRule="auto"/>
        <w:ind w:firstLine="643" w:firstLineChars="200"/>
        <w:rPr>
          <w:rFonts w:eastAsia="仿宋_GB2312"/>
          <w:b/>
          <w:bCs/>
          <w:sz w:val="32"/>
          <w:szCs w:val="32"/>
        </w:rPr>
      </w:pPr>
      <w:r>
        <w:rPr>
          <w:rFonts w:eastAsia="仿宋_GB2312"/>
          <w:b/>
          <w:bCs/>
          <w:sz w:val="32"/>
          <w:szCs w:val="32"/>
        </w:rPr>
        <w:t>6、抓生态环保，优化自然环境</w:t>
      </w:r>
    </w:p>
    <w:p>
      <w:pPr>
        <w:spacing w:line="360" w:lineRule="auto"/>
        <w:ind w:firstLine="640" w:firstLineChars="200"/>
        <w:rPr>
          <w:rFonts w:eastAsia="仿宋_GB2312"/>
          <w:sz w:val="32"/>
          <w:szCs w:val="32"/>
        </w:rPr>
      </w:pPr>
      <w:r>
        <w:rPr>
          <w:rFonts w:eastAsia="仿宋_GB2312"/>
          <w:sz w:val="32"/>
          <w:szCs w:val="32"/>
        </w:rPr>
        <w:t>2018年岘山镇政府大力整治牛形山库存区采（运）砂船，召开党政联席会十余次，出动工作人员100余次，动用车辆40余台次，共整治采砂船4艘，运砂船7艘；大力整治群众反响强烈的污染场所，对紫云村刘庆才养殖场进行彻底拆除，对更荣村大余水库养鸭场进行专项整治，拆除鸭棚2座，拆除易市非法搅拌站，对金杨村蒸鑫建材进行合并搬迁，对荣鑫石材信访举报件进行及时整改；狠抓养殖业生态环保工作，对全镇470个养殖场和10个中小型水库开展生态环保整治，狠抓粪污防治，共整改123家，关停星光村等养殖场5家；进一步抓好集镇、村庄、通道、水域等地方保洁工作，实行常态性保洁和生态环境治理，进一步优化农村人居环境和生态环境，在全县第一季度和半年讲评中均取得第一名。</w:t>
      </w:r>
    </w:p>
    <w:p>
      <w:pPr>
        <w:spacing w:line="360" w:lineRule="auto"/>
        <w:ind w:firstLine="643" w:firstLineChars="200"/>
        <w:outlineLvl w:val="0"/>
        <w:rPr>
          <w:rFonts w:eastAsia="黑体"/>
          <w:b/>
          <w:bCs/>
          <w:sz w:val="32"/>
          <w:szCs w:val="32"/>
        </w:rPr>
      </w:pPr>
      <w:bookmarkStart w:id="25" w:name="_Toc25938888"/>
      <w:r>
        <w:rPr>
          <w:rFonts w:eastAsia="黑体"/>
          <w:b/>
          <w:bCs/>
          <w:sz w:val="32"/>
          <w:szCs w:val="32"/>
        </w:rPr>
        <w:t>五、存在的主要问题</w:t>
      </w:r>
      <w:bookmarkEnd w:id="25"/>
    </w:p>
    <w:p>
      <w:pPr>
        <w:spacing w:line="360" w:lineRule="auto"/>
        <w:ind w:firstLine="643" w:firstLineChars="200"/>
        <w:outlineLvl w:val="1"/>
        <w:rPr>
          <w:rFonts w:eastAsia="楷体"/>
          <w:b/>
          <w:bCs/>
          <w:sz w:val="32"/>
          <w:szCs w:val="32"/>
        </w:rPr>
      </w:pPr>
      <w:bookmarkStart w:id="26" w:name="_Toc25938889"/>
      <w:r>
        <w:rPr>
          <w:rFonts w:eastAsia="楷体"/>
          <w:b/>
          <w:bCs/>
          <w:sz w:val="32"/>
          <w:szCs w:val="32"/>
        </w:rPr>
        <w:t>（一）财务核算欠准确</w:t>
      </w:r>
      <w:bookmarkEnd w:id="26"/>
    </w:p>
    <w:p>
      <w:pPr>
        <w:spacing w:line="360" w:lineRule="auto"/>
        <w:ind w:firstLine="640" w:firstLineChars="200"/>
        <w:rPr>
          <w:rFonts w:eastAsia="仿宋_GB2312"/>
          <w:sz w:val="32"/>
          <w:szCs w:val="32"/>
        </w:rPr>
      </w:pPr>
      <w:r>
        <w:rPr>
          <w:rFonts w:eastAsia="仿宋_GB2312"/>
          <w:sz w:val="32"/>
          <w:szCs w:val="32"/>
        </w:rPr>
        <w:t>岘山镇政府存在财务核算欠准确的情况，如2018年1月4#凭证，支付公务用车油卡充值费12,000.00元，计入专业材料购置费-小车燃料费科目核算，未计入公务用车运行费；2018年6月3#凭证，支付公务用车油卡充值费6,000.00元，计入专业材料购置费-小车燃料费核算，未计入计入公务用车运行费；2018年4月4#凭证，支付公务用车油卡充值费6,000.00元，计入专业材料购置费-小车燃料费核算，未计入计入公务用车运行费。</w:t>
      </w:r>
    </w:p>
    <w:p>
      <w:pPr>
        <w:spacing w:line="360" w:lineRule="auto"/>
        <w:ind w:firstLine="643" w:firstLineChars="200"/>
        <w:outlineLvl w:val="1"/>
        <w:rPr>
          <w:rFonts w:eastAsia="楷体"/>
          <w:b/>
          <w:bCs/>
          <w:sz w:val="32"/>
          <w:szCs w:val="32"/>
        </w:rPr>
      </w:pPr>
      <w:bookmarkStart w:id="27" w:name="_Toc25938890"/>
      <w:r>
        <w:rPr>
          <w:rFonts w:eastAsia="楷体"/>
          <w:b/>
          <w:bCs/>
          <w:sz w:val="32"/>
          <w:szCs w:val="32"/>
        </w:rPr>
        <w:t>（二）发票抬头欠规范</w:t>
      </w:r>
      <w:bookmarkEnd w:id="27"/>
    </w:p>
    <w:p>
      <w:pPr>
        <w:spacing w:line="360" w:lineRule="auto"/>
        <w:ind w:firstLine="640" w:firstLineChars="200"/>
        <w:rPr>
          <w:rFonts w:eastAsia="仿宋_GB2312"/>
          <w:sz w:val="32"/>
          <w:szCs w:val="32"/>
        </w:rPr>
      </w:pPr>
      <w:r>
        <w:rPr>
          <w:rFonts w:eastAsia="仿宋_GB2312"/>
          <w:sz w:val="32"/>
          <w:szCs w:val="32"/>
        </w:rPr>
        <w:t>岘山镇政府存在发票抬头不规范的情况，如2018年6月5#凭证，支付9479.52元电费，后附发票抬头为“乡政府”、“岘山政府公租房1”、“岘山政府公租房2”等不规范的名称。2018年2月5#凭证，支付办公费99元，发票抬头为“衡阳县东方快相馆”。</w:t>
      </w:r>
    </w:p>
    <w:p>
      <w:pPr>
        <w:spacing w:line="360" w:lineRule="auto"/>
        <w:ind w:firstLine="643" w:firstLineChars="200"/>
        <w:outlineLvl w:val="1"/>
        <w:rPr>
          <w:rFonts w:eastAsia="楷体"/>
          <w:b/>
          <w:bCs/>
          <w:sz w:val="32"/>
          <w:szCs w:val="32"/>
        </w:rPr>
      </w:pPr>
      <w:bookmarkStart w:id="28" w:name="_Toc25938891"/>
      <w:r>
        <w:rPr>
          <w:rFonts w:eastAsia="楷体"/>
          <w:b/>
          <w:bCs/>
          <w:sz w:val="32"/>
          <w:szCs w:val="32"/>
        </w:rPr>
        <w:t>（三）库存现金大额支出</w:t>
      </w:r>
      <w:bookmarkEnd w:id="28"/>
    </w:p>
    <w:p>
      <w:pPr>
        <w:spacing w:line="360" w:lineRule="auto"/>
        <w:ind w:firstLine="640" w:firstLineChars="200"/>
        <w:rPr>
          <w:rFonts w:eastAsia="仿宋_GB2312"/>
          <w:sz w:val="32"/>
          <w:szCs w:val="32"/>
        </w:rPr>
      </w:pPr>
      <w:r>
        <w:rPr>
          <w:rFonts w:eastAsia="仿宋_GB2312"/>
          <w:sz w:val="32"/>
          <w:szCs w:val="32"/>
        </w:rPr>
        <w:t>岘山镇政府存在用库存现金大额支出的情况，违反自订的库存现金管理条例（库存现金限额5万元），如2018年1月9#凭证，支付办公经费22,533.00元，支付个人欠款5,000.00元，农技站开支20,020.00元，文化站开支5,750.00元，合计支付53,303.00元；2018年6月2#凭证，支付办公费12,159.98元，水费4,300.00元，合计16,459.98元。</w:t>
      </w:r>
    </w:p>
    <w:p>
      <w:pPr>
        <w:spacing w:line="360" w:lineRule="auto"/>
        <w:ind w:firstLine="643" w:firstLineChars="200"/>
        <w:outlineLvl w:val="1"/>
        <w:rPr>
          <w:rFonts w:eastAsia="楷体"/>
          <w:b/>
          <w:bCs/>
          <w:sz w:val="32"/>
          <w:szCs w:val="32"/>
        </w:rPr>
      </w:pPr>
      <w:bookmarkStart w:id="29" w:name="_Toc25938892"/>
      <w:r>
        <w:rPr>
          <w:rFonts w:eastAsia="楷体"/>
          <w:b/>
          <w:bCs/>
          <w:sz w:val="32"/>
          <w:szCs w:val="32"/>
        </w:rPr>
        <w:t>（四）未执行合同约定事项</w:t>
      </w:r>
      <w:bookmarkEnd w:id="29"/>
    </w:p>
    <w:p>
      <w:pPr>
        <w:spacing w:line="360" w:lineRule="auto"/>
        <w:ind w:firstLine="640" w:firstLineChars="200"/>
        <w:rPr>
          <w:rFonts w:eastAsia="仿宋_GB2312"/>
          <w:sz w:val="32"/>
          <w:szCs w:val="32"/>
        </w:rPr>
      </w:pPr>
      <w:r>
        <w:rPr>
          <w:rFonts w:eastAsia="仿宋_GB2312"/>
          <w:sz w:val="32"/>
          <w:szCs w:val="32"/>
        </w:rPr>
        <w:t>岘山镇政府存在未按合同约定执行的情况，如2018年6月4#凭证，支付异地扶贫搬迁项目工程款161,000.00元，根据项目工程合同，合同金额161,000.00元，工程款应当在工程竣工并通过验收后付90%，但凭证后未附工程竣工验收资料，且该笔工程款的90%为158,071.17元，超约定付款。</w:t>
      </w:r>
    </w:p>
    <w:p>
      <w:pPr>
        <w:spacing w:line="360" w:lineRule="auto"/>
        <w:ind w:firstLine="643" w:firstLineChars="200"/>
        <w:outlineLvl w:val="1"/>
        <w:rPr>
          <w:rFonts w:eastAsia="楷体"/>
          <w:b/>
          <w:bCs/>
          <w:sz w:val="32"/>
          <w:szCs w:val="32"/>
        </w:rPr>
      </w:pPr>
      <w:bookmarkStart w:id="30" w:name="_Toc25938893"/>
      <w:r>
        <w:rPr>
          <w:rFonts w:eastAsia="楷体"/>
          <w:b/>
          <w:bCs/>
          <w:sz w:val="32"/>
          <w:szCs w:val="32"/>
        </w:rPr>
        <w:t>（五）绩效理念有待加强</w:t>
      </w:r>
      <w:bookmarkEnd w:id="30"/>
    </w:p>
    <w:p>
      <w:pPr>
        <w:spacing w:line="360" w:lineRule="auto"/>
        <w:ind w:firstLine="640" w:firstLineChars="200"/>
        <w:rPr>
          <w:rFonts w:eastAsia="仿宋_GB2312"/>
          <w:sz w:val="32"/>
          <w:szCs w:val="32"/>
        </w:rPr>
      </w:pPr>
      <w:r>
        <w:rPr>
          <w:rFonts w:eastAsia="仿宋_GB2312"/>
          <w:sz w:val="32"/>
          <w:szCs w:val="32"/>
        </w:rPr>
        <w:t>岘山镇政府填制了2018年部门整体支出绩效目标申报表，指标设立不够细化量化，且未设置经济效益、社会效益、生态效益等项目效益指标，此外岘山镇政府未对部门整体支出绩效目标完成情况开展自评工作，预算绩效目标申报及自评工作亟待完善。</w:t>
      </w:r>
    </w:p>
    <w:p>
      <w:pPr>
        <w:spacing w:line="360" w:lineRule="auto"/>
        <w:ind w:firstLine="643" w:firstLineChars="200"/>
        <w:outlineLvl w:val="1"/>
        <w:rPr>
          <w:rFonts w:eastAsia="楷体"/>
          <w:b/>
          <w:bCs/>
          <w:sz w:val="32"/>
          <w:szCs w:val="32"/>
        </w:rPr>
      </w:pPr>
      <w:bookmarkStart w:id="31" w:name="_Toc25938894"/>
      <w:r>
        <w:rPr>
          <w:rFonts w:eastAsia="楷体"/>
          <w:b/>
          <w:bCs/>
          <w:sz w:val="32"/>
          <w:szCs w:val="32"/>
        </w:rPr>
        <w:t>（六）合同管理欠规范</w:t>
      </w:r>
      <w:bookmarkEnd w:id="31"/>
    </w:p>
    <w:p>
      <w:pPr>
        <w:spacing w:line="360" w:lineRule="auto"/>
        <w:ind w:firstLine="640" w:firstLineChars="200"/>
        <w:rPr>
          <w:rFonts w:eastAsia="仿宋_GB2312"/>
          <w:sz w:val="32"/>
          <w:szCs w:val="32"/>
        </w:rPr>
      </w:pPr>
      <w:r>
        <w:rPr>
          <w:rFonts w:eastAsia="仿宋_GB2312"/>
          <w:sz w:val="32"/>
          <w:szCs w:val="32"/>
        </w:rPr>
        <w:t>经查看岘山镇政府合同档案，发现《保障性安居工程配套基础设施建设施工合同》签订不规范，该合同包含合同协议书、通用合同条款、专用合同条款及附件四部分，但合同双方仅填写了合同协议书与通用合同条款，专用合同条款及附件三-工程质量保修书未进行填写，合同管理欠规范。</w:t>
      </w:r>
    </w:p>
    <w:p>
      <w:pPr>
        <w:numPr>
          <w:ilvl w:val="0"/>
          <w:numId w:val="2"/>
        </w:numPr>
        <w:spacing w:line="360" w:lineRule="auto"/>
        <w:ind w:firstLine="643" w:firstLineChars="200"/>
        <w:outlineLvl w:val="1"/>
        <w:rPr>
          <w:rFonts w:eastAsia="楷体"/>
          <w:b/>
          <w:bCs/>
          <w:sz w:val="32"/>
          <w:szCs w:val="32"/>
        </w:rPr>
      </w:pPr>
      <w:bookmarkStart w:id="32" w:name="_Toc25938895"/>
      <w:r>
        <w:rPr>
          <w:rFonts w:eastAsia="楷体"/>
          <w:b/>
          <w:bCs/>
          <w:sz w:val="32"/>
          <w:szCs w:val="32"/>
        </w:rPr>
        <w:t>决算编制欠准确</w:t>
      </w:r>
      <w:bookmarkEnd w:id="32"/>
    </w:p>
    <w:p>
      <w:pPr>
        <w:spacing w:line="360" w:lineRule="auto"/>
        <w:ind w:firstLine="640" w:firstLineChars="200"/>
        <w:rPr>
          <w:rFonts w:eastAsia="仿宋_GB2312"/>
          <w:sz w:val="32"/>
          <w:szCs w:val="32"/>
        </w:rPr>
      </w:pPr>
      <w:r>
        <w:rPr>
          <w:rFonts w:eastAsia="仿宋_GB2312"/>
          <w:sz w:val="32"/>
          <w:szCs w:val="32"/>
        </w:rPr>
        <w:t>岘山镇存在决算编制欠准确的情况，实际决算支出与决算报表数据不一致，导致基本支出存在结转和结余情况未能得以体现，具体情况如下表：</w:t>
      </w:r>
    </w:p>
    <w:tbl>
      <w:tblPr>
        <w:tblStyle w:val="14"/>
        <w:tblW w:w="4999" w:type="pct"/>
        <w:tblInd w:w="0" w:type="dxa"/>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autofit"/>
        <w:tblCellMar>
          <w:top w:w="0" w:type="dxa"/>
          <w:left w:w="0" w:type="dxa"/>
          <w:bottom w:w="0" w:type="dxa"/>
          <w:right w:w="0" w:type="dxa"/>
        </w:tblCellMar>
      </w:tblPr>
      <w:tblGrid>
        <w:gridCol w:w="3045"/>
        <w:gridCol w:w="1845"/>
        <w:gridCol w:w="1845"/>
        <w:gridCol w:w="1599"/>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70" w:hRule="atLeast"/>
        </w:trPr>
        <w:tc>
          <w:tcPr>
            <w:tcW w:w="1826"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rPr>
              <w:t>项目</w:t>
            </w:r>
          </w:p>
        </w:tc>
        <w:tc>
          <w:tcPr>
            <w:tcW w:w="1106"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rPr>
              <w:t>报表数据</w:t>
            </w:r>
          </w:p>
        </w:tc>
        <w:tc>
          <w:tcPr>
            <w:tcW w:w="1106"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rPr>
              <w:t>实际数据</w:t>
            </w:r>
          </w:p>
        </w:tc>
        <w:tc>
          <w:tcPr>
            <w:tcW w:w="959"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rPr>
              <w:t>差异</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70" w:hRule="atLeast"/>
        </w:trPr>
        <w:tc>
          <w:tcPr>
            <w:tcW w:w="1826"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Cs w:val="21"/>
              </w:rPr>
            </w:pPr>
            <w:r>
              <w:rPr>
                <w:color w:val="000000"/>
                <w:kern w:val="0"/>
                <w:szCs w:val="21"/>
              </w:rPr>
              <w:t>年初结转与结余数</w:t>
            </w:r>
          </w:p>
        </w:tc>
        <w:tc>
          <w:tcPr>
            <w:tcW w:w="1106"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11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 xml:space="preserve">255.82 </w:t>
            </w:r>
          </w:p>
        </w:tc>
        <w:tc>
          <w:tcPr>
            <w:tcW w:w="959"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 xml:space="preserve">255.82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70" w:hRule="atLeast"/>
        </w:trPr>
        <w:tc>
          <w:tcPr>
            <w:tcW w:w="1826"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Cs w:val="21"/>
              </w:rPr>
            </w:pPr>
            <w:r>
              <w:rPr>
                <w:color w:val="000000"/>
                <w:kern w:val="0"/>
                <w:szCs w:val="21"/>
              </w:rPr>
              <w:t>决算收入</w:t>
            </w:r>
          </w:p>
        </w:tc>
        <w:tc>
          <w:tcPr>
            <w:tcW w:w="11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 xml:space="preserve">2,165.98 </w:t>
            </w:r>
          </w:p>
        </w:tc>
        <w:tc>
          <w:tcPr>
            <w:tcW w:w="11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 xml:space="preserve">2,165.98 </w:t>
            </w:r>
          </w:p>
        </w:tc>
        <w:tc>
          <w:tcPr>
            <w:tcW w:w="959"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70" w:hRule="atLeast"/>
        </w:trPr>
        <w:tc>
          <w:tcPr>
            <w:tcW w:w="1826"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Cs w:val="21"/>
              </w:rPr>
            </w:pPr>
            <w:r>
              <w:rPr>
                <w:color w:val="000000"/>
                <w:kern w:val="0"/>
                <w:szCs w:val="21"/>
              </w:rPr>
              <w:t>决算支出</w:t>
            </w:r>
          </w:p>
        </w:tc>
        <w:tc>
          <w:tcPr>
            <w:tcW w:w="11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 xml:space="preserve">2,165.98 </w:t>
            </w:r>
          </w:p>
        </w:tc>
        <w:tc>
          <w:tcPr>
            <w:tcW w:w="11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 xml:space="preserve">2,223.08 </w:t>
            </w:r>
          </w:p>
        </w:tc>
        <w:tc>
          <w:tcPr>
            <w:tcW w:w="959"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 xml:space="preserve">57.10 </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70" w:hRule="atLeast"/>
        </w:trPr>
        <w:tc>
          <w:tcPr>
            <w:tcW w:w="1826"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000000"/>
                <w:szCs w:val="21"/>
              </w:rPr>
            </w:pPr>
            <w:r>
              <w:rPr>
                <w:color w:val="000000"/>
                <w:kern w:val="0"/>
                <w:szCs w:val="21"/>
              </w:rPr>
              <w:t>结转与结余数</w:t>
            </w:r>
          </w:p>
        </w:tc>
        <w:tc>
          <w:tcPr>
            <w:tcW w:w="1106" w:type="pct"/>
            <w:tcBorders>
              <w:tl2br w:val="nil"/>
              <w:tr2bl w:val="nil"/>
            </w:tcBorders>
            <w:shd w:val="clear" w:color="auto" w:fill="auto"/>
            <w:noWrap/>
            <w:tcMar>
              <w:top w:w="15" w:type="dxa"/>
              <w:left w:w="15" w:type="dxa"/>
              <w:right w:w="15" w:type="dxa"/>
            </w:tcMar>
            <w:vAlign w:val="center"/>
          </w:tcPr>
          <w:p>
            <w:pPr>
              <w:jc w:val="right"/>
              <w:rPr>
                <w:color w:val="000000"/>
                <w:szCs w:val="21"/>
              </w:rPr>
            </w:pPr>
          </w:p>
        </w:tc>
        <w:tc>
          <w:tcPr>
            <w:tcW w:w="1106"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 xml:space="preserve">198.72 </w:t>
            </w:r>
          </w:p>
        </w:tc>
        <w:tc>
          <w:tcPr>
            <w:tcW w:w="959" w:type="pct"/>
            <w:tcBorders>
              <w:tl2br w:val="nil"/>
              <w:tr2bl w:val="nil"/>
            </w:tcBorders>
            <w:shd w:val="clear" w:color="auto" w:fill="auto"/>
            <w:noWrap/>
            <w:tcMar>
              <w:top w:w="15" w:type="dxa"/>
              <w:left w:w="15" w:type="dxa"/>
              <w:right w:w="15" w:type="dxa"/>
            </w:tcMar>
            <w:vAlign w:val="center"/>
          </w:tcPr>
          <w:p>
            <w:pPr>
              <w:widowControl/>
              <w:jc w:val="right"/>
              <w:textAlignment w:val="center"/>
              <w:rPr>
                <w:color w:val="000000"/>
                <w:szCs w:val="21"/>
              </w:rPr>
            </w:pPr>
            <w:r>
              <w:rPr>
                <w:color w:val="000000"/>
                <w:kern w:val="0"/>
                <w:szCs w:val="21"/>
              </w:rPr>
              <w:t xml:space="preserve">198.72 </w:t>
            </w:r>
          </w:p>
        </w:tc>
      </w:tr>
    </w:tbl>
    <w:p>
      <w:pPr>
        <w:spacing w:line="360" w:lineRule="auto"/>
        <w:ind w:firstLine="640" w:firstLineChars="200"/>
        <w:rPr>
          <w:rFonts w:eastAsia="仿宋_GB2312"/>
          <w:sz w:val="32"/>
          <w:szCs w:val="32"/>
        </w:rPr>
      </w:pPr>
      <w:r>
        <w:rPr>
          <w:rFonts w:eastAsia="仿宋_GB2312"/>
          <w:sz w:val="32"/>
          <w:szCs w:val="32"/>
        </w:rPr>
        <w:t>2018年结转与结余数198.72万元，其中基本支出结转和结余96.02万元，均为2018年度资金，账龄在1年以内。</w:t>
      </w:r>
    </w:p>
    <w:p>
      <w:pPr>
        <w:numPr>
          <w:ilvl w:val="0"/>
          <w:numId w:val="3"/>
        </w:numPr>
        <w:spacing w:line="360" w:lineRule="auto"/>
        <w:ind w:firstLine="643" w:firstLineChars="200"/>
        <w:outlineLvl w:val="0"/>
        <w:rPr>
          <w:rFonts w:eastAsia="黑体"/>
          <w:b/>
          <w:bCs/>
          <w:sz w:val="32"/>
          <w:szCs w:val="32"/>
        </w:rPr>
      </w:pPr>
      <w:bookmarkStart w:id="33" w:name="_Toc25938896"/>
      <w:r>
        <w:rPr>
          <w:rFonts w:eastAsia="黑体"/>
          <w:b/>
          <w:bCs/>
          <w:sz w:val="32"/>
          <w:szCs w:val="32"/>
        </w:rPr>
        <w:t>改进措施和有关建议</w:t>
      </w:r>
      <w:bookmarkEnd w:id="33"/>
    </w:p>
    <w:p>
      <w:pPr>
        <w:spacing w:line="360" w:lineRule="auto"/>
        <w:ind w:firstLine="643" w:firstLineChars="200"/>
        <w:outlineLvl w:val="1"/>
        <w:rPr>
          <w:rFonts w:eastAsia="楷体"/>
          <w:b/>
          <w:bCs/>
          <w:sz w:val="32"/>
          <w:szCs w:val="32"/>
        </w:rPr>
      </w:pPr>
      <w:bookmarkStart w:id="34" w:name="_Toc25938897"/>
      <w:r>
        <w:rPr>
          <w:rFonts w:eastAsia="楷体"/>
          <w:b/>
          <w:bCs/>
          <w:sz w:val="32"/>
          <w:szCs w:val="32"/>
        </w:rPr>
        <w:t>（一）加强预算绩效评价基础工作</w:t>
      </w:r>
      <w:bookmarkEnd w:id="34"/>
    </w:p>
    <w:p>
      <w:pPr>
        <w:spacing w:line="360" w:lineRule="auto"/>
        <w:ind w:firstLine="640" w:firstLineChars="200"/>
        <w:rPr>
          <w:rFonts w:eastAsia="仿宋_GB2312"/>
          <w:sz w:val="32"/>
          <w:szCs w:val="32"/>
        </w:rPr>
      </w:pPr>
      <w:r>
        <w:rPr>
          <w:rFonts w:eastAsia="仿宋_GB2312"/>
          <w:sz w:val="32"/>
          <w:szCs w:val="32"/>
        </w:rPr>
        <w:t>项目单位应严格按照《财政支出绩效评价管理暂行办法》（财预〔2011〕285号）、《衡阳市人民政府关于全面推行预算绩效管理实施意见》（衡政函〔2014〕73号）及《衡阳县人民政府关于全面推进预算绩效管理的实施意见》（蒸政发〔2015〕12号）等文件规定，强化项目绩效自评组织工作，年初申报预算时将绩效目标编入年度预算，填报项目申报表，且绩效目标指向明确、具体细化、合理可行。</w:t>
      </w:r>
    </w:p>
    <w:p>
      <w:pPr>
        <w:spacing w:line="360" w:lineRule="auto"/>
        <w:ind w:firstLine="643" w:firstLineChars="200"/>
        <w:outlineLvl w:val="1"/>
        <w:rPr>
          <w:rFonts w:eastAsia="仿宋_GB2312"/>
          <w:sz w:val="32"/>
          <w:szCs w:val="32"/>
        </w:rPr>
      </w:pPr>
      <w:bookmarkStart w:id="35" w:name="_Toc25938898"/>
      <w:r>
        <w:rPr>
          <w:rFonts w:eastAsia="楷体"/>
          <w:b/>
          <w:bCs/>
          <w:sz w:val="32"/>
          <w:szCs w:val="32"/>
        </w:rPr>
        <w:t>（二）推进财务管理</w:t>
      </w:r>
      <w:bookmarkEnd w:id="35"/>
    </w:p>
    <w:p>
      <w:pPr>
        <w:spacing w:line="360" w:lineRule="auto"/>
        <w:ind w:firstLine="640" w:firstLineChars="200"/>
        <w:rPr>
          <w:rFonts w:eastAsia="仿宋_GB2312"/>
          <w:sz w:val="32"/>
          <w:szCs w:val="32"/>
        </w:rPr>
      </w:pPr>
      <w:r>
        <w:rPr>
          <w:rFonts w:eastAsia="仿宋_GB2312"/>
          <w:sz w:val="32"/>
          <w:szCs w:val="32"/>
        </w:rPr>
        <w:t>一是加强会计核算，不断提升单位财务管理人员的专业能力和综合素质，提高财务管理效率，避免出现科目核算欠准确的情况；二是加强现金管理，单位库存现金必须严格控制在核定的库存现金额度内，超过库存限额的，必须于当日送存银行，且大额现金支付必须通过银行办理转账手续。</w:t>
      </w:r>
    </w:p>
    <w:p>
      <w:pPr>
        <w:spacing w:line="360" w:lineRule="auto"/>
        <w:ind w:firstLine="643" w:firstLineChars="200"/>
        <w:outlineLvl w:val="1"/>
        <w:rPr>
          <w:rFonts w:eastAsia="楷体"/>
          <w:b/>
          <w:bCs/>
          <w:sz w:val="32"/>
          <w:szCs w:val="32"/>
        </w:rPr>
      </w:pPr>
      <w:bookmarkStart w:id="36" w:name="_Toc25938899"/>
      <w:r>
        <w:rPr>
          <w:rFonts w:eastAsia="楷体"/>
          <w:b/>
          <w:bCs/>
          <w:sz w:val="32"/>
          <w:szCs w:val="32"/>
        </w:rPr>
        <w:t>（三）加强资金监管</w:t>
      </w:r>
      <w:bookmarkEnd w:id="36"/>
    </w:p>
    <w:p>
      <w:pPr>
        <w:spacing w:line="360" w:lineRule="auto"/>
        <w:ind w:firstLine="640" w:firstLineChars="200"/>
        <w:rPr>
          <w:rFonts w:eastAsia="仿宋_GB2312"/>
          <w:sz w:val="32"/>
          <w:szCs w:val="32"/>
        </w:rPr>
      </w:pPr>
      <w:r>
        <w:rPr>
          <w:rFonts w:eastAsia="仿宋_GB2312"/>
          <w:sz w:val="32"/>
          <w:szCs w:val="32"/>
        </w:rPr>
        <w:t>单位费用支出必须严格执行国家的有关方针、政策和财政规章制度和费用开支标准，单位所有支出都必须取得真实、合法、有效的原始凭证，做到有根有据，对于不合规发票报账和报销附件不全等开支，财务人员应按会计法要求，不予支付。</w:t>
      </w:r>
    </w:p>
    <w:p>
      <w:pPr>
        <w:spacing w:line="360" w:lineRule="auto"/>
        <w:ind w:firstLine="643" w:firstLineChars="200"/>
        <w:outlineLvl w:val="1"/>
        <w:rPr>
          <w:rFonts w:eastAsia="楷体"/>
          <w:b/>
          <w:bCs/>
          <w:sz w:val="32"/>
          <w:szCs w:val="32"/>
        </w:rPr>
      </w:pPr>
      <w:bookmarkStart w:id="37" w:name="_Toc25938900"/>
      <w:r>
        <w:rPr>
          <w:rFonts w:eastAsia="楷体"/>
          <w:b/>
          <w:bCs/>
          <w:sz w:val="32"/>
          <w:szCs w:val="32"/>
        </w:rPr>
        <w:t>（四）规范合同管理</w:t>
      </w:r>
      <w:bookmarkEnd w:id="37"/>
    </w:p>
    <w:p>
      <w:pPr>
        <w:spacing w:line="360" w:lineRule="auto"/>
        <w:ind w:firstLine="640" w:firstLineChars="200"/>
        <w:rPr>
          <w:rFonts w:eastAsia="仿宋_GB2312"/>
          <w:sz w:val="32"/>
          <w:szCs w:val="32"/>
        </w:rPr>
      </w:pPr>
      <w:r>
        <w:rPr>
          <w:rFonts w:eastAsia="仿宋_GB2312"/>
          <w:sz w:val="32"/>
          <w:szCs w:val="32"/>
        </w:rPr>
        <w:t>一是时刻跟踪合同的履行情况，定期或不定期的对合同履行情况进行检查，加强对合同履行的监管，及时发现异常情况；二是规范合同的订立环节，应当按照《合同法》规定，严格审查合同内容的填写情况，保证合同条款填写完整，避免出现合同内容未填写的情况。</w:t>
      </w:r>
    </w:p>
    <w:p>
      <w:pPr>
        <w:spacing w:line="360" w:lineRule="auto"/>
        <w:ind w:firstLine="643" w:firstLineChars="200"/>
        <w:outlineLvl w:val="1"/>
        <w:rPr>
          <w:rFonts w:eastAsia="楷体"/>
          <w:b/>
          <w:bCs/>
          <w:sz w:val="32"/>
          <w:szCs w:val="32"/>
        </w:rPr>
      </w:pPr>
      <w:bookmarkStart w:id="38" w:name="_Toc25938901"/>
      <w:r>
        <w:rPr>
          <w:rFonts w:eastAsia="楷体"/>
          <w:b/>
          <w:bCs/>
          <w:sz w:val="32"/>
          <w:szCs w:val="32"/>
        </w:rPr>
        <w:t>（五）加强决算编制工作</w:t>
      </w:r>
      <w:bookmarkEnd w:id="38"/>
    </w:p>
    <w:p>
      <w:pPr>
        <w:spacing w:line="360" w:lineRule="auto"/>
        <w:ind w:firstLine="640" w:firstLineChars="200"/>
        <w:rPr>
          <w:rFonts w:eastAsia="仿宋_GB2312"/>
          <w:sz w:val="32"/>
          <w:szCs w:val="32"/>
        </w:rPr>
      </w:pPr>
      <w:r>
        <w:rPr>
          <w:rFonts w:eastAsia="仿宋_GB2312"/>
          <w:sz w:val="32"/>
          <w:szCs w:val="32"/>
        </w:rPr>
        <w:t>严格按照本年度具体资金使用情况，对预算执行进行总结，正确编制决算支出，确保决算数字真实真确，严禁估算，避免出现存在结转和结余而未能体现的情况。</w:t>
      </w:r>
    </w:p>
    <w:p>
      <w:pPr>
        <w:spacing w:line="360" w:lineRule="auto"/>
        <w:ind w:firstLine="643" w:firstLineChars="200"/>
        <w:outlineLvl w:val="0"/>
        <w:rPr>
          <w:rFonts w:eastAsia="黑体"/>
          <w:b/>
          <w:bCs/>
          <w:sz w:val="32"/>
          <w:szCs w:val="32"/>
        </w:rPr>
      </w:pPr>
      <w:bookmarkStart w:id="39" w:name="_Toc25938902"/>
      <w:r>
        <w:rPr>
          <w:rFonts w:eastAsia="黑体"/>
          <w:b/>
          <w:bCs/>
          <w:sz w:val="32"/>
          <w:szCs w:val="32"/>
        </w:rPr>
        <w:t>七、绩效评价结果应用建议</w:t>
      </w:r>
      <w:bookmarkEnd w:id="39"/>
    </w:p>
    <w:p>
      <w:pPr>
        <w:spacing w:line="360" w:lineRule="auto"/>
        <w:ind w:firstLine="640" w:firstLineChars="200"/>
        <w:rPr>
          <w:rFonts w:eastAsia="仿宋_GB2312"/>
          <w:sz w:val="32"/>
          <w:szCs w:val="32"/>
        </w:rPr>
      </w:pPr>
      <w:r>
        <w:rPr>
          <w:rFonts w:eastAsia="仿宋_GB2312"/>
          <w:sz w:val="32"/>
          <w:szCs w:val="32"/>
        </w:rPr>
        <w:t>岘山镇政府要对照评价报告加强整改；要及时公开绩效评价结果，主动接受社会监督。</w:t>
      </w:r>
    </w:p>
    <w:p>
      <w:pPr>
        <w:spacing w:line="360" w:lineRule="auto"/>
        <w:ind w:firstLine="643" w:firstLineChars="200"/>
        <w:outlineLvl w:val="0"/>
        <w:rPr>
          <w:rFonts w:eastAsia="仿宋_GB2312"/>
          <w:sz w:val="32"/>
          <w:szCs w:val="32"/>
        </w:rPr>
      </w:pPr>
      <w:bookmarkStart w:id="40" w:name="_Toc25938903"/>
      <w:r>
        <w:rPr>
          <w:rFonts w:eastAsia="黑体"/>
          <w:b/>
          <w:bCs/>
          <w:sz w:val="32"/>
          <w:szCs w:val="32"/>
        </w:rPr>
        <w:t>八、报告附表</w:t>
      </w:r>
      <w:bookmarkEnd w:id="40"/>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eastAsia="仿宋_GB2312"/>
          <w:sz w:val="32"/>
          <w:szCs w:val="32"/>
        </w:rPr>
        <w:t>附件1：部门整体支出绩效评价基础数据表</w:t>
      </w:r>
    </w:p>
    <w:p>
      <w:pPr>
        <w:spacing w:line="360" w:lineRule="auto"/>
        <w:ind w:firstLine="640" w:firstLineChars="200"/>
        <w:rPr>
          <w:rFonts w:eastAsia="仿宋_GB2312"/>
          <w:sz w:val="32"/>
          <w:szCs w:val="32"/>
        </w:rPr>
      </w:pPr>
      <w:r>
        <w:rPr>
          <w:rFonts w:eastAsia="仿宋_GB2312"/>
          <w:sz w:val="32"/>
          <w:szCs w:val="32"/>
        </w:rPr>
        <w:t>附件2：2018年度</w:t>
      </w:r>
      <w:r>
        <w:rPr>
          <w:rFonts w:eastAsia="仿宋_GB2312"/>
          <w:kern w:val="0"/>
          <w:sz w:val="32"/>
          <w:szCs w:val="32"/>
        </w:rPr>
        <w:t>岘山镇人民政府</w:t>
      </w:r>
      <w:r>
        <w:rPr>
          <w:rFonts w:eastAsia="仿宋_GB2312"/>
          <w:sz w:val="32"/>
          <w:szCs w:val="32"/>
        </w:rPr>
        <w:t>部门整体支出绩效评价指标评分表</w:t>
      </w:r>
    </w:p>
    <w:p>
      <w:pPr>
        <w:spacing w:line="360" w:lineRule="auto"/>
        <w:ind w:firstLine="640" w:firstLineChars="200"/>
        <w:rPr>
          <w:rFonts w:eastAsia="仿宋_GB2312"/>
          <w:sz w:val="32"/>
          <w:szCs w:val="32"/>
        </w:rPr>
      </w:pPr>
      <w:r>
        <w:rPr>
          <w:rFonts w:eastAsia="仿宋_GB2312"/>
          <w:sz w:val="32"/>
          <w:szCs w:val="32"/>
        </w:rPr>
        <w:t>附件3：衡阳县岘山镇政府满意度问卷调查结果</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left="-210" w:leftChars="-100" w:right="-105" w:rightChars="-50" w:firstLine="208" w:firstLineChars="74"/>
        <w:rPr>
          <w:rFonts w:eastAsia="仿宋_GB2312"/>
          <w:b/>
          <w:color w:val="000000"/>
          <w:sz w:val="28"/>
          <w:szCs w:val="28"/>
        </w:rPr>
      </w:pPr>
      <w:r>
        <w:rPr>
          <w:rFonts w:eastAsia="仿宋_GB2312"/>
          <w:b/>
          <w:color w:val="000000"/>
          <w:sz w:val="28"/>
          <w:szCs w:val="28"/>
        </w:rPr>
        <w:t>湖南友谊联合会计师事务所(普通合伙)   中国注册会计师：</w:t>
      </w:r>
    </w:p>
    <w:p>
      <w:pPr>
        <w:spacing w:line="360" w:lineRule="auto"/>
        <w:ind w:left="-210" w:leftChars="-100" w:right="-105" w:rightChars="-50" w:firstLine="551" w:firstLineChars="196"/>
        <w:rPr>
          <w:rFonts w:eastAsia="仿宋_GB2312"/>
          <w:b/>
          <w:color w:val="000000"/>
          <w:sz w:val="28"/>
          <w:szCs w:val="28"/>
        </w:rPr>
      </w:pPr>
    </w:p>
    <w:p>
      <w:pPr>
        <w:spacing w:line="360" w:lineRule="auto"/>
        <w:ind w:left="-210" w:leftChars="-100" w:right="-105" w:rightChars="-50" w:firstLine="1622" w:firstLineChars="577"/>
        <w:rPr>
          <w:rFonts w:eastAsia="仿宋_GB2312"/>
          <w:b/>
          <w:color w:val="000000"/>
          <w:sz w:val="28"/>
          <w:szCs w:val="28"/>
        </w:rPr>
      </w:pPr>
      <w:r>
        <w:rPr>
          <w:rFonts w:eastAsia="仿宋_GB2312"/>
          <w:b/>
          <w:color w:val="000000"/>
          <w:sz w:val="28"/>
          <w:szCs w:val="28"/>
        </w:rPr>
        <w:t>湖南 ● 长沙               中国注册会计师：</w:t>
      </w:r>
    </w:p>
    <w:p>
      <w:pPr>
        <w:spacing w:line="360" w:lineRule="auto"/>
        <w:ind w:left="-210" w:leftChars="-100" w:right="-105" w:rightChars="-50" w:firstLine="551" w:firstLineChars="196"/>
        <w:jc w:val="center"/>
        <w:rPr>
          <w:rFonts w:eastAsia="仿宋_GB2312"/>
          <w:b/>
          <w:color w:val="000000"/>
          <w:sz w:val="28"/>
          <w:szCs w:val="28"/>
        </w:rPr>
      </w:pPr>
    </w:p>
    <w:p>
      <w:pPr>
        <w:spacing w:line="360" w:lineRule="auto"/>
        <w:ind w:left="-210" w:leftChars="-100" w:right="-105" w:rightChars="-50" w:firstLine="551" w:firstLineChars="196"/>
        <w:jc w:val="center"/>
        <w:rPr>
          <w:rFonts w:eastAsia="仿宋_GB2312"/>
          <w:b/>
          <w:color w:val="000000"/>
          <w:sz w:val="28"/>
          <w:szCs w:val="28"/>
        </w:rPr>
      </w:pPr>
      <w:r>
        <w:rPr>
          <w:rFonts w:eastAsia="仿宋_GB2312"/>
          <w:b/>
          <w:color w:val="000000"/>
          <w:sz w:val="28"/>
          <w:szCs w:val="28"/>
        </w:rPr>
        <w:t xml:space="preserve">                          二</w:t>
      </w:r>
      <w:r>
        <w:rPr>
          <w:b/>
          <w:color w:val="000000"/>
          <w:sz w:val="28"/>
          <w:szCs w:val="28"/>
        </w:rPr>
        <w:t>〇</w:t>
      </w:r>
      <w:r>
        <w:rPr>
          <w:rFonts w:eastAsia="仿宋_GB2312"/>
          <w:b/>
          <w:color w:val="000000"/>
          <w:sz w:val="28"/>
          <w:szCs w:val="28"/>
        </w:rPr>
        <w:t>一九年十一月一十八日</w:t>
      </w:r>
    </w:p>
    <w:p>
      <w:pPr>
        <w:spacing w:line="560" w:lineRule="exact"/>
        <w:rPr>
          <w:rFonts w:eastAsia="黑体"/>
          <w:kern w:val="0"/>
          <w:sz w:val="28"/>
          <w:szCs w:val="28"/>
        </w:rPr>
      </w:pPr>
    </w:p>
    <w:p>
      <w:pPr>
        <w:spacing w:line="560" w:lineRule="exact"/>
        <w:rPr>
          <w:rFonts w:eastAsia="黑体"/>
          <w:kern w:val="0"/>
          <w:sz w:val="28"/>
          <w:szCs w:val="28"/>
        </w:rPr>
      </w:pPr>
      <w:bookmarkStart w:id="41" w:name="_GoBack"/>
      <w:bookmarkEnd w:id="41"/>
    </w:p>
    <w:p>
      <w:pPr>
        <w:spacing w:line="560" w:lineRule="exact"/>
        <w:rPr>
          <w:rFonts w:eastAsia="黑体"/>
          <w:kern w:val="0"/>
          <w:sz w:val="28"/>
          <w:szCs w:val="28"/>
        </w:rPr>
      </w:pPr>
      <w:r>
        <w:rPr>
          <w:rFonts w:eastAsia="黑体"/>
          <w:kern w:val="0"/>
          <w:sz w:val="28"/>
          <w:szCs w:val="28"/>
        </w:rPr>
        <w:t>附件1</w:t>
      </w:r>
    </w:p>
    <w:p>
      <w:pPr>
        <w:spacing w:beforeLines="50" w:afterLines="50" w:line="560" w:lineRule="exact"/>
        <w:jc w:val="center"/>
        <w:rPr>
          <w:rFonts w:eastAsia="方正小标宋_GBK"/>
          <w:bCs/>
          <w:kern w:val="0"/>
          <w:sz w:val="44"/>
          <w:szCs w:val="44"/>
        </w:rPr>
      </w:pPr>
      <w:r>
        <w:rPr>
          <w:rFonts w:eastAsia="方正小标宋_GBK"/>
          <w:bCs/>
          <w:kern w:val="0"/>
          <w:sz w:val="44"/>
          <w:szCs w:val="44"/>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b/>
          <w:kern w:val="0"/>
          <w:sz w:val="24"/>
        </w:rPr>
      </w:pPr>
      <w:r>
        <w:rPr>
          <w:rFonts w:eastAsia="仿宋_GB2312"/>
          <w:b/>
          <w:kern w:val="0"/>
          <w:sz w:val="24"/>
        </w:rPr>
        <w:t>填报单位：</w:t>
      </w:r>
    </w:p>
    <w:tbl>
      <w:tblPr>
        <w:tblStyle w:val="14"/>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kern w:val="0"/>
                <w:sz w:val="24"/>
              </w:rPr>
            </w:pPr>
            <w:r>
              <w:rPr>
                <w:rFonts w:eastAsia="仿宋_GB2312"/>
                <w:b/>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eastAsia="仿宋_GB2312"/>
                <w:b/>
                <w:bCs/>
                <w:kern w:val="0"/>
                <w:sz w:val="24"/>
              </w:rPr>
              <w:t>2018年实际在职人数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kern w:val="0"/>
                <w:sz w:val="24"/>
              </w:rPr>
            </w:pPr>
            <w:r>
              <w:rPr>
                <w:rFonts w:eastAsia="仿宋_GB2312"/>
                <w:b/>
                <w:kern w:val="0"/>
                <w:sz w:val="24"/>
              </w:rPr>
              <w:t>　143</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kern w:val="0"/>
                <w:sz w:val="24"/>
              </w:rPr>
            </w:pPr>
            <w:r>
              <w:rPr>
                <w:rFonts w:eastAsia="仿宋_GB2312"/>
                <w:b/>
                <w:kern w:val="0"/>
                <w:sz w:val="24"/>
              </w:rPr>
              <w:t>137　</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kern w:val="0"/>
                <w:sz w:val="24"/>
              </w:rPr>
            </w:pPr>
            <w:r>
              <w:rPr>
                <w:rFonts w:eastAsia="仿宋_GB2312"/>
                <w:b/>
                <w:kern w:val="0"/>
                <w:sz w:val="24"/>
              </w:rPr>
              <w:t>　95.80%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b/>
                <w:kern w:val="0"/>
                <w:sz w:val="24"/>
              </w:rPr>
            </w:pPr>
            <w:r>
              <w:rPr>
                <w:rFonts w:eastAsia="仿宋_GB2312"/>
                <w:b/>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2017年决算数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2018年预算数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2018年决算数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9.30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8.00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8.00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3.00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3.00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3.00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6.30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5.90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5.90</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53.00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48.50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182.50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895.48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108.42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108.42</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部门整体支出预算调整 </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楼堂馆所控制情况</w:t>
            </w:r>
            <w:r>
              <w:rPr>
                <w:rFonts w:eastAsia="仿宋_GB2312"/>
                <w:kern w:val="0"/>
                <w:sz w:val="24"/>
              </w:rPr>
              <w:br w:type="textWrapping"/>
            </w:r>
            <w:r>
              <w:rPr>
                <w:rFonts w:eastAsia="仿宋_GB2312"/>
                <w:kern w:val="0"/>
                <w:sz w:val="24"/>
              </w:rPr>
              <w:t>（2018年完工项目）</w:t>
            </w:r>
          </w:p>
        </w:tc>
        <w:tc>
          <w:tcPr>
            <w:tcW w:w="1190" w:type="dxa"/>
            <w:tcBorders>
              <w:top w:val="nil"/>
              <w:left w:val="nil"/>
              <w:bottom w:val="single" w:color="auto" w:sz="4" w:space="0"/>
              <w:right w:val="single" w:color="auto" w:sz="4" w:space="0"/>
            </w:tcBorders>
            <w:vAlign w:val="center"/>
          </w:tcPr>
          <w:p>
            <w:pPr>
              <w:widowControl/>
              <w:jc w:val="center"/>
              <w:rPr>
                <w:rFonts w:eastAsia="仿宋_GB2312"/>
                <w:b/>
                <w:bCs/>
                <w:kern w:val="0"/>
                <w:sz w:val="24"/>
              </w:rPr>
            </w:pPr>
            <w:r>
              <w:rPr>
                <w:rFonts w:eastAsia="仿宋_GB2312"/>
                <w:b/>
                <w:bCs/>
                <w:kern w:val="0"/>
                <w:sz w:val="24"/>
              </w:rPr>
              <w:t>批复规模</w:t>
            </w:r>
            <w:r>
              <w:rPr>
                <w:rFonts w:eastAsia="仿宋_GB2312"/>
                <w:b/>
                <w:bCs/>
                <w:kern w:val="0"/>
                <w:sz w:val="24"/>
              </w:rPr>
              <w:br w:type="textWrapping"/>
            </w:r>
            <w:r>
              <w:rPr>
                <w:rFonts w:eastAsia="仿宋_GB2312"/>
                <w:b/>
                <w:bCs/>
                <w:kern w:val="0"/>
                <w:sz w:val="24"/>
              </w:rPr>
              <w:t>（</w:t>
            </w:r>
            <w:r>
              <w:rPr>
                <w:b/>
                <w:bCs/>
                <w:kern w:val="0"/>
                <w:sz w:val="24"/>
              </w:rPr>
              <w:t>㎡</w:t>
            </w:r>
            <w:r>
              <w:rPr>
                <w:rFonts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eastAsia="仿宋_GB2312"/>
                <w:b/>
                <w:bCs/>
                <w:kern w:val="0"/>
                <w:sz w:val="24"/>
              </w:rPr>
            </w:pPr>
            <w:r>
              <w:rPr>
                <w:rFonts w:eastAsia="仿宋_GB2312"/>
                <w:b/>
                <w:bCs/>
                <w:kern w:val="0"/>
                <w:sz w:val="24"/>
              </w:rPr>
              <w:t>实际规模（</w:t>
            </w:r>
            <w:r>
              <w:rPr>
                <w:b/>
                <w:bCs/>
                <w:kern w:val="0"/>
                <w:sz w:val="24"/>
              </w:rPr>
              <w:t>㎡</w:t>
            </w:r>
            <w:r>
              <w:rPr>
                <w:rFonts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eastAsia="仿宋_GB2312"/>
                <w:b/>
                <w:bCs/>
                <w:kern w:val="0"/>
                <w:sz w:val="24"/>
              </w:rPr>
            </w:pPr>
            <w:r>
              <w:rPr>
                <w:rFonts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eastAsia="仿宋_GB2312"/>
                <w:b/>
                <w:bCs/>
                <w:kern w:val="0"/>
                <w:sz w:val="24"/>
              </w:rPr>
            </w:pPr>
            <w:r>
              <w:rPr>
                <w:rFonts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eastAsia="仿宋_GB2312"/>
                <w:b/>
                <w:bCs/>
                <w:kern w:val="0"/>
                <w:sz w:val="24"/>
              </w:rPr>
            </w:pPr>
            <w:r>
              <w:rPr>
                <w:rFonts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eastAsia="仿宋_GB2312"/>
                <w:b/>
                <w:bCs/>
                <w:kern w:val="0"/>
                <w:sz w:val="24"/>
              </w:rPr>
            </w:pPr>
            <w:r>
              <w:rPr>
                <w:rFonts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w:t>
            </w:r>
          </w:p>
        </w:tc>
        <w:tc>
          <w:tcPr>
            <w:tcW w:w="113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w:t>
            </w:r>
          </w:p>
        </w:tc>
        <w:tc>
          <w:tcPr>
            <w:tcW w:w="1465"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w:t>
            </w:r>
          </w:p>
        </w:tc>
        <w:tc>
          <w:tcPr>
            <w:tcW w:w="864"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rPr>
                <w:rFonts w:eastAsia="仿宋_GB2312"/>
                <w:kern w:val="0"/>
                <w:sz w:val="24"/>
              </w:rPr>
            </w:pPr>
            <w:r>
              <w:rPr>
                <w:rFonts w:eastAsia="仿宋_GB2312"/>
                <w:kern w:val="0"/>
                <w:sz w:val="24"/>
              </w:rPr>
              <w:t>严格按照财务规章制度，合法合规开支，严控车辆运行经费，加强国内差旅和因公出国（境）经费审批管理，强化公务接待管理，加强全局工作人员节约意识，减少水电、办公耗材等专出。制定了《财政财务管理制度》、《岘山镇村级工程建设项目资金管理办法》、《固定资产管理制度》、《合同管理管理制度》、《政府采购管理制度》、《财务收支管理制度》等办法　。</w:t>
            </w:r>
          </w:p>
        </w:tc>
      </w:tr>
    </w:tbl>
    <w:p>
      <w:pPr>
        <w:spacing w:line="360" w:lineRule="auto"/>
        <w:rPr>
          <w:rFonts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spacing w:line="560" w:lineRule="exact"/>
        <w:rPr>
          <w:rFonts w:eastAsia="仿宋_GB2312"/>
          <w:kern w:val="0"/>
          <w:sz w:val="32"/>
          <w:szCs w:val="32"/>
        </w:rPr>
      </w:pPr>
      <w:r>
        <w:rPr>
          <w:rFonts w:eastAsia="仿宋_GB2312"/>
          <w:kern w:val="0"/>
          <w:sz w:val="32"/>
          <w:szCs w:val="32"/>
        </w:rPr>
        <w:t>附件2：</w:t>
      </w:r>
    </w:p>
    <w:p>
      <w:pPr>
        <w:spacing w:line="560" w:lineRule="exact"/>
        <w:jc w:val="center"/>
        <w:rPr>
          <w:rFonts w:eastAsia="方正小标宋_GBK"/>
          <w:kern w:val="0"/>
          <w:sz w:val="36"/>
          <w:szCs w:val="36"/>
        </w:rPr>
      </w:pPr>
      <w:r>
        <w:rPr>
          <w:rFonts w:eastAsia="方正小标宋_GBK"/>
          <w:kern w:val="0"/>
          <w:sz w:val="36"/>
          <w:szCs w:val="36"/>
        </w:rPr>
        <w:t>2018年度衡阳县岘山镇人民政府部门整体支出绩效评价指标评分表</w:t>
      </w:r>
    </w:p>
    <w:tbl>
      <w:tblPr>
        <w:tblStyle w:val="14"/>
        <w:tblW w:w="4997" w:type="pct"/>
        <w:tblInd w:w="0" w:type="dxa"/>
        <w:tblLayout w:type="autofit"/>
        <w:tblCellMar>
          <w:top w:w="0" w:type="dxa"/>
          <w:left w:w="0" w:type="dxa"/>
          <w:bottom w:w="0" w:type="dxa"/>
          <w:right w:w="0" w:type="dxa"/>
        </w:tblCellMar>
      </w:tblPr>
      <w:tblGrid>
        <w:gridCol w:w="856"/>
        <w:gridCol w:w="937"/>
        <w:gridCol w:w="613"/>
        <w:gridCol w:w="1986"/>
        <w:gridCol w:w="599"/>
        <w:gridCol w:w="4652"/>
        <w:gridCol w:w="582"/>
        <w:gridCol w:w="3755"/>
      </w:tblGrid>
      <w:tr>
        <w:tblPrEx>
          <w:tblCellMar>
            <w:top w:w="0" w:type="dxa"/>
            <w:left w:w="0" w:type="dxa"/>
            <w:bottom w:w="0" w:type="dxa"/>
            <w:right w:w="0" w:type="dxa"/>
          </w:tblCellMar>
        </w:tblPrEx>
        <w:trPr>
          <w:trHeight w:val="407" w:hRule="atLeast"/>
          <w:tblHeader/>
        </w:trPr>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b/>
                <w:bCs/>
                <w:sz w:val="20"/>
                <w:szCs w:val="20"/>
              </w:rPr>
            </w:pPr>
            <w:r>
              <w:rPr>
                <w:rFonts w:eastAsia="仿宋_GB2312"/>
                <w:b/>
                <w:bCs/>
                <w:kern w:val="0"/>
                <w:sz w:val="20"/>
                <w:szCs w:val="20"/>
              </w:rPr>
              <w:t>一级指标</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b/>
                <w:bCs/>
                <w:sz w:val="20"/>
                <w:szCs w:val="20"/>
              </w:rPr>
            </w:pPr>
            <w:r>
              <w:rPr>
                <w:rFonts w:eastAsia="仿宋_GB2312"/>
                <w:b/>
                <w:bCs/>
                <w:kern w:val="0"/>
                <w:sz w:val="20"/>
                <w:szCs w:val="20"/>
              </w:rPr>
              <w:t>二级指标</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b/>
                <w:bCs/>
                <w:sz w:val="20"/>
                <w:szCs w:val="20"/>
              </w:rPr>
            </w:pPr>
            <w:r>
              <w:rPr>
                <w:rFonts w:eastAsia="仿宋_GB2312"/>
                <w:b/>
                <w:bCs/>
                <w:kern w:val="0"/>
                <w:sz w:val="20"/>
                <w:szCs w:val="20"/>
              </w:rPr>
              <w:t>分值</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b/>
                <w:bCs/>
                <w:sz w:val="20"/>
                <w:szCs w:val="20"/>
              </w:rPr>
            </w:pPr>
            <w:r>
              <w:rPr>
                <w:rFonts w:eastAsia="仿宋_GB2312"/>
                <w:b/>
                <w:bCs/>
                <w:kern w:val="0"/>
                <w:sz w:val="20"/>
                <w:szCs w:val="20"/>
              </w:rPr>
              <w:t>三级指标</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b/>
                <w:bCs/>
                <w:sz w:val="20"/>
                <w:szCs w:val="20"/>
              </w:rPr>
            </w:pPr>
            <w:r>
              <w:rPr>
                <w:rFonts w:eastAsia="仿宋_GB2312"/>
                <w:b/>
                <w:bCs/>
                <w:kern w:val="0"/>
                <w:sz w:val="20"/>
                <w:szCs w:val="20"/>
              </w:rPr>
              <w:t>分值</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b/>
                <w:bCs/>
                <w:sz w:val="20"/>
                <w:szCs w:val="20"/>
              </w:rPr>
            </w:pPr>
            <w:r>
              <w:rPr>
                <w:rFonts w:eastAsia="仿宋_GB2312"/>
                <w:b/>
                <w:bCs/>
                <w:kern w:val="0"/>
                <w:sz w:val="20"/>
                <w:szCs w:val="20"/>
              </w:rPr>
              <w:t>评价标准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b/>
                <w:bCs/>
                <w:sz w:val="20"/>
                <w:szCs w:val="20"/>
              </w:rPr>
            </w:pPr>
            <w:r>
              <w:rPr>
                <w:rFonts w:eastAsia="仿宋_GB2312"/>
                <w:b/>
                <w:bCs/>
                <w:kern w:val="0"/>
                <w:sz w:val="20"/>
                <w:szCs w:val="20"/>
              </w:rPr>
              <w:t>得分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b/>
                <w:bCs/>
                <w:sz w:val="20"/>
                <w:szCs w:val="20"/>
              </w:rPr>
            </w:pPr>
            <w:r>
              <w:rPr>
                <w:rFonts w:eastAsia="仿宋_GB2312"/>
                <w:b/>
                <w:bCs/>
                <w:kern w:val="0"/>
                <w:sz w:val="20"/>
                <w:szCs w:val="20"/>
              </w:rPr>
              <w:t>备  注</w:t>
            </w:r>
          </w:p>
        </w:tc>
      </w:tr>
      <w:tr>
        <w:tblPrEx>
          <w:tblCellMar>
            <w:top w:w="0" w:type="dxa"/>
            <w:left w:w="0" w:type="dxa"/>
            <w:bottom w:w="0" w:type="dxa"/>
            <w:right w:w="0" w:type="dxa"/>
          </w:tblCellMar>
        </w:tblPrEx>
        <w:trPr>
          <w:trHeight w:val="24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widowControl/>
              <w:ind w:left="113" w:right="113"/>
              <w:jc w:val="center"/>
              <w:textAlignment w:val="center"/>
              <w:rPr>
                <w:rFonts w:eastAsia="仿宋_GB2312"/>
                <w:sz w:val="20"/>
                <w:szCs w:val="20"/>
              </w:rPr>
            </w:pPr>
            <w:r>
              <w:rPr>
                <w:rFonts w:eastAsia="仿宋_GB2312"/>
                <w:kern w:val="0"/>
                <w:sz w:val="20"/>
                <w:szCs w:val="20"/>
              </w:rPr>
              <w:t>投   入</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目标设定</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5</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绩效目标合理性</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3</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①目标符合发展总体规划，1分；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kern w:val="0"/>
                <w:sz w:val="20"/>
                <w:szCs w:val="20"/>
              </w:rPr>
            </w:pPr>
            <w:r>
              <w:rPr>
                <w:rFonts w:eastAsia="仿宋_GB2312"/>
                <w:kern w:val="0"/>
                <w:sz w:val="20"/>
                <w:szCs w:val="20"/>
              </w:rPr>
              <w:t>1</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目标符合发展总体规划；目标符合部门三定方案确定的职责；目标符合部门制定的中长期实施规划。</w:t>
            </w:r>
          </w:p>
        </w:tc>
      </w:tr>
      <w:tr>
        <w:tblPrEx>
          <w:tblCellMar>
            <w:top w:w="0" w:type="dxa"/>
            <w:left w:w="0" w:type="dxa"/>
            <w:bottom w:w="0" w:type="dxa"/>
            <w:right w:w="0" w:type="dxa"/>
          </w:tblCellMar>
        </w:tblPrEx>
        <w:trPr>
          <w:trHeight w:val="479"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②目标符合部门三定方案确定的职责，1分；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sz w:val="20"/>
                <w:szCs w:val="20"/>
              </w:rPr>
              <w:t>1</w:t>
            </w: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eastAsia="仿宋_GB2312"/>
                <w:sz w:val="20"/>
                <w:szCs w:val="20"/>
              </w:rPr>
            </w:pPr>
          </w:p>
        </w:tc>
      </w:tr>
      <w:tr>
        <w:tblPrEx>
          <w:tblCellMar>
            <w:top w:w="0" w:type="dxa"/>
            <w:left w:w="0" w:type="dxa"/>
            <w:bottom w:w="0" w:type="dxa"/>
            <w:right w:w="0" w:type="dxa"/>
          </w:tblCellMar>
        </w:tblPrEx>
        <w:trPr>
          <w:trHeight w:val="389"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③目标符合部门制定的中长期实施规划，1分。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sz w:val="20"/>
                <w:szCs w:val="20"/>
              </w:rPr>
              <w:t>1</w:t>
            </w: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eastAsia="仿宋_GB2312"/>
                <w:sz w:val="20"/>
                <w:szCs w:val="20"/>
              </w:rPr>
            </w:pPr>
          </w:p>
        </w:tc>
      </w:tr>
      <w:tr>
        <w:tblPrEx>
          <w:tblCellMar>
            <w:top w:w="0" w:type="dxa"/>
            <w:left w:w="0" w:type="dxa"/>
            <w:bottom w:w="0" w:type="dxa"/>
            <w:right w:w="0" w:type="dxa"/>
          </w:tblCellMar>
        </w:tblPrEx>
        <w:trPr>
          <w:trHeight w:val="791"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绩效指标明确性</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①目标细化、指标值量化，1分；                                                                                      ②目标与年度任务或计划数相对应，0.5分；                                                                                                                                                                             ③目标与本年度部门预算资金相匹配，0.5分。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sz w:val="20"/>
                <w:szCs w:val="20"/>
              </w:rPr>
              <w:t>1</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指标设置不够细化量化。</w:t>
            </w:r>
          </w:p>
        </w:tc>
      </w:tr>
      <w:tr>
        <w:tblPrEx>
          <w:tblCellMar>
            <w:top w:w="0" w:type="dxa"/>
            <w:left w:w="0" w:type="dxa"/>
            <w:bottom w:w="0" w:type="dxa"/>
            <w:right w:w="0" w:type="dxa"/>
          </w:tblCellMar>
        </w:tblPrEx>
        <w:trPr>
          <w:trHeight w:val="644"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预算配置</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12</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财政供养人员控制率</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Style w:val="20"/>
                <w:rFonts w:ascii="Times New Roman" w:cs="Times New Roman"/>
                <w:color w:val="auto"/>
              </w:rPr>
              <w:t>以100%为标准。在职人员控制率</w:t>
            </w:r>
            <w:r>
              <w:rPr>
                <w:rStyle w:val="21"/>
                <w:rFonts w:hint="default" w:ascii="Times New Roman" w:hAnsi="Times New Roman" w:cs="Times New Roman"/>
                <w:color w:val="auto"/>
              </w:rPr>
              <w:t>≦</w:t>
            </w:r>
            <w:r>
              <w:rPr>
                <w:rStyle w:val="20"/>
                <w:rFonts w:ascii="Times New Roman" w:cs="Times New Roman"/>
                <w:color w:val="auto"/>
              </w:rPr>
              <w:t>100%，计4分；每超过一个百分点扣0.3分，扣完为止。</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财政供养人员控制率为95.80%。</w:t>
            </w:r>
          </w:p>
        </w:tc>
      </w:tr>
      <w:tr>
        <w:tblPrEx>
          <w:tblCellMar>
            <w:top w:w="0" w:type="dxa"/>
            <w:left w:w="0" w:type="dxa"/>
            <w:bottom w:w="0" w:type="dxa"/>
            <w:right w:w="0" w:type="dxa"/>
          </w:tblCellMar>
        </w:tblPrEx>
        <w:trPr>
          <w:trHeight w:val="524"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“三公经费”变动率</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Style w:val="20"/>
                <w:rFonts w:ascii="Times New Roman" w:cs="Times New Roman"/>
                <w:color w:val="auto"/>
              </w:rPr>
              <w:t>“三公经费”变动率</w:t>
            </w:r>
            <w:r>
              <w:rPr>
                <w:rStyle w:val="21"/>
                <w:rFonts w:hint="default" w:ascii="Times New Roman" w:hAnsi="Times New Roman" w:cs="Times New Roman"/>
                <w:color w:val="auto"/>
              </w:rPr>
              <w:t>≦</w:t>
            </w:r>
            <w:r>
              <w:rPr>
                <w:rStyle w:val="20"/>
                <w:rFonts w:ascii="Times New Roman" w:cs="Times New Roman"/>
                <w:color w:val="auto"/>
              </w:rPr>
              <w:t>0,计4分；“三公经费”＞0，每超过一个百分点扣0.3分，扣完为止。</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“三公经费”变动率为-6.35%。</w:t>
            </w:r>
          </w:p>
        </w:tc>
      </w:tr>
      <w:tr>
        <w:tblPrEx>
          <w:tblCellMar>
            <w:top w:w="0" w:type="dxa"/>
            <w:left w:w="0" w:type="dxa"/>
            <w:bottom w:w="0" w:type="dxa"/>
            <w:right w:w="0" w:type="dxa"/>
          </w:tblCellMar>
        </w:tblPrEx>
        <w:trPr>
          <w:trHeight w:val="881"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重点支出安排率</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重点支出安排率≥90%，计4分；80%（含）-90%，计3分；70%（含）-80%，计2分；60%（含）-70%，计1分；低于60%不得分。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重点支出安排率为100%。</w:t>
            </w:r>
          </w:p>
        </w:tc>
      </w:tr>
      <w:tr>
        <w:tblPrEx>
          <w:tblCellMar>
            <w:top w:w="0" w:type="dxa"/>
            <w:left w:w="0" w:type="dxa"/>
            <w:bottom w:w="0" w:type="dxa"/>
            <w:right w:w="0" w:type="dxa"/>
          </w:tblCellMar>
        </w:tblPrEx>
        <w:trPr>
          <w:trHeight w:val="881"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r>
              <w:rPr>
                <w:rFonts w:eastAsia="仿宋_GB2312"/>
                <w:sz w:val="20"/>
                <w:szCs w:val="20"/>
              </w:rPr>
              <w:t>预算执行</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16</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预算调整率</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预算调整率=0，计4分；0-10%（含），计3, 分；10-20%（含），计2分；20-30%（含），计1分；大于30%不得分。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3</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预算调整率为3.95%。</w:t>
            </w:r>
          </w:p>
        </w:tc>
      </w:tr>
      <w:tr>
        <w:tblPrEx>
          <w:tblCellMar>
            <w:top w:w="0" w:type="dxa"/>
            <w:left w:w="0" w:type="dxa"/>
            <w:bottom w:w="0" w:type="dxa"/>
            <w:right w:w="0" w:type="dxa"/>
          </w:tblCellMar>
        </w:tblPrEx>
        <w:trPr>
          <w:trHeight w:val="659"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支出进度</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每发生一个项目未按进度要求完成资金下达的扣1分，扣完为止。</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资金拨付及时。</w:t>
            </w:r>
          </w:p>
        </w:tc>
      </w:tr>
      <w:tr>
        <w:tblPrEx>
          <w:tblCellMar>
            <w:top w:w="0" w:type="dxa"/>
            <w:left w:w="0" w:type="dxa"/>
            <w:bottom w:w="0" w:type="dxa"/>
            <w:right w:w="0" w:type="dxa"/>
          </w:tblCellMar>
        </w:tblPrEx>
        <w:trPr>
          <w:trHeight w:val="644"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资金结余</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无结余，4分；有结余，但不超过上年结转，2分；结余超过上年结转，不得分。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年末结余198.72万元，未超过上年度。</w:t>
            </w:r>
          </w:p>
        </w:tc>
      </w:tr>
      <w:tr>
        <w:tblPrEx>
          <w:tblCellMar>
            <w:top w:w="0" w:type="dxa"/>
            <w:left w:w="0" w:type="dxa"/>
            <w:bottom w:w="0" w:type="dxa"/>
            <w:right w:w="0" w:type="dxa"/>
          </w:tblCellMar>
        </w:tblPrEx>
        <w:trPr>
          <w:trHeight w:val="659"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“三公经费”控制率</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Style w:val="20"/>
                <w:rFonts w:ascii="Times New Roman" w:cs="Times New Roman"/>
                <w:color w:val="auto"/>
              </w:rPr>
              <w:t>以100%为标准。三公经费控制率</w:t>
            </w:r>
            <w:r>
              <w:rPr>
                <w:rStyle w:val="21"/>
                <w:rFonts w:hint="default" w:ascii="Times New Roman" w:hAnsi="Times New Roman" w:cs="Times New Roman"/>
                <w:color w:val="auto"/>
              </w:rPr>
              <w:t>≦</w:t>
            </w:r>
            <w:r>
              <w:rPr>
                <w:rStyle w:val="20"/>
                <w:rFonts w:ascii="Times New Roman" w:cs="Times New Roman"/>
                <w:color w:val="auto"/>
              </w:rPr>
              <w:t>100%，计4分；每超过一个百分点扣1分，扣完为止。</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发现有2.4万公务用车运行费未计入“三公经费”，实际“三公经费”控制率为140.68%。</w:t>
            </w:r>
          </w:p>
        </w:tc>
      </w:tr>
      <w:tr>
        <w:tblPrEx>
          <w:tblCellMar>
            <w:top w:w="0" w:type="dxa"/>
            <w:left w:w="0" w:type="dxa"/>
            <w:bottom w:w="0" w:type="dxa"/>
            <w:right w:w="0" w:type="dxa"/>
          </w:tblCellMar>
        </w:tblPrEx>
        <w:trPr>
          <w:trHeight w:val="72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widowControl/>
              <w:ind w:left="113" w:right="113"/>
              <w:jc w:val="center"/>
              <w:textAlignment w:val="center"/>
              <w:rPr>
                <w:rFonts w:eastAsia="仿宋_GB2312"/>
                <w:sz w:val="20"/>
                <w:szCs w:val="20"/>
              </w:rPr>
            </w:pPr>
            <w:r>
              <w:rPr>
                <w:rFonts w:eastAsia="仿宋_GB2312"/>
                <w:kern w:val="0"/>
                <w:sz w:val="20"/>
                <w:szCs w:val="20"/>
              </w:rPr>
              <w:t>过      程</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预算管理</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14</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管理制度健全性</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3</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①已制定或具有预算资金管理办法，内部财务管理制度、会计核算制度等管理制度，1分；②相关管理制度合法、合规、完整，1分；③相关管理制度得到有效执行，1分。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3</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具有预算资金管理办法，内部财务管理制度、会计核算制度等管理制度，相关管理制度合法、合规、完整，且得到有效执行。</w:t>
            </w:r>
          </w:p>
        </w:tc>
      </w:tr>
      <w:tr>
        <w:tblPrEx>
          <w:tblCellMar>
            <w:top w:w="0" w:type="dxa"/>
            <w:left w:w="0" w:type="dxa"/>
            <w:bottom w:w="0" w:type="dxa"/>
            <w:right w:w="0" w:type="dxa"/>
          </w:tblCellMar>
        </w:tblPrEx>
        <w:trPr>
          <w:trHeight w:val="2249"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资金使用合规性</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6</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Style w:val="20"/>
                <w:rFonts w:ascii="Times New Roman" w:cs="Times New Roman"/>
                <w:color w:val="auto"/>
              </w:rPr>
              <w:t>①支出符合国家财经法规和财务管理制度规定以及有关专项资金管理办法的规定，</w:t>
            </w:r>
            <w:r>
              <w:rPr>
                <w:rStyle w:val="22"/>
                <w:rFonts w:ascii="Times New Roman" w:cs="Times New Roman"/>
                <w:color w:val="auto"/>
              </w:rPr>
              <w:t>1分</w:t>
            </w:r>
            <w:r>
              <w:rPr>
                <w:rStyle w:val="20"/>
                <w:rFonts w:ascii="Times New Roman" w:cs="Times New Roman"/>
                <w:color w:val="auto"/>
              </w:rPr>
              <w:t>；②资金拨付有完整的审批程序和手续，</w:t>
            </w:r>
            <w:r>
              <w:rPr>
                <w:rStyle w:val="22"/>
                <w:rFonts w:ascii="Times New Roman" w:cs="Times New Roman"/>
                <w:color w:val="auto"/>
              </w:rPr>
              <w:t>1分</w:t>
            </w:r>
            <w:r>
              <w:rPr>
                <w:rStyle w:val="20"/>
                <w:rFonts w:ascii="Times New Roman" w:cs="Times New Roman"/>
                <w:color w:val="auto"/>
              </w:rPr>
              <w:t>；③项目支出按规定经过评估论证，</w:t>
            </w:r>
            <w:r>
              <w:rPr>
                <w:rStyle w:val="22"/>
                <w:rFonts w:ascii="Times New Roman" w:cs="Times New Roman"/>
                <w:color w:val="auto"/>
              </w:rPr>
              <w:t>1分</w:t>
            </w:r>
            <w:r>
              <w:rPr>
                <w:rStyle w:val="20"/>
                <w:rFonts w:ascii="Times New Roman" w:cs="Times New Roman"/>
                <w:color w:val="auto"/>
              </w:rPr>
              <w:t>；④支出符合部门预算批复的用途，</w:t>
            </w:r>
            <w:r>
              <w:rPr>
                <w:rStyle w:val="22"/>
                <w:rFonts w:ascii="Times New Roman" w:cs="Times New Roman"/>
                <w:color w:val="auto"/>
              </w:rPr>
              <w:t>1分</w:t>
            </w:r>
            <w:r>
              <w:rPr>
                <w:rStyle w:val="20"/>
                <w:rFonts w:ascii="Times New Roman" w:cs="Times New Roman"/>
                <w:color w:val="auto"/>
              </w:rPr>
              <w:t>；⑤资金使用无截留、挤占、挪用、虚列支出、</w:t>
            </w:r>
            <w:r>
              <w:rPr>
                <w:rStyle w:val="23"/>
                <w:rFonts w:hint="default" w:ascii="Times New Roman" w:hAnsi="Times New Roman" w:eastAsia="仿宋_GB2312" w:cs="Times New Roman"/>
                <w:color w:val="auto"/>
              </w:rPr>
              <w:t>大额现金支付、违规借出(占用)、乱发滥补、虚报冒领，转嫁支出、乱开户乱存放、私设小金库</w:t>
            </w:r>
            <w:r>
              <w:rPr>
                <w:rStyle w:val="20"/>
                <w:rFonts w:ascii="Times New Roman" w:cs="Times New Roman"/>
                <w:color w:val="auto"/>
              </w:rPr>
              <w:t>等情况，</w:t>
            </w:r>
            <w:r>
              <w:rPr>
                <w:rStyle w:val="22"/>
                <w:rFonts w:ascii="Times New Roman" w:cs="Times New Roman"/>
                <w:color w:val="auto"/>
              </w:rPr>
              <w:t>2</w:t>
            </w:r>
            <w:r>
              <w:rPr>
                <w:rStyle w:val="20"/>
                <w:rFonts w:ascii="Times New Roman" w:cs="Times New Roman"/>
                <w:color w:val="auto"/>
              </w:rPr>
              <w:t>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存在发票抬头填写不规范的情况扣1分；存在大额现金支付的情况扣1分。</w:t>
            </w:r>
          </w:p>
        </w:tc>
      </w:tr>
      <w:tr>
        <w:tblPrEx>
          <w:tblCellMar>
            <w:top w:w="0" w:type="dxa"/>
            <w:left w:w="0" w:type="dxa"/>
            <w:bottom w:w="0" w:type="dxa"/>
            <w:right w:w="0" w:type="dxa"/>
          </w:tblCellMar>
        </w:tblPrEx>
        <w:trPr>
          <w:trHeight w:val="1134"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预决算信息公开性和完善性</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5</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2018年决算公开数据欠准确。</w:t>
            </w:r>
          </w:p>
        </w:tc>
      </w:tr>
      <w:tr>
        <w:tblPrEx>
          <w:tblCellMar>
            <w:top w:w="0" w:type="dxa"/>
            <w:left w:w="0" w:type="dxa"/>
            <w:bottom w:w="0" w:type="dxa"/>
            <w:right w:w="0" w:type="dxa"/>
          </w:tblCellMar>
        </w:tblPrEx>
        <w:trPr>
          <w:trHeight w:val="1134"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资产管理</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8</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管理制度健全性</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 xml:space="preserve">①已制定或具有资产管理制度，0.5分；②相关资产管理制度合法、合规、完整，0.5分；③相关资产管理制度得到有效执行，1分。                                           </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已具有资产管理制度，相关资产管理制度合法、合规、完整，且得到有效执行。</w:t>
            </w:r>
          </w:p>
        </w:tc>
      </w:tr>
      <w:tr>
        <w:tblPrEx>
          <w:tblCellMar>
            <w:top w:w="0" w:type="dxa"/>
            <w:left w:w="0" w:type="dxa"/>
            <w:bottom w:w="0" w:type="dxa"/>
            <w:right w:w="0" w:type="dxa"/>
          </w:tblCellMar>
        </w:tblPrEx>
        <w:trPr>
          <w:trHeight w:val="1134"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资产管理安全性</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5</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①资产保存完整；②资产配置合理；③资产处置规范；④资产账务管理合规，帐实相符；⑤资产有偿使用及处置收入及时足额上缴；以上情况每出现一例不符合有关要求的扣1分，扣完为止。</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5</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部门（单位）的资产保存完整，使用合规、配置合理、处置规范、收入及时足额上缴。</w:t>
            </w:r>
          </w:p>
        </w:tc>
      </w:tr>
      <w:tr>
        <w:tblPrEx>
          <w:tblCellMar>
            <w:top w:w="0" w:type="dxa"/>
            <w:left w:w="0" w:type="dxa"/>
            <w:bottom w:w="0" w:type="dxa"/>
            <w:right w:w="0" w:type="dxa"/>
          </w:tblCellMar>
        </w:tblPrEx>
        <w:trPr>
          <w:trHeight w:val="404"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ind w:left="113" w:right="113"/>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固定资产利用率</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1</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每低于100%一个百分点扣0.1分，扣完为止。</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1</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固定资产利用率100%。</w:t>
            </w:r>
          </w:p>
        </w:tc>
      </w:tr>
      <w:tr>
        <w:tblPrEx>
          <w:tblCellMar>
            <w:top w:w="0" w:type="dxa"/>
            <w:left w:w="0" w:type="dxa"/>
            <w:bottom w:w="0" w:type="dxa"/>
            <w:right w:w="0" w:type="dxa"/>
          </w:tblCellMar>
        </w:tblPrEx>
        <w:trPr>
          <w:trHeight w:val="1134"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widowControl/>
              <w:ind w:left="113" w:right="113"/>
              <w:jc w:val="center"/>
              <w:textAlignment w:val="center"/>
              <w:rPr>
                <w:rFonts w:eastAsia="仿宋_GB2312"/>
                <w:sz w:val="20"/>
                <w:szCs w:val="20"/>
              </w:rPr>
            </w:pPr>
            <w:r>
              <w:rPr>
                <w:rFonts w:eastAsia="仿宋_GB2312"/>
                <w:kern w:val="0"/>
                <w:sz w:val="20"/>
                <w:szCs w:val="20"/>
              </w:rPr>
              <w:t>产  出</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职责履行</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15</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工作目标完成情况</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15</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Style w:val="20"/>
                <w:rFonts w:ascii="Times New Roman" w:cs="Times New Roman"/>
                <w:color w:val="auto"/>
              </w:rPr>
              <w:t>根据本部门履行职责和年度工作计划完成情况，适情打分。建议参考</w:t>
            </w:r>
            <w:r>
              <w:rPr>
                <w:rStyle w:val="22"/>
                <w:rFonts w:ascii="Times New Roman" w:cs="Times New Roman"/>
                <w:color w:val="auto"/>
              </w:rPr>
              <w:t>县</w:t>
            </w:r>
            <w:r>
              <w:rPr>
                <w:rStyle w:val="20"/>
                <w:rFonts w:ascii="Times New Roman" w:cs="Times New Roman"/>
                <w:color w:val="auto"/>
              </w:rPr>
              <w:t>绩效考核办</w:t>
            </w:r>
            <w:r>
              <w:rPr>
                <w:rStyle w:val="22"/>
                <w:rFonts w:ascii="Times New Roman" w:cs="Times New Roman"/>
                <w:color w:val="auto"/>
              </w:rPr>
              <w:t>2018</w:t>
            </w:r>
            <w:r>
              <w:rPr>
                <w:rStyle w:val="20"/>
                <w:rFonts w:ascii="Times New Roman" w:cs="Times New Roman"/>
                <w:color w:val="auto"/>
              </w:rPr>
              <w:t>年对各部门工作目标任务完成情况考核打分。考核结果优秀计15分，良好计12分，合格计9分。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12</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岘山镇2018年目标管理绩效考核为良好乡镇。</w:t>
            </w:r>
          </w:p>
        </w:tc>
      </w:tr>
      <w:tr>
        <w:tblPrEx>
          <w:tblCellMar>
            <w:top w:w="0" w:type="dxa"/>
            <w:left w:w="0" w:type="dxa"/>
            <w:bottom w:w="0" w:type="dxa"/>
            <w:right w:w="0" w:type="dxa"/>
          </w:tblCellMar>
        </w:tblPrEx>
        <w:trPr>
          <w:trHeight w:val="48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LrV"/>
            <w:vAlign w:val="center"/>
          </w:tcPr>
          <w:p>
            <w:pPr>
              <w:widowControl/>
              <w:ind w:left="113" w:right="113"/>
              <w:jc w:val="center"/>
              <w:textAlignment w:val="center"/>
              <w:rPr>
                <w:rFonts w:eastAsia="仿宋_GB2312"/>
                <w:sz w:val="20"/>
                <w:szCs w:val="20"/>
              </w:rPr>
            </w:pPr>
            <w:r>
              <w:rPr>
                <w:rFonts w:eastAsia="仿宋_GB2312"/>
                <w:kern w:val="0"/>
                <w:sz w:val="20"/>
                <w:szCs w:val="20"/>
              </w:rPr>
              <w:t>效 果</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履职效益</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30</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经济效益</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发展特色农业经济，带动村域农、林、牧、渔经济发展，计2分。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已大力发展油茶、金槐、八月果等特色农林种植业，继续推动甲鱼、小龙虾、山黄鸡等特色养殖业。</w:t>
            </w:r>
          </w:p>
        </w:tc>
      </w:tr>
      <w:tr>
        <w:tblPrEx>
          <w:tblCellMar>
            <w:top w:w="0" w:type="dxa"/>
            <w:left w:w="0" w:type="dxa"/>
            <w:bottom w:w="0" w:type="dxa"/>
            <w:right w:w="0" w:type="dxa"/>
          </w:tblCellMar>
        </w:tblPrEx>
        <w:trPr>
          <w:trHeight w:val="4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社会效益</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完成确权颁证工作，2018年底全面完成农村土地承包经营权登记颁证工作，计2分。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已通过省、县验收。</w:t>
            </w:r>
          </w:p>
        </w:tc>
      </w:tr>
      <w:tr>
        <w:tblPrEx>
          <w:tblCellMar>
            <w:top w:w="0" w:type="dxa"/>
            <w:left w:w="0" w:type="dxa"/>
            <w:bottom w:w="0" w:type="dxa"/>
            <w:right w:w="0" w:type="dxa"/>
          </w:tblCellMar>
        </w:tblPrEx>
        <w:trPr>
          <w:trHeight w:val="24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发展新型农业主体50家，计2分。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已发展新型农业主体57家。</w:t>
            </w:r>
          </w:p>
        </w:tc>
      </w:tr>
      <w:tr>
        <w:tblPrEx>
          <w:tblCellMar>
            <w:top w:w="0" w:type="dxa"/>
            <w:left w:w="0" w:type="dxa"/>
            <w:bottom w:w="0" w:type="dxa"/>
            <w:right w:w="0" w:type="dxa"/>
          </w:tblCellMar>
        </w:tblPrEx>
        <w:trPr>
          <w:trHeight w:val="72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道路基础设施建设，完成中兴大道提质改造，计1分；完成村组道路硬化5公里，计1分；完成村组道路加宽12公里，计1分；完成一条长2.2公里省级二级公路标准的县道，计1分。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已完成中兴大道改造；完成村组道路硬化7公里；完成村组道路加宽12公里；已完成一条2.2公里的县道。</w:t>
            </w:r>
          </w:p>
        </w:tc>
      </w:tr>
      <w:tr>
        <w:tblPrEx>
          <w:tblCellMar>
            <w:top w:w="0" w:type="dxa"/>
            <w:left w:w="0" w:type="dxa"/>
            <w:bottom w:w="0" w:type="dxa"/>
            <w:right w:w="0" w:type="dxa"/>
          </w:tblCellMar>
        </w:tblPrEx>
        <w:trPr>
          <w:trHeight w:val="24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综治维稳工作，根据考核情况评分。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获2018年度衡阳市综治工作先进乡镇。</w:t>
            </w:r>
          </w:p>
        </w:tc>
      </w:tr>
      <w:tr>
        <w:tblPrEx>
          <w:tblCellMar>
            <w:top w:w="0" w:type="dxa"/>
            <w:left w:w="0" w:type="dxa"/>
            <w:bottom w:w="0" w:type="dxa"/>
            <w:right w:w="0" w:type="dxa"/>
          </w:tblCellMar>
        </w:tblPrEx>
        <w:trPr>
          <w:trHeight w:val="4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1</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建设1个以上法制宣传专栏，开辟1块以上“法治乡镇建设宣传牌”，达到得满分，否则不得分。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1</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完成法制宣传专栏建设。</w:t>
            </w:r>
          </w:p>
        </w:tc>
      </w:tr>
      <w:tr>
        <w:tblPrEx>
          <w:tblCellMar>
            <w:top w:w="0" w:type="dxa"/>
            <w:left w:w="0" w:type="dxa"/>
            <w:bottom w:w="0" w:type="dxa"/>
            <w:right w:w="0" w:type="dxa"/>
          </w:tblCellMar>
        </w:tblPrEx>
        <w:trPr>
          <w:trHeight w:val="96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水利工程基础设施建设，对骨干塘及主干渠进行全面清淤，计1分；完成水利工程建设项目10个，计1分；完成新增5座小二型水库危险水利工程的规划设计，计1分；及时修复檀西干渠的和平土坝计1分。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完成渠道清淤286公里；完成水利工程建设项目12个；完成5座水利工程规划设计；维修水毁工程20余处。</w:t>
            </w:r>
          </w:p>
        </w:tc>
      </w:tr>
      <w:tr>
        <w:tblPrEx>
          <w:tblCellMar>
            <w:top w:w="0" w:type="dxa"/>
            <w:left w:w="0" w:type="dxa"/>
            <w:bottom w:w="0" w:type="dxa"/>
            <w:right w:w="0" w:type="dxa"/>
          </w:tblCellMar>
        </w:tblPrEx>
        <w:trPr>
          <w:trHeight w:val="72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3</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农村环境整治，整治群众反响强烈的污染场所，狠抓养殖业生态环保工作以及持续推进农村环境卫生综合整治工作，计3分。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3</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对群众反响污染严重的易市非法搅拌站进行拆除；整改123家养殖场，关停5家养殖场；对农村环境卫生实行常态性保洁和生态环境治理。</w:t>
            </w:r>
          </w:p>
        </w:tc>
      </w:tr>
      <w:tr>
        <w:tblPrEx>
          <w:tblCellMar>
            <w:top w:w="0" w:type="dxa"/>
            <w:left w:w="0" w:type="dxa"/>
            <w:bottom w:w="0" w:type="dxa"/>
            <w:right w:w="0" w:type="dxa"/>
          </w:tblCellMar>
        </w:tblPrEx>
        <w:trPr>
          <w:trHeight w:val="427"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人口计生工作，根据考核情况评分。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sz w:val="20"/>
                <w:szCs w:val="20"/>
              </w:rPr>
            </w:pPr>
            <w:r>
              <w:rPr>
                <w:rFonts w:eastAsia="仿宋_GB2312"/>
                <w:kern w:val="0"/>
                <w:sz w:val="20"/>
                <w:szCs w:val="20"/>
              </w:rPr>
              <w:t>2018年度计划生育工作综合排名全县第一。</w:t>
            </w:r>
          </w:p>
        </w:tc>
      </w:tr>
      <w:tr>
        <w:tblPrEx>
          <w:tblCellMar>
            <w:top w:w="0" w:type="dxa"/>
            <w:left w:w="0" w:type="dxa"/>
            <w:bottom w:w="0" w:type="dxa"/>
            <w:right w:w="0" w:type="dxa"/>
          </w:tblCellMar>
        </w:tblPrEx>
        <w:trPr>
          <w:trHeight w:val="72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社会公众或服务对象满意度</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3</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以调查问卷为依据，满意度≥90%为优，85%≤满意度＜90%为良，80%≤满意度＜85%，满意度＜80%为不合格，机关工作满意度优3分、良2分、合格1分、不合格0分。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2</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满意度86.25%。</w:t>
            </w:r>
          </w:p>
        </w:tc>
      </w:tr>
      <w:tr>
        <w:tblPrEx>
          <w:tblCellMar>
            <w:top w:w="0" w:type="dxa"/>
            <w:left w:w="0" w:type="dxa"/>
            <w:bottom w:w="0" w:type="dxa"/>
            <w:right w:w="0" w:type="dxa"/>
          </w:tblCellMar>
        </w:tblPrEx>
        <w:trPr>
          <w:trHeight w:val="4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sz w:val="20"/>
                <w:szCs w:val="20"/>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5</w:t>
            </w:r>
          </w:p>
        </w:tc>
        <w:tc>
          <w:tcPr>
            <w:tcW w:w="1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以调查问卷为依据，部门整体工作满意度≥95%计5分；每低5%扣1分，满意度＜75%计0分。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4</w:t>
            </w:r>
          </w:p>
        </w:tc>
        <w:tc>
          <w:tcPr>
            <w:tcW w:w="1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eastAsia="仿宋_GB2312"/>
                <w:sz w:val="20"/>
                <w:szCs w:val="20"/>
              </w:rPr>
            </w:pPr>
            <w:r>
              <w:rPr>
                <w:rFonts w:eastAsia="仿宋_GB2312"/>
                <w:kern w:val="0"/>
                <w:sz w:val="20"/>
                <w:szCs w:val="20"/>
              </w:rPr>
              <w:t>满意度86.75%.</w:t>
            </w:r>
          </w:p>
        </w:tc>
      </w:tr>
      <w:tr>
        <w:tblPrEx>
          <w:tblCellMar>
            <w:top w:w="0" w:type="dxa"/>
            <w:left w:w="0" w:type="dxa"/>
            <w:bottom w:w="0" w:type="dxa"/>
            <w:right w:w="0" w:type="dxa"/>
          </w:tblCellMar>
        </w:tblPrEx>
        <w:trPr>
          <w:trHeight w:val="387" w:hRule="atLeast"/>
        </w:trPr>
        <w:tc>
          <w:tcPr>
            <w:tcW w:w="157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合计</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100</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eastAsia="仿宋_GB2312"/>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_GB2312"/>
                <w:sz w:val="20"/>
                <w:szCs w:val="20"/>
              </w:rPr>
            </w:pPr>
            <w:r>
              <w:rPr>
                <w:rFonts w:eastAsia="仿宋_GB2312"/>
                <w:kern w:val="0"/>
                <w:sz w:val="20"/>
                <w:szCs w:val="20"/>
              </w:rPr>
              <w:t>84</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eastAsia="仿宋_GB2312"/>
                <w:sz w:val="20"/>
                <w:szCs w:val="20"/>
              </w:rPr>
            </w:pPr>
          </w:p>
        </w:tc>
      </w:tr>
    </w:tbl>
    <w:p>
      <w:pPr>
        <w:spacing w:line="560" w:lineRule="exact"/>
        <w:rPr>
          <w:rFonts w:eastAsia="黑体"/>
          <w:kern w:val="0"/>
          <w:sz w:val="28"/>
          <w:szCs w:val="28"/>
        </w:rPr>
      </w:pPr>
    </w:p>
    <w:p>
      <w:pPr>
        <w:spacing w:line="360" w:lineRule="auto"/>
        <w:rPr>
          <w:rFonts w:eastAsia="仿宋_GB2312"/>
          <w:sz w:val="32"/>
          <w:szCs w:val="32"/>
        </w:rPr>
      </w:pPr>
    </w:p>
    <w:p>
      <w:pPr>
        <w:spacing w:line="360" w:lineRule="auto"/>
        <w:rPr>
          <w:rFonts w:eastAsia="仿宋_GB2312"/>
          <w:sz w:val="32"/>
          <w:szCs w:val="32"/>
        </w:rPr>
        <w:sectPr>
          <w:pgSz w:w="16838" w:h="11906" w:orient="landscape"/>
          <w:pgMar w:top="1800" w:right="1440" w:bottom="1800" w:left="1440" w:header="851" w:footer="992" w:gutter="0"/>
          <w:cols w:space="425" w:num="1"/>
          <w:docGrid w:type="lines" w:linePitch="312" w:charSpace="0"/>
        </w:sectPr>
      </w:pPr>
    </w:p>
    <w:p>
      <w:pPr>
        <w:spacing w:line="360" w:lineRule="auto"/>
        <w:rPr>
          <w:rFonts w:eastAsia="黑体"/>
          <w:bCs/>
          <w:color w:val="000000"/>
          <w:kern w:val="0"/>
          <w:sz w:val="28"/>
          <w:szCs w:val="28"/>
        </w:rPr>
      </w:pPr>
      <w:r>
        <w:rPr>
          <w:rFonts w:eastAsia="黑体"/>
          <w:bCs/>
          <w:color w:val="000000"/>
          <w:kern w:val="0"/>
          <w:sz w:val="28"/>
          <w:szCs w:val="28"/>
        </w:rPr>
        <w:t>附件3：</w:t>
      </w:r>
    </w:p>
    <w:p>
      <w:pPr>
        <w:spacing w:line="360" w:lineRule="auto"/>
        <w:jc w:val="center"/>
        <w:rPr>
          <w:rFonts w:eastAsia="仿宋_GB2312"/>
          <w:bCs/>
          <w:color w:val="000000"/>
          <w:kern w:val="0"/>
          <w:sz w:val="32"/>
          <w:szCs w:val="32"/>
        </w:rPr>
      </w:pPr>
      <w:r>
        <w:rPr>
          <w:rFonts w:eastAsia="仿宋_GB2312"/>
          <w:bCs/>
          <w:color w:val="000000"/>
          <w:kern w:val="0"/>
          <w:sz w:val="32"/>
          <w:szCs w:val="32"/>
        </w:rPr>
        <w:t>衡阳县岘山镇政府满意度问卷调查结果</w:t>
      </w:r>
    </w:p>
    <w:p>
      <w:pPr>
        <w:spacing w:line="360" w:lineRule="auto"/>
        <w:ind w:firstLine="640" w:firstLineChars="200"/>
        <w:rPr>
          <w:rFonts w:eastAsia="仿宋_GB2312"/>
          <w:sz w:val="32"/>
          <w:szCs w:val="32"/>
        </w:rPr>
      </w:pPr>
      <w:r>
        <w:rPr>
          <w:rFonts w:eastAsia="仿宋_GB2312"/>
          <w:sz w:val="32"/>
          <w:szCs w:val="32"/>
        </w:rPr>
        <w:t>2019年11月5日至11月8日，我们对衡阳县岘山镇2018年度整体绩效情况进行了满意度问卷调查，结果如下：</w:t>
      </w:r>
    </w:p>
    <w:p>
      <w:pPr>
        <w:spacing w:line="360" w:lineRule="auto"/>
        <w:ind w:firstLine="640" w:firstLineChars="200"/>
        <w:rPr>
          <w:rFonts w:eastAsia="仿宋_GB2312"/>
          <w:sz w:val="32"/>
          <w:szCs w:val="32"/>
        </w:rPr>
      </w:pPr>
      <w:r>
        <w:rPr>
          <w:rFonts w:eastAsia="仿宋_GB2312"/>
          <w:sz w:val="32"/>
          <w:szCs w:val="32"/>
        </w:rPr>
        <w:t>调查组向社会公众和服务对象发放问卷，对衡阳县岘山镇政府工作情况进行满意度调查，共发放问卷100份，收回有效问卷80份。调查结果选项有5项：非常满意、满意、一般、不满意、非常不满意，加权分值依次为：5分、4分、3分、2分、0分。汇总调查对象相应问题的分值后，除以总分值（调查对象人数*满分5分），得出整体满意度。</w:t>
      </w:r>
    </w:p>
    <w:p>
      <w:pPr>
        <w:spacing w:line="360" w:lineRule="auto"/>
        <w:ind w:firstLine="640" w:firstLineChars="200"/>
        <w:rPr>
          <w:rFonts w:eastAsia="仿宋_GB2312"/>
          <w:sz w:val="32"/>
          <w:szCs w:val="32"/>
        </w:rPr>
      </w:pPr>
      <w:r>
        <w:rPr>
          <w:rFonts w:eastAsia="仿宋_GB2312"/>
          <w:sz w:val="32"/>
          <w:szCs w:val="32"/>
        </w:rPr>
        <w:t>服务对象和社会公众对衡阳县岘山镇政府工作态度满意度调查结果如下：表示非常满意的28人；表示满意的49人；表示一般的3人；表示不满意的0人；表示非常不满意的0人。通过加权平均计算，2018年度服务对象和社会公众对岘山镇政府工作态度的满意度为86.25%。</w:t>
      </w:r>
    </w:p>
    <w:p>
      <w:pPr>
        <w:spacing w:line="360" w:lineRule="auto"/>
        <w:ind w:firstLine="640" w:firstLineChars="200"/>
        <w:rPr>
          <w:rFonts w:eastAsia="仿宋_GB2312"/>
          <w:sz w:val="32"/>
          <w:szCs w:val="32"/>
        </w:rPr>
      </w:pPr>
      <w:r>
        <w:rPr>
          <w:rFonts w:eastAsia="仿宋_GB2312"/>
          <w:sz w:val="32"/>
          <w:szCs w:val="32"/>
        </w:rPr>
        <w:t>服务对象和社会公众对衡阳县岘山镇政府整体工作满意度调查结果如下：表示非常满意的28人；表示满意的51人；表示一般的1人；表示不满意的0人；表示非常不满意的0人。通过加权平均计算，2018年度服务对象和社会公众对</w:t>
      </w:r>
      <w:r>
        <w:rPr>
          <w:rFonts w:eastAsia="仿宋_GB2312"/>
          <w:bCs/>
          <w:color w:val="000000"/>
          <w:kern w:val="0"/>
          <w:sz w:val="32"/>
          <w:szCs w:val="32"/>
        </w:rPr>
        <w:t>衡阳县岘山镇政府</w:t>
      </w:r>
      <w:r>
        <w:rPr>
          <w:rFonts w:eastAsia="仿宋_GB2312"/>
          <w:sz w:val="32"/>
          <w:szCs w:val="32"/>
        </w:rPr>
        <w:t>整体工作的满意度为86.75%。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14FC3"/>
    <w:multiLevelType w:val="singleLevel"/>
    <w:tmpl w:val="BBB14FC3"/>
    <w:lvl w:ilvl="0" w:tentative="0">
      <w:start w:val="6"/>
      <w:numFmt w:val="chineseCounting"/>
      <w:suff w:val="nothing"/>
      <w:lvlText w:val="%1、"/>
      <w:lvlJc w:val="left"/>
      <w:rPr>
        <w:rFonts w:hint="eastAsia"/>
      </w:rPr>
    </w:lvl>
  </w:abstractNum>
  <w:abstractNum w:abstractNumId="1">
    <w:nsid w:val="42D16FBE"/>
    <w:multiLevelType w:val="singleLevel"/>
    <w:tmpl w:val="42D16FBE"/>
    <w:lvl w:ilvl="0" w:tentative="0">
      <w:start w:val="7"/>
      <w:numFmt w:val="chineseCounting"/>
      <w:suff w:val="nothing"/>
      <w:lvlText w:val="（%1）"/>
      <w:lvlJc w:val="left"/>
      <w:rPr>
        <w:rFonts w:hint="eastAsia"/>
      </w:rPr>
    </w:lvl>
  </w:abstractNum>
  <w:abstractNum w:abstractNumId="2">
    <w:nsid w:val="5A7D1DA8"/>
    <w:multiLevelType w:val="singleLevel"/>
    <w:tmpl w:val="5A7D1DA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1F204C3"/>
    <w:rsid w:val="00044CAF"/>
    <w:rsid w:val="00060F42"/>
    <w:rsid w:val="00071330"/>
    <w:rsid w:val="000B12E6"/>
    <w:rsid w:val="000D407B"/>
    <w:rsid w:val="00111ABC"/>
    <w:rsid w:val="00126BF7"/>
    <w:rsid w:val="00140C57"/>
    <w:rsid w:val="001427D2"/>
    <w:rsid w:val="00145C23"/>
    <w:rsid w:val="001978F1"/>
    <w:rsid w:val="001A310C"/>
    <w:rsid w:val="001B157E"/>
    <w:rsid w:val="001B3389"/>
    <w:rsid w:val="001C325A"/>
    <w:rsid w:val="001E53D3"/>
    <w:rsid w:val="00212855"/>
    <w:rsid w:val="00241462"/>
    <w:rsid w:val="0025460C"/>
    <w:rsid w:val="002604D9"/>
    <w:rsid w:val="002A15B1"/>
    <w:rsid w:val="00315D4E"/>
    <w:rsid w:val="00332937"/>
    <w:rsid w:val="00352A83"/>
    <w:rsid w:val="00362FB5"/>
    <w:rsid w:val="003654A6"/>
    <w:rsid w:val="00372B1E"/>
    <w:rsid w:val="003A7C8F"/>
    <w:rsid w:val="003B0319"/>
    <w:rsid w:val="003C46A5"/>
    <w:rsid w:val="003E7D77"/>
    <w:rsid w:val="0040484D"/>
    <w:rsid w:val="00422E7A"/>
    <w:rsid w:val="00423CD7"/>
    <w:rsid w:val="004246E6"/>
    <w:rsid w:val="00426099"/>
    <w:rsid w:val="00433EB3"/>
    <w:rsid w:val="00436B2E"/>
    <w:rsid w:val="004805BB"/>
    <w:rsid w:val="004A7ECB"/>
    <w:rsid w:val="004C0C17"/>
    <w:rsid w:val="004F18BA"/>
    <w:rsid w:val="005354D5"/>
    <w:rsid w:val="00552C58"/>
    <w:rsid w:val="0057395D"/>
    <w:rsid w:val="005773D7"/>
    <w:rsid w:val="0058799B"/>
    <w:rsid w:val="00587F4C"/>
    <w:rsid w:val="005B174C"/>
    <w:rsid w:val="005B634A"/>
    <w:rsid w:val="005E4B56"/>
    <w:rsid w:val="005F13B2"/>
    <w:rsid w:val="00603F2D"/>
    <w:rsid w:val="00623385"/>
    <w:rsid w:val="00641A41"/>
    <w:rsid w:val="0064314A"/>
    <w:rsid w:val="006765B2"/>
    <w:rsid w:val="00736301"/>
    <w:rsid w:val="00770813"/>
    <w:rsid w:val="00786057"/>
    <w:rsid w:val="007C2500"/>
    <w:rsid w:val="007C7925"/>
    <w:rsid w:val="007D7CA3"/>
    <w:rsid w:val="007E05FB"/>
    <w:rsid w:val="00816743"/>
    <w:rsid w:val="008543C0"/>
    <w:rsid w:val="00854A64"/>
    <w:rsid w:val="00865903"/>
    <w:rsid w:val="00867868"/>
    <w:rsid w:val="008725C5"/>
    <w:rsid w:val="00896683"/>
    <w:rsid w:val="008C3F57"/>
    <w:rsid w:val="008F64D5"/>
    <w:rsid w:val="009103E4"/>
    <w:rsid w:val="00923D1E"/>
    <w:rsid w:val="00927E9B"/>
    <w:rsid w:val="00931119"/>
    <w:rsid w:val="009479AB"/>
    <w:rsid w:val="009A55B7"/>
    <w:rsid w:val="009C3DB0"/>
    <w:rsid w:val="009E3934"/>
    <w:rsid w:val="009F777B"/>
    <w:rsid w:val="00A37C4C"/>
    <w:rsid w:val="00A4474C"/>
    <w:rsid w:val="00A84FB4"/>
    <w:rsid w:val="00AB39E3"/>
    <w:rsid w:val="00AE451B"/>
    <w:rsid w:val="00AF6800"/>
    <w:rsid w:val="00AF6A5B"/>
    <w:rsid w:val="00AF6CAF"/>
    <w:rsid w:val="00B00282"/>
    <w:rsid w:val="00B13719"/>
    <w:rsid w:val="00B50696"/>
    <w:rsid w:val="00B57324"/>
    <w:rsid w:val="00B80314"/>
    <w:rsid w:val="00BC7467"/>
    <w:rsid w:val="00BD43DA"/>
    <w:rsid w:val="00C25B75"/>
    <w:rsid w:val="00C43616"/>
    <w:rsid w:val="00C5458D"/>
    <w:rsid w:val="00C970D8"/>
    <w:rsid w:val="00C97E4A"/>
    <w:rsid w:val="00CB3042"/>
    <w:rsid w:val="00CC023B"/>
    <w:rsid w:val="00CC7972"/>
    <w:rsid w:val="00CE2BC0"/>
    <w:rsid w:val="00D24086"/>
    <w:rsid w:val="00D426CD"/>
    <w:rsid w:val="00D47B4C"/>
    <w:rsid w:val="00D86EAC"/>
    <w:rsid w:val="00DB16B9"/>
    <w:rsid w:val="00DB66B2"/>
    <w:rsid w:val="00DB7EEF"/>
    <w:rsid w:val="00DC21EA"/>
    <w:rsid w:val="00DD0212"/>
    <w:rsid w:val="00DD1BFC"/>
    <w:rsid w:val="00DE05CA"/>
    <w:rsid w:val="00E22B92"/>
    <w:rsid w:val="00E87C2C"/>
    <w:rsid w:val="00EA0FD5"/>
    <w:rsid w:val="00F12135"/>
    <w:rsid w:val="00F27DDE"/>
    <w:rsid w:val="00F407E3"/>
    <w:rsid w:val="00F667D9"/>
    <w:rsid w:val="00F6788A"/>
    <w:rsid w:val="00F73D03"/>
    <w:rsid w:val="00F904F4"/>
    <w:rsid w:val="01552AF1"/>
    <w:rsid w:val="060A5CC9"/>
    <w:rsid w:val="07A953C0"/>
    <w:rsid w:val="08871B3D"/>
    <w:rsid w:val="0C883A62"/>
    <w:rsid w:val="0DA90D10"/>
    <w:rsid w:val="0EED0D7D"/>
    <w:rsid w:val="0F3E5CC3"/>
    <w:rsid w:val="0FC523FD"/>
    <w:rsid w:val="105A744E"/>
    <w:rsid w:val="12731BE9"/>
    <w:rsid w:val="12A42A9B"/>
    <w:rsid w:val="12D0311E"/>
    <w:rsid w:val="14001F9C"/>
    <w:rsid w:val="14803A4F"/>
    <w:rsid w:val="1487367F"/>
    <w:rsid w:val="15F7644D"/>
    <w:rsid w:val="18C235C3"/>
    <w:rsid w:val="18F2442F"/>
    <w:rsid w:val="1A547F56"/>
    <w:rsid w:val="1B542C69"/>
    <w:rsid w:val="1CAE40AF"/>
    <w:rsid w:val="1CB34BF2"/>
    <w:rsid w:val="1CF10CDC"/>
    <w:rsid w:val="1EB342BD"/>
    <w:rsid w:val="1F9013C2"/>
    <w:rsid w:val="23AB6B9F"/>
    <w:rsid w:val="23B11043"/>
    <w:rsid w:val="27C35DEE"/>
    <w:rsid w:val="284B3024"/>
    <w:rsid w:val="28EB3197"/>
    <w:rsid w:val="2929490F"/>
    <w:rsid w:val="2A1B2F7E"/>
    <w:rsid w:val="2A2F45AF"/>
    <w:rsid w:val="2B7A6539"/>
    <w:rsid w:val="2BAB1F85"/>
    <w:rsid w:val="2BF30F94"/>
    <w:rsid w:val="2CC36348"/>
    <w:rsid w:val="2CF16FA0"/>
    <w:rsid w:val="2DCF30AA"/>
    <w:rsid w:val="2EDA6732"/>
    <w:rsid w:val="2F5F0776"/>
    <w:rsid w:val="2F7239A2"/>
    <w:rsid w:val="32C554B1"/>
    <w:rsid w:val="33262870"/>
    <w:rsid w:val="35E306D7"/>
    <w:rsid w:val="36AB0547"/>
    <w:rsid w:val="37253A81"/>
    <w:rsid w:val="37301203"/>
    <w:rsid w:val="38AD594E"/>
    <w:rsid w:val="3DA2594B"/>
    <w:rsid w:val="3F85397F"/>
    <w:rsid w:val="3F911BBB"/>
    <w:rsid w:val="41F204C3"/>
    <w:rsid w:val="44153E23"/>
    <w:rsid w:val="46744E09"/>
    <w:rsid w:val="467502F4"/>
    <w:rsid w:val="48E01982"/>
    <w:rsid w:val="49E0691F"/>
    <w:rsid w:val="4A5122A6"/>
    <w:rsid w:val="4BEF3D2E"/>
    <w:rsid w:val="4C6B0C1F"/>
    <w:rsid w:val="4D773AE4"/>
    <w:rsid w:val="4F201F03"/>
    <w:rsid w:val="50874241"/>
    <w:rsid w:val="50AB77E7"/>
    <w:rsid w:val="541E2DF1"/>
    <w:rsid w:val="553953C8"/>
    <w:rsid w:val="56087E73"/>
    <w:rsid w:val="566B0FB4"/>
    <w:rsid w:val="56EA5F2D"/>
    <w:rsid w:val="57861185"/>
    <w:rsid w:val="57F4214B"/>
    <w:rsid w:val="58364BF9"/>
    <w:rsid w:val="5AF65072"/>
    <w:rsid w:val="5C216C08"/>
    <w:rsid w:val="5C6D475B"/>
    <w:rsid w:val="5CB36A44"/>
    <w:rsid w:val="5D265717"/>
    <w:rsid w:val="5D3517CE"/>
    <w:rsid w:val="5E1A7960"/>
    <w:rsid w:val="5E603720"/>
    <w:rsid w:val="5EFF6B4D"/>
    <w:rsid w:val="5FD3122C"/>
    <w:rsid w:val="607C648F"/>
    <w:rsid w:val="621C25CF"/>
    <w:rsid w:val="63A04BBE"/>
    <w:rsid w:val="64F07F7E"/>
    <w:rsid w:val="67023A61"/>
    <w:rsid w:val="67282F86"/>
    <w:rsid w:val="6967358F"/>
    <w:rsid w:val="6ABC5A77"/>
    <w:rsid w:val="6BD212D2"/>
    <w:rsid w:val="6C193252"/>
    <w:rsid w:val="6D516F96"/>
    <w:rsid w:val="6DCE41A7"/>
    <w:rsid w:val="6F0A4174"/>
    <w:rsid w:val="6FC61C39"/>
    <w:rsid w:val="7058056D"/>
    <w:rsid w:val="71432AC1"/>
    <w:rsid w:val="74375ABE"/>
    <w:rsid w:val="746C5D64"/>
    <w:rsid w:val="75112C38"/>
    <w:rsid w:val="75EE75E7"/>
    <w:rsid w:val="77E41C4C"/>
    <w:rsid w:val="79721462"/>
    <w:rsid w:val="7E49135C"/>
    <w:rsid w:val="7E5D68E3"/>
    <w:rsid w:val="7E7C019B"/>
    <w:rsid w:val="7F193F20"/>
    <w:rsid w:val="7FCB7E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line="360" w:lineRule="auto"/>
      <w:jc w:val="left"/>
      <w:outlineLvl w:val="0"/>
    </w:pPr>
    <w:rPr>
      <w:rFonts w:eastAsia="黑体"/>
      <w:bCs/>
      <w:kern w:val="44"/>
      <w:sz w:val="32"/>
      <w:szCs w:val="44"/>
    </w:rPr>
  </w:style>
  <w:style w:type="paragraph" w:styleId="3">
    <w:name w:val="heading 2"/>
    <w:basedOn w:val="1"/>
    <w:next w:val="1"/>
    <w:qFormat/>
    <w:uiPriority w:val="9"/>
    <w:pPr>
      <w:keepNext/>
      <w:keepLines/>
      <w:spacing w:line="413" w:lineRule="auto"/>
      <w:jc w:val="left"/>
      <w:outlineLvl w:val="1"/>
    </w:pPr>
    <w:rPr>
      <w:rFonts w:ascii="Arial" w:hAnsi="Arial" w:eastAsia="楷体"/>
      <w:b/>
      <w:sz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qFormat/>
    <w:uiPriority w:val="0"/>
    <w:rPr>
      <w:rFonts w:ascii="宋体"/>
      <w:sz w:val="18"/>
      <w:szCs w:val="18"/>
    </w:rPr>
  </w:style>
  <w:style w:type="paragraph" w:styleId="5">
    <w:name w:val="annotation text"/>
    <w:basedOn w:val="1"/>
    <w:link w:val="26"/>
    <w:qFormat/>
    <w:uiPriority w:val="0"/>
    <w:pPr>
      <w:jc w:val="left"/>
    </w:pPr>
  </w:style>
  <w:style w:type="paragraph" w:styleId="6">
    <w:name w:val="Body Text"/>
    <w:basedOn w:val="1"/>
    <w:unhideWhenUsed/>
    <w:qFormat/>
    <w:uiPriority w:val="99"/>
    <w:pPr>
      <w:ind w:left="120"/>
    </w:pPr>
    <w:rPr>
      <w:rFonts w:ascii="仿宋" w:hAnsi="仿宋" w:eastAsia="仿宋" w:cs="仿宋"/>
      <w:sz w:val="32"/>
      <w:szCs w:val="32"/>
      <w:lang w:val="zh-CN" w:bidi="zh-CN"/>
    </w:rPr>
  </w:style>
  <w:style w:type="paragraph" w:styleId="7">
    <w:name w:val="toc 3"/>
    <w:basedOn w:val="1"/>
    <w:next w:val="1"/>
    <w:qFormat/>
    <w:uiPriority w:val="39"/>
    <w:pPr>
      <w:ind w:left="840" w:leftChars="400"/>
    </w:pPr>
  </w:style>
  <w:style w:type="paragraph" w:styleId="8">
    <w:name w:val="Balloon Text"/>
    <w:basedOn w:val="1"/>
    <w:link w:val="28"/>
    <w:qFormat/>
    <w:uiPriority w:val="0"/>
    <w:rPr>
      <w:sz w:val="18"/>
      <w:szCs w:val="18"/>
    </w:rPr>
  </w:style>
  <w:style w:type="paragraph" w:styleId="9">
    <w:name w:val="footer"/>
    <w:basedOn w:val="1"/>
    <w:link w:val="25"/>
    <w:qFormat/>
    <w:uiPriority w:val="0"/>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778"/>
      </w:tabs>
      <w:spacing w:before="120" w:after="120"/>
    </w:pPr>
    <w:rPr>
      <w:b/>
      <w:caps/>
      <w:sz w:val="36"/>
      <w:szCs w:val="20"/>
    </w:rPr>
  </w:style>
  <w:style w:type="paragraph" w:styleId="12">
    <w:name w:val="toc 2"/>
    <w:basedOn w:val="1"/>
    <w:next w:val="1"/>
    <w:qFormat/>
    <w:uiPriority w:val="39"/>
    <w:pPr>
      <w:ind w:left="420" w:leftChars="200"/>
    </w:pPr>
  </w:style>
  <w:style w:type="paragraph" w:styleId="13">
    <w:name w:val="annotation subject"/>
    <w:basedOn w:val="5"/>
    <w:next w:val="5"/>
    <w:link w:val="27"/>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rPr>
  </w:style>
  <w:style w:type="character" w:styleId="18">
    <w:name w:val="annotation reference"/>
    <w:basedOn w:val="16"/>
    <w:qFormat/>
    <w:uiPriority w:val="0"/>
    <w:rPr>
      <w:sz w:val="21"/>
      <w:szCs w:val="21"/>
    </w:rPr>
  </w:style>
  <w:style w:type="character" w:customStyle="1" w:styleId="19">
    <w:name w:val="font01"/>
    <w:basedOn w:val="16"/>
    <w:qFormat/>
    <w:uiPriority w:val="0"/>
    <w:rPr>
      <w:rFonts w:hint="eastAsia" w:ascii="宋体" w:hAnsi="宋体" w:eastAsia="宋体" w:cs="宋体"/>
      <w:color w:val="000000"/>
      <w:sz w:val="22"/>
      <w:szCs w:val="22"/>
      <w:u w:val="none"/>
    </w:rPr>
  </w:style>
  <w:style w:type="character" w:customStyle="1" w:styleId="20">
    <w:name w:val="font91"/>
    <w:basedOn w:val="16"/>
    <w:qFormat/>
    <w:uiPriority w:val="0"/>
    <w:rPr>
      <w:rFonts w:hint="default" w:ascii="仿宋_GB2312" w:eastAsia="仿宋_GB2312" w:cs="仿宋_GB2312"/>
      <w:color w:val="333333"/>
      <w:sz w:val="20"/>
      <w:szCs w:val="20"/>
      <w:u w:val="none"/>
    </w:rPr>
  </w:style>
  <w:style w:type="character" w:customStyle="1" w:styleId="21">
    <w:name w:val="font31"/>
    <w:basedOn w:val="16"/>
    <w:qFormat/>
    <w:uiPriority w:val="0"/>
    <w:rPr>
      <w:rFonts w:hint="eastAsia" w:ascii="宋体" w:hAnsi="宋体" w:eastAsia="宋体" w:cs="宋体"/>
      <w:color w:val="333333"/>
      <w:sz w:val="20"/>
      <w:szCs w:val="20"/>
      <w:u w:val="none"/>
    </w:rPr>
  </w:style>
  <w:style w:type="character" w:customStyle="1" w:styleId="22">
    <w:name w:val="font11"/>
    <w:basedOn w:val="16"/>
    <w:qFormat/>
    <w:uiPriority w:val="0"/>
    <w:rPr>
      <w:rFonts w:hint="default" w:ascii="仿宋_GB2312" w:eastAsia="仿宋_GB2312" w:cs="仿宋_GB2312"/>
      <w:color w:val="FF0000"/>
      <w:sz w:val="20"/>
      <w:szCs w:val="20"/>
      <w:u w:val="none"/>
    </w:rPr>
  </w:style>
  <w:style w:type="character" w:customStyle="1" w:styleId="23">
    <w:name w:val="font101"/>
    <w:basedOn w:val="16"/>
    <w:qFormat/>
    <w:uiPriority w:val="0"/>
    <w:rPr>
      <w:rFonts w:hint="eastAsia" w:ascii="宋体" w:hAnsi="宋体" w:eastAsia="宋体" w:cs="宋体"/>
      <w:color w:val="FF0000"/>
      <w:sz w:val="20"/>
      <w:szCs w:val="20"/>
      <w:u w:val="none"/>
    </w:rPr>
  </w:style>
  <w:style w:type="character" w:customStyle="1" w:styleId="24">
    <w:name w:val="页眉 Char"/>
    <w:basedOn w:val="16"/>
    <w:link w:val="10"/>
    <w:qFormat/>
    <w:uiPriority w:val="0"/>
    <w:rPr>
      <w:kern w:val="2"/>
      <w:sz w:val="18"/>
      <w:szCs w:val="18"/>
    </w:rPr>
  </w:style>
  <w:style w:type="character" w:customStyle="1" w:styleId="25">
    <w:name w:val="页脚 Char"/>
    <w:basedOn w:val="16"/>
    <w:link w:val="9"/>
    <w:qFormat/>
    <w:uiPriority w:val="0"/>
    <w:rPr>
      <w:kern w:val="2"/>
      <w:sz w:val="18"/>
      <w:szCs w:val="18"/>
    </w:rPr>
  </w:style>
  <w:style w:type="character" w:customStyle="1" w:styleId="26">
    <w:name w:val="批注文字 Char"/>
    <w:basedOn w:val="16"/>
    <w:link w:val="5"/>
    <w:qFormat/>
    <w:uiPriority w:val="0"/>
    <w:rPr>
      <w:kern w:val="2"/>
      <w:sz w:val="21"/>
      <w:szCs w:val="24"/>
    </w:rPr>
  </w:style>
  <w:style w:type="character" w:customStyle="1" w:styleId="27">
    <w:name w:val="批注主题 Char"/>
    <w:basedOn w:val="26"/>
    <w:link w:val="13"/>
    <w:qFormat/>
    <w:uiPriority w:val="0"/>
    <w:rPr>
      <w:b/>
      <w:bCs/>
      <w:kern w:val="2"/>
      <w:sz w:val="21"/>
      <w:szCs w:val="24"/>
    </w:rPr>
  </w:style>
  <w:style w:type="character" w:customStyle="1" w:styleId="28">
    <w:name w:val="批注框文本 Char"/>
    <w:basedOn w:val="16"/>
    <w:link w:val="8"/>
    <w:qFormat/>
    <w:uiPriority w:val="0"/>
    <w:rPr>
      <w:kern w:val="2"/>
      <w:sz w:val="18"/>
      <w:szCs w:val="18"/>
    </w:rPr>
  </w:style>
  <w:style w:type="character" w:customStyle="1" w:styleId="29">
    <w:name w:val="文档结构图 Char"/>
    <w:basedOn w:val="16"/>
    <w:link w:val="4"/>
    <w:qFormat/>
    <w:uiPriority w:val="0"/>
    <w:rPr>
      <w:rFonts w:ascii="宋体"/>
      <w:kern w:val="2"/>
      <w:sz w:val="18"/>
      <w:szCs w:val="18"/>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TOC 标题1"/>
    <w:basedOn w:val="2"/>
    <w:next w:val="1"/>
    <w:semiHidden/>
    <w:unhideWhenUsed/>
    <w:qFormat/>
    <w:uiPriority w:val="39"/>
    <w:pPr>
      <w:widowControl/>
      <w:spacing w:before="480" w:after="0" w:line="276" w:lineRule="auto"/>
      <w:outlineLvl w:val="9"/>
    </w:pPr>
    <w:rPr>
      <w:rFonts w:asciiTheme="majorHAnsi" w:hAnsiTheme="majorHAnsi" w:eastAsiaTheme="majorEastAsia" w:cstheme="majorBidi"/>
      <w:b/>
      <w:color w:val="2E75B5"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DD163-43DB-47FF-AA66-C76661617090}">
  <ds:schemaRefs/>
</ds:datastoreItem>
</file>

<file path=docProps/app.xml><?xml version="1.0" encoding="utf-8"?>
<Properties xmlns="http://schemas.openxmlformats.org/officeDocument/2006/extended-properties" xmlns:vt="http://schemas.openxmlformats.org/officeDocument/2006/docPropsVTypes">
  <Template>Normal</Template>
  <Pages>1</Pages>
  <Words>3012</Words>
  <Characters>17172</Characters>
  <Lines>143</Lines>
  <Paragraphs>40</Paragraphs>
  <TotalTime>100</TotalTime>
  <ScaleCrop>false</ScaleCrop>
  <LinksUpToDate>false</LinksUpToDate>
  <CharactersWithSpaces>20144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2019-10-28T07:47:00Z</dcterms:created>
  <dc:creator>隐形贫困人口</dc:creator>
  <cp:lastModifiedBy>Administrator</cp:lastModifiedBy>
  <cp:lastPrinted>2020-01-02T07:53:00Z</cp:lastPrinted>
  <dcterms:modified xsi:type="dcterms:W3CDTF">2020-01-13T03:42:50Z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