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rPr>
          <w:rFonts w:eastAsia="仿宋_GB2312"/>
          <w:color w:val="auto"/>
          <w:sz w:val="36"/>
          <w:szCs w:val="36"/>
        </w:rPr>
      </w:pPr>
    </w:p>
    <w:p>
      <w:pPr>
        <w:ind w:firstLine="0" w:firstLineChars="0"/>
        <w:rPr>
          <w:color w:val="auto"/>
        </w:rPr>
      </w:pPr>
    </w:p>
    <w:p>
      <w:pPr>
        <w:ind w:firstLine="0" w:firstLineChars="0"/>
        <w:rPr>
          <w:color w:val="auto"/>
        </w:rPr>
      </w:pPr>
    </w:p>
    <w:p>
      <w:pPr>
        <w:ind w:firstLine="0" w:firstLineChars="0"/>
        <w:rPr>
          <w:color w:val="auto"/>
        </w:rPr>
      </w:pPr>
    </w:p>
    <w:p>
      <w:pPr>
        <w:ind w:firstLine="0" w:firstLineChars="0"/>
        <w:rPr>
          <w:color w:val="auto"/>
        </w:rPr>
      </w:pPr>
    </w:p>
    <w:p>
      <w:pPr>
        <w:adjustRightInd w:val="0"/>
        <w:snapToGrid w:val="0"/>
        <w:spacing w:before="192" w:beforeLines="80"/>
        <w:ind w:firstLine="0" w:firstLineChars="0"/>
        <w:jc w:val="center"/>
        <w:rPr>
          <w:rFonts w:ascii="方正小标宋_GBK" w:eastAsia="方正小标宋_GBK"/>
          <w:b w:val="0"/>
          <w:bCs/>
          <w:color w:val="auto"/>
          <w:sz w:val="72"/>
          <w:szCs w:val="72"/>
        </w:rPr>
      </w:pPr>
      <w:r>
        <w:rPr>
          <w:rFonts w:hint="eastAsia" w:ascii="方正小标宋_GBK" w:eastAsia="方正小标宋_GBK"/>
          <w:b w:val="0"/>
          <w:bCs/>
          <w:color w:val="auto"/>
          <w:sz w:val="72"/>
          <w:szCs w:val="72"/>
        </w:rPr>
        <w:t>建设项目环境影响报告表</w:t>
      </w:r>
    </w:p>
    <w:p>
      <w:pPr>
        <w:adjustRightInd w:val="0"/>
        <w:snapToGrid w:val="0"/>
        <w:spacing w:before="192" w:beforeLines="80"/>
        <w:ind w:firstLine="0" w:firstLineChars="0"/>
        <w:jc w:val="center"/>
        <w:rPr>
          <w:rFonts w:eastAsia="楷体_GB2312"/>
          <w:bCs/>
          <w:color w:val="auto"/>
          <w:sz w:val="48"/>
          <w:szCs w:val="48"/>
        </w:rPr>
      </w:pPr>
      <w:r>
        <w:rPr>
          <w:rFonts w:eastAsia="楷体_GB2312"/>
          <w:bCs/>
          <w:color w:val="auto"/>
          <w:sz w:val="48"/>
          <w:szCs w:val="48"/>
        </w:rPr>
        <w:t>（污染影响类）</w:t>
      </w:r>
    </w:p>
    <w:p>
      <w:pPr>
        <w:adjustRightInd w:val="0"/>
        <w:snapToGrid w:val="0"/>
        <w:spacing w:line="288" w:lineRule="auto"/>
        <w:ind w:firstLine="880"/>
        <w:jc w:val="center"/>
        <w:rPr>
          <w:rFonts w:eastAsia="华文仿宋"/>
          <w:color w:val="auto"/>
          <w:kern w:val="44"/>
          <w:sz w:val="44"/>
          <w:szCs w:val="44"/>
        </w:rPr>
      </w:pPr>
    </w:p>
    <w:p>
      <w:pPr>
        <w:ind w:firstLine="880"/>
        <w:rPr>
          <w:rFonts w:eastAsia="仿宋"/>
          <w:color w:val="auto"/>
          <w:sz w:val="44"/>
          <w:szCs w:val="44"/>
        </w:rPr>
      </w:pPr>
    </w:p>
    <w:p>
      <w:pPr>
        <w:ind w:firstLine="880"/>
        <w:rPr>
          <w:rFonts w:eastAsia="仿宋"/>
          <w:color w:val="auto"/>
          <w:sz w:val="44"/>
          <w:szCs w:val="44"/>
        </w:rPr>
      </w:pPr>
    </w:p>
    <w:p>
      <w:pPr>
        <w:ind w:firstLine="880"/>
        <w:rPr>
          <w:rFonts w:eastAsia="仿宋"/>
          <w:color w:val="auto"/>
          <w:sz w:val="44"/>
          <w:szCs w:val="44"/>
        </w:rPr>
      </w:pPr>
    </w:p>
    <w:p>
      <w:pPr>
        <w:adjustRightInd w:val="0"/>
        <w:snapToGrid w:val="0"/>
        <w:spacing w:line="288" w:lineRule="auto"/>
        <w:ind w:left="2520" w:leftChars="300" w:hanging="1800" w:hangingChars="500"/>
        <w:rPr>
          <w:rFonts w:hint="eastAsia" w:ascii="仿宋" w:hAnsi="仿宋" w:eastAsia="仿宋" w:cs="仿宋"/>
          <w:color w:val="auto"/>
          <w:sz w:val="36"/>
          <w:szCs w:val="36"/>
          <w:u w:val="single"/>
        </w:rPr>
      </w:pPr>
      <w:r>
        <w:rPr>
          <w:rFonts w:hint="eastAsia" w:ascii="仿宋" w:hAnsi="仿宋" w:eastAsia="仿宋" w:cs="仿宋"/>
          <w:color w:val="auto"/>
          <w:sz w:val="36"/>
          <w:szCs w:val="36"/>
        </w:rPr>
        <w:t xml:space="preserve">项目名称： </w:t>
      </w:r>
      <w:bookmarkStart w:id="54" w:name="_GoBack"/>
      <w:r>
        <w:rPr>
          <w:rFonts w:hint="eastAsia" w:ascii="仿宋" w:hAnsi="仿宋" w:eastAsia="仿宋" w:cs="仿宋"/>
          <w:color w:val="auto"/>
          <w:sz w:val="36"/>
          <w:szCs w:val="36"/>
          <w:u w:val="single"/>
        </w:rPr>
        <w:t>衡阳桑德凯天再生资源科技有限公司3t/h沼气锅炉改扩建项目</w:t>
      </w:r>
      <w:bookmarkEnd w:id="54"/>
      <w:r>
        <w:rPr>
          <w:rFonts w:hint="eastAsia" w:ascii="仿宋" w:hAnsi="仿宋" w:eastAsia="仿宋" w:cs="仿宋"/>
          <w:color w:val="auto"/>
          <w:sz w:val="36"/>
          <w:szCs w:val="36"/>
          <w:u w:val="single"/>
        </w:rPr>
        <w:t xml:space="preserve">          </w:t>
      </w:r>
    </w:p>
    <w:p>
      <w:pPr>
        <w:adjustRightInd w:val="0"/>
        <w:snapToGrid w:val="0"/>
        <w:spacing w:line="288" w:lineRule="auto"/>
        <w:rPr>
          <w:rFonts w:hint="eastAsia" w:ascii="仿宋" w:hAnsi="仿宋" w:eastAsia="仿宋" w:cs="仿宋"/>
          <w:color w:val="auto"/>
          <w:sz w:val="36"/>
          <w:szCs w:val="36"/>
          <w:u w:val="single"/>
        </w:rPr>
      </w:pPr>
      <w:r>
        <w:rPr>
          <w:rFonts w:hint="eastAsia" w:ascii="仿宋" w:hAnsi="仿宋" w:eastAsia="仿宋" w:cs="仿宋"/>
          <w:color w:val="auto"/>
          <w:sz w:val="36"/>
          <w:szCs w:val="36"/>
        </w:rPr>
        <w:t>建设单位（盖章）：</w:t>
      </w:r>
      <w:r>
        <w:rPr>
          <w:rFonts w:hint="eastAsia" w:ascii="仿宋" w:hAnsi="仿宋" w:eastAsia="仿宋" w:cs="仿宋"/>
          <w:color w:val="auto"/>
          <w:sz w:val="36"/>
          <w:szCs w:val="36"/>
          <w:u w:val="single"/>
        </w:rPr>
        <w:t xml:space="preserve">衡阳桑德凯天再生资源科技   </w:t>
      </w:r>
    </w:p>
    <w:p>
      <w:pPr>
        <w:adjustRightInd w:val="0"/>
        <w:snapToGrid w:val="0"/>
        <w:spacing w:line="288" w:lineRule="auto"/>
        <w:ind w:firstLine="2520" w:firstLineChars="700"/>
        <w:rPr>
          <w:rFonts w:hint="eastAsia" w:ascii="仿宋" w:hAnsi="仿宋" w:eastAsia="仿宋" w:cs="仿宋"/>
          <w:color w:val="auto"/>
          <w:sz w:val="36"/>
          <w:szCs w:val="36"/>
          <w:u w:val="single"/>
        </w:rPr>
      </w:pPr>
      <w:r>
        <w:rPr>
          <w:rFonts w:hint="eastAsia" w:ascii="仿宋" w:hAnsi="仿宋" w:eastAsia="仿宋" w:cs="仿宋"/>
          <w:color w:val="auto"/>
          <w:sz w:val="36"/>
          <w:szCs w:val="36"/>
          <w:u w:val="single"/>
        </w:rPr>
        <w:t xml:space="preserve">有限公司                           </w:t>
      </w:r>
    </w:p>
    <w:p>
      <w:pPr>
        <w:adjustRightInd w:val="0"/>
        <w:snapToGrid w:val="0"/>
        <w:spacing w:line="288" w:lineRule="auto"/>
        <w:rPr>
          <w:rFonts w:ascii="仿宋_GB2312" w:eastAsia="仿宋_GB2312"/>
          <w:color w:val="auto"/>
          <w:sz w:val="36"/>
          <w:szCs w:val="36"/>
          <w:u w:val="single"/>
        </w:rPr>
      </w:pPr>
      <w:r>
        <w:rPr>
          <w:rFonts w:hint="eastAsia" w:ascii="仿宋" w:hAnsi="仿宋" w:eastAsia="仿宋" w:cs="仿宋"/>
          <w:color w:val="auto"/>
          <w:sz w:val="36"/>
          <w:szCs w:val="36"/>
        </w:rPr>
        <w:t>编制日期：</w:t>
      </w:r>
      <w:r>
        <w:rPr>
          <w:rFonts w:hint="eastAsia" w:ascii="仿宋" w:hAnsi="仿宋" w:eastAsia="仿宋" w:cs="仿宋"/>
          <w:color w:val="auto"/>
          <w:sz w:val="36"/>
          <w:szCs w:val="36"/>
          <w:u w:val="single"/>
        </w:rPr>
        <w:t xml:space="preserve">         二〇二五年十一月          </w:t>
      </w:r>
    </w:p>
    <w:p>
      <w:pPr>
        <w:adjustRightInd w:val="0"/>
        <w:snapToGrid w:val="0"/>
        <w:spacing w:line="288" w:lineRule="auto"/>
        <w:rPr>
          <w:rFonts w:eastAsia="仿宋_GB2312"/>
          <w:color w:val="auto"/>
          <w:sz w:val="36"/>
          <w:szCs w:val="36"/>
          <w:u w:val="single"/>
        </w:rPr>
      </w:pPr>
      <w:bookmarkStart w:id="0" w:name="_Hlk57884087"/>
    </w:p>
    <w:p>
      <w:pPr>
        <w:adjustRightInd w:val="0"/>
        <w:snapToGrid w:val="0"/>
        <w:spacing w:line="288" w:lineRule="auto"/>
        <w:rPr>
          <w:rFonts w:eastAsia="仿宋_GB2312"/>
          <w:color w:val="auto"/>
          <w:sz w:val="36"/>
          <w:szCs w:val="36"/>
        </w:rPr>
      </w:pPr>
    </w:p>
    <w:p>
      <w:pPr>
        <w:adjustRightInd w:val="0"/>
        <w:snapToGrid w:val="0"/>
        <w:spacing w:line="288" w:lineRule="auto"/>
        <w:rPr>
          <w:rFonts w:eastAsia="仿宋_GB2312"/>
          <w:color w:val="auto"/>
          <w:sz w:val="36"/>
          <w:szCs w:val="36"/>
        </w:rPr>
      </w:pPr>
    </w:p>
    <w:p>
      <w:pPr>
        <w:adjustRightInd w:val="0"/>
        <w:snapToGrid w:val="0"/>
        <w:spacing w:line="288" w:lineRule="auto"/>
        <w:rPr>
          <w:rFonts w:eastAsia="仿宋_GB2312"/>
          <w:color w:val="auto"/>
          <w:sz w:val="36"/>
          <w:szCs w:val="36"/>
        </w:rPr>
      </w:pPr>
    </w:p>
    <w:bookmarkEnd w:id="0"/>
    <w:p>
      <w:pPr>
        <w:adjustRightInd w:val="0"/>
        <w:snapToGrid w:val="0"/>
        <w:spacing w:line="288" w:lineRule="auto"/>
        <w:ind w:firstLine="0" w:firstLineChars="0"/>
        <w:jc w:val="center"/>
        <w:rPr>
          <w:rFonts w:ascii="楷体_GB2312" w:eastAsia="楷体_GB2312"/>
          <w:color w:val="auto"/>
          <w:sz w:val="36"/>
          <w:szCs w:val="36"/>
        </w:rPr>
      </w:pPr>
      <w:r>
        <w:rPr>
          <w:rFonts w:hint="eastAsia" w:ascii="楷体_GB2312" w:eastAsia="楷体_GB2312"/>
          <w:color w:val="auto"/>
          <w:sz w:val="36"/>
          <w:szCs w:val="36"/>
        </w:rPr>
        <w:t>中华人民共和国生态环境部制</w:t>
      </w:r>
    </w:p>
    <w:p>
      <w:pPr>
        <w:spacing w:line="480" w:lineRule="auto"/>
        <w:ind w:firstLine="0" w:firstLineChars="0"/>
        <w:jc w:val="center"/>
        <w:rPr>
          <w:rFonts w:eastAsia="楷体_GB2312"/>
          <w:color w:val="auto"/>
          <w:sz w:val="36"/>
          <w:szCs w:val="36"/>
        </w:rPr>
        <w:sectPr>
          <w:headerReference r:id="rId7" w:type="first"/>
          <w:headerReference r:id="rId5" w:type="default"/>
          <w:footerReference r:id="rId8" w:type="default"/>
          <w:headerReference r:id="rId6" w:type="even"/>
          <w:pgSz w:w="11906" w:h="16838"/>
          <w:pgMar w:top="1701" w:right="1531" w:bottom="1701" w:left="1531" w:header="851" w:footer="1077" w:gutter="0"/>
          <w:pgNumType w:start="1"/>
          <w:cols w:space="720" w:num="1"/>
          <w:docGrid w:linePitch="312" w:charSpace="0"/>
        </w:sectPr>
      </w:pPr>
    </w:p>
    <w:p>
      <w:pPr>
        <w:adjustRightInd w:val="0"/>
        <w:ind w:firstLine="0" w:firstLineChars="0"/>
        <w:rPr>
          <w:rFonts w:hint="eastAsia" w:ascii="仿宋" w:hAnsi="仿宋" w:eastAsia="仿宋" w:cs="仿宋"/>
          <w:color w:val="auto"/>
          <w:sz w:val="30"/>
          <w:szCs w:val="30"/>
        </w:rPr>
      </w:pPr>
    </w:p>
    <w:sdt>
      <w:sdtPr>
        <w:rPr>
          <w:rFonts w:ascii="宋体" w:hAnsi="宋体" w:eastAsia="黑体"/>
          <w:b/>
          <w:color w:val="auto"/>
          <w:sz w:val="21"/>
        </w:rPr>
        <w:id w:val="147452547"/>
        <w15:color w:val="DBDBDB"/>
        <w:docPartObj>
          <w:docPartGallery w:val="Table of Contents"/>
          <w:docPartUnique/>
        </w:docPartObj>
      </w:sdtPr>
      <w:sdtEndPr>
        <w:rPr>
          <w:rFonts w:ascii="Times New Roman" w:hAnsi="Times New Roman" w:eastAsia="宋体"/>
          <w:b w:val="0"/>
          <w:color w:val="auto"/>
          <w:sz w:val="24"/>
        </w:rPr>
      </w:sdtEndPr>
      <w:sdt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color w:val="auto"/>
              <w:sz w:val="30"/>
              <w:szCs w:val="30"/>
            </w:rPr>
          </w:pPr>
          <w:r>
            <w:rPr>
              <w:rFonts w:hint="eastAsia" w:ascii="黑体" w:hAnsi="黑体" w:eastAsia="黑体" w:cs="黑体"/>
              <w:color w:val="auto"/>
              <w:sz w:val="30"/>
              <w:szCs w:val="30"/>
            </w:rPr>
            <w:t>目录</w:t>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TOC \o "1-3" \h \u </w:instrText>
          </w:r>
          <w:r>
            <w:rPr>
              <w:color w:val="auto"/>
            </w:rPr>
            <w:fldChar w:fldCharType="separate"/>
          </w:r>
          <w:r>
            <w:rPr>
              <w:color w:val="auto"/>
            </w:rPr>
            <w:fldChar w:fldCharType="begin"/>
          </w:r>
          <w:r>
            <w:rPr>
              <w:color w:val="auto"/>
            </w:rPr>
            <w:instrText xml:space="preserve"> HYPERLINK \l "_Toc213108120" </w:instrText>
          </w:r>
          <w:r>
            <w:rPr>
              <w:color w:val="auto"/>
            </w:rPr>
            <w:fldChar w:fldCharType="separate"/>
          </w:r>
          <w:r>
            <w:rPr>
              <w:rStyle w:val="26"/>
              <w:rFonts w:hint="eastAsia"/>
              <w:bCs/>
              <w:color w:val="auto"/>
            </w:rPr>
            <w:t>一、建设项目基本情况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_Toc213108120 \h</w:instrText>
          </w:r>
          <w:r>
            <w:rPr>
              <w:rFonts w:hint="eastAsia"/>
              <w:color w:val="auto"/>
            </w:rPr>
            <w:instrText xml:space="preserve"> </w:instrText>
          </w:r>
          <w:r>
            <w:rPr>
              <w:rFonts w:hint="eastAsia"/>
              <w:color w:val="auto"/>
            </w:rPr>
            <w:fldChar w:fldCharType="separate"/>
          </w:r>
          <w:r>
            <w:rPr>
              <w:color w:val="auto"/>
            </w:rPr>
            <w:t>1</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"_Toc213108121" </w:instrText>
          </w:r>
          <w:r>
            <w:rPr>
              <w:color w:val="auto"/>
            </w:rPr>
            <w:fldChar w:fldCharType="separate"/>
          </w:r>
          <w:r>
            <w:rPr>
              <w:rStyle w:val="26"/>
              <w:rFonts w:hint="eastAsia"/>
              <w:color w:val="auto"/>
            </w:rPr>
            <w:t>二、建设项目工程分析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_Toc213108121 \h</w:instrText>
          </w:r>
          <w:r>
            <w:rPr>
              <w:rFonts w:hint="eastAsia"/>
              <w:color w:val="auto"/>
            </w:rPr>
            <w:instrText xml:space="preserve"> </w:instrText>
          </w:r>
          <w:r>
            <w:rPr>
              <w:rFonts w:hint="eastAsia"/>
              <w:color w:val="auto"/>
            </w:rPr>
            <w:fldChar w:fldCharType="separate"/>
          </w:r>
          <w:r>
            <w:rPr>
              <w:color w:val="auto"/>
            </w:rPr>
            <w:t>12</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"_Toc213108122" </w:instrText>
          </w:r>
          <w:r>
            <w:rPr>
              <w:color w:val="auto"/>
            </w:rPr>
            <w:fldChar w:fldCharType="separate"/>
          </w:r>
          <w:r>
            <w:rPr>
              <w:rStyle w:val="26"/>
              <w:rFonts w:hint="eastAsia"/>
              <w:color w:val="auto"/>
            </w:rPr>
            <w:t>三、区域环境质量现状、环境保护目标及评价标准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_Toc213108122 \h</w:instrText>
          </w:r>
          <w:r>
            <w:rPr>
              <w:rFonts w:hint="eastAsia"/>
              <w:color w:val="auto"/>
            </w:rPr>
            <w:instrText xml:space="preserve"> </w:instrText>
          </w:r>
          <w:r>
            <w:rPr>
              <w:rFonts w:hint="eastAsia"/>
              <w:color w:val="auto"/>
            </w:rPr>
            <w:fldChar w:fldCharType="separate"/>
          </w:r>
          <w:r>
            <w:rPr>
              <w:color w:val="auto"/>
            </w:rPr>
            <w:t>25</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"_Toc213108123" </w:instrText>
          </w:r>
          <w:r>
            <w:rPr>
              <w:color w:val="auto"/>
            </w:rPr>
            <w:fldChar w:fldCharType="separate"/>
          </w:r>
          <w:r>
            <w:rPr>
              <w:rStyle w:val="26"/>
              <w:rFonts w:hint="eastAsia"/>
              <w:color w:val="auto"/>
            </w:rPr>
            <w:t>四、主要环境影响和保护措施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_Toc213108123 \h</w:instrText>
          </w:r>
          <w:r>
            <w:rPr>
              <w:rFonts w:hint="eastAsia"/>
              <w:color w:val="auto"/>
            </w:rPr>
            <w:instrText xml:space="preserve"> </w:instrText>
          </w:r>
          <w:r>
            <w:rPr>
              <w:rFonts w:hint="eastAsia"/>
              <w:color w:val="auto"/>
            </w:rPr>
            <w:fldChar w:fldCharType="separate"/>
          </w:r>
          <w:r>
            <w:rPr>
              <w:color w:val="auto"/>
            </w:rPr>
            <w:t>33</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"_Toc213108124" </w:instrText>
          </w:r>
          <w:r>
            <w:rPr>
              <w:color w:val="auto"/>
            </w:rPr>
            <w:fldChar w:fldCharType="separate"/>
          </w:r>
          <w:r>
            <w:rPr>
              <w:rStyle w:val="26"/>
              <w:rFonts w:hint="eastAsia"/>
              <w:color w:val="auto"/>
            </w:rPr>
            <w:t>五、环境保护措施监督检查清单</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_Toc213108124 \h</w:instrText>
          </w:r>
          <w:r>
            <w:rPr>
              <w:rFonts w:hint="eastAsia"/>
              <w:color w:val="auto"/>
            </w:rPr>
            <w:instrText xml:space="preserve"> </w:instrText>
          </w:r>
          <w:r>
            <w:rPr>
              <w:rFonts w:hint="eastAsia"/>
              <w:color w:val="auto"/>
            </w:rPr>
            <w:fldChar w:fldCharType="separate"/>
          </w:r>
          <w:r>
            <w:rPr>
              <w:color w:val="auto"/>
            </w:rPr>
            <w:t>47</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"_Toc213108125" </w:instrText>
          </w:r>
          <w:r>
            <w:rPr>
              <w:color w:val="auto"/>
            </w:rPr>
            <w:fldChar w:fldCharType="separate"/>
          </w:r>
          <w:r>
            <w:rPr>
              <w:rStyle w:val="26"/>
              <w:rFonts w:hint="eastAsia"/>
              <w:color w:val="auto"/>
            </w:rPr>
            <w:t>六、结论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_Toc213108125 \h</w:instrText>
          </w:r>
          <w:r>
            <w:rPr>
              <w:rFonts w:hint="eastAsia"/>
              <w:color w:val="auto"/>
            </w:rPr>
            <w:instrText xml:space="preserve"> </w:instrText>
          </w:r>
          <w:r>
            <w:rPr>
              <w:rFonts w:hint="eastAsia"/>
              <w:color w:val="auto"/>
            </w:rPr>
            <w:fldChar w:fldCharType="separate"/>
          </w:r>
          <w:r>
            <w:rPr>
              <w:color w:val="auto"/>
            </w:rPr>
            <w:t>49</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"_Toc213108126" </w:instrText>
          </w:r>
          <w:r>
            <w:rPr>
              <w:color w:val="auto"/>
            </w:rPr>
            <w:fldChar w:fldCharType="separate"/>
          </w:r>
          <w:r>
            <w:rPr>
              <w:rStyle w:val="26"/>
              <w:rFonts w:hint="eastAsia" w:ascii="宋体" w:hAnsi="宋体"/>
              <w:color w:val="auto"/>
            </w:rPr>
            <w:t>附表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_Toc213108126 \h</w:instrText>
          </w:r>
          <w:r>
            <w:rPr>
              <w:rFonts w:hint="eastAsia"/>
              <w:color w:val="auto"/>
            </w:rPr>
            <w:instrText xml:space="preserve"> </w:instrText>
          </w:r>
          <w:r>
            <w:rPr>
              <w:rFonts w:hint="eastAsia"/>
              <w:color w:val="auto"/>
            </w:rPr>
            <w:fldChar w:fldCharType="separate"/>
          </w:r>
          <w:r>
            <w:rPr>
              <w:color w:val="auto"/>
            </w:rPr>
            <w:t>50</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"_Toc213108127" </w:instrText>
          </w:r>
          <w:r>
            <w:rPr>
              <w:color w:val="auto"/>
            </w:rPr>
            <w:fldChar w:fldCharType="separate"/>
          </w:r>
          <w:r>
            <w:rPr>
              <w:rStyle w:val="26"/>
              <w:rFonts w:hint="eastAsia" w:ascii="宋体" w:hAnsi="宋体"/>
              <w:color w:val="auto"/>
            </w:rPr>
            <w:t>建设项目污染物排放量汇总表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_Toc213108127 \h</w:instrText>
          </w:r>
          <w:r>
            <w:rPr>
              <w:rFonts w:hint="eastAsia"/>
              <w:color w:val="auto"/>
            </w:rPr>
            <w:instrText xml:space="preserve"> </w:instrText>
          </w:r>
          <w:r>
            <w:rPr>
              <w:rFonts w:hint="eastAsia"/>
              <w:color w:val="auto"/>
            </w:rPr>
            <w:fldChar w:fldCharType="separate"/>
          </w:r>
          <w:r>
            <w:rPr>
              <w:color w:val="auto"/>
            </w:rPr>
            <w:t>50</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"_Toc213108128" </w:instrText>
          </w:r>
          <w:r>
            <w:rPr>
              <w:color w:val="auto"/>
            </w:rPr>
            <w:fldChar w:fldCharType="separate"/>
          </w:r>
          <w:r>
            <w:rPr>
              <w:rStyle w:val="26"/>
              <w:rFonts w:hint="eastAsia"/>
              <w:color w:val="auto"/>
            </w:rPr>
            <w:t>附图1 建设项目地理位置图</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_Toc213108128 \h</w:instrText>
          </w:r>
          <w:r>
            <w:rPr>
              <w:rFonts w:hint="eastAsia"/>
              <w:color w:val="auto"/>
            </w:rPr>
            <w:instrText xml:space="preserve"> </w:instrText>
          </w:r>
          <w:r>
            <w:rPr>
              <w:rFonts w:hint="eastAsia"/>
              <w:color w:val="auto"/>
            </w:rPr>
            <w:fldChar w:fldCharType="separate"/>
          </w:r>
          <w:r>
            <w:rPr>
              <w:color w:val="auto"/>
            </w:rPr>
            <w:t>51</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"_Toc213108129" </w:instrText>
          </w:r>
          <w:r>
            <w:rPr>
              <w:color w:val="auto"/>
            </w:rPr>
            <w:fldChar w:fldCharType="separate"/>
          </w:r>
          <w:r>
            <w:rPr>
              <w:rStyle w:val="26"/>
              <w:rFonts w:hint="eastAsia"/>
              <w:color w:val="auto"/>
            </w:rPr>
            <w:t>附图2 现有项目平面布置图</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_Toc213108129 \h</w:instrText>
          </w:r>
          <w:r>
            <w:rPr>
              <w:rFonts w:hint="eastAsia"/>
              <w:color w:val="auto"/>
            </w:rPr>
            <w:instrText xml:space="preserve"> </w:instrText>
          </w:r>
          <w:r>
            <w:rPr>
              <w:rFonts w:hint="eastAsia"/>
              <w:color w:val="auto"/>
            </w:rPr>
            <w:fldChar w:fldCharType="separate"/>
          </w:r>
          <w:r>
            <w:rPr>
              <w:color w:val="auto"/>
            </w:rPr>
            <w:t>52</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"_Toc213108130" </w:instrText>
          </w:r>
          <w:r>
            <w:rPr>
              <w:color w:val="auto"/>
            </w:rPr>
            <w:fldChar w:fldCharType="separate"/>
          </w:r>
          <w:r>
            <w:rPr>
              <w:rStyle w:val="26"/>
              <w:rFonts w:hint="eastAsia"/>
              <w:color w:val="auto"/>
            </w:rPr>
            <w:t>附图3 环境保护目标分布图</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_Toc213108130 \h</w:instrText>
          </w:r>
          <w:r>
            <w:rPr>
              <w:rFonts w:hint="eastAsia"/>
              <w:color w:val="auto"/>
            </w:rPr>
            <w:instrText xml:space="preserve"> </w:instrText>
          </w:r>
          <w:r>
            <w:rPr>
              <w:rFonts w:hint="eastAsia"/>
              <w:color w:val="auto"/>
            </w:rPr>
            <w:fldChar w:fldCharType="separate"/>
          </w:r>
          <w:r>
            <w:rPr>
              <w:color w:val="auto"/>
            </w:rPr>
            <w:t>53</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"_Toc213108131" </w:instrText>
          </w:r>
          <w:r>
            <w:rPr>
              <w:color w:val="auto"/>
            </w:rPr>
            <w:fldChar w:fldCharType="separate"/>
          </w:r>
          <w:r>
            <w:rPr>
              <w:rStyle w:val="26"/>
              <w:rFonts w:hint="eastAsia"/>
              <w:color w:val="auto"/>
            </w:rPr>
            <w:t>附图4 现状监测布点图</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_Toc213108131 \h</w:instrText>
          </w:r>
          <w:r>
            <w:rPr>
              <w:rFonts w:hint="eastAsia"/>
              <w:color w:val="auto"/>
            </w:rPr>
            <w:instrText xml:space="preserve"> </w:instrText>
          </w:r>
          <w:r>
            <w:rPr>
              <w:rFonts w:hint="eastAsia"/>
              <w:color w:val="auto"/>
            </w:rPr>
            <w:fldChar w:fldCharType="separate"/>
          </w:r>
          <w:r>
            <w:rPr>
              <w:color w:val="auto"/>
            </w:rPr>
            <w:t>54</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"_Toc213108132" </w:instrText>
          </w:r>
          <w:r>
            <w:rPr>
              <w:color w:val="auto"/>
            </w:rPr>
            <w:fldChar w:fldCharType="separate"/>
          </w:r>
          <w:r>
            <w:rPr>
              <w:rStyle w:val="26"/>
              <w:rFonts w:hint="eastAsia"/>
              <w:color w:val="auto"/>
            </w:rPr>
            <w:t>附件1 营业执照</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_Toc213108132 \h</w:instrText>
          </w:r>
          <w:r>
            <w:rPr>
              <w:rFonts w:hint="eastAsia"/>
              <w:color w:val="auto"/>
            </w:rPr>
            <w:instrText xml:space="preserve"> </w:instrText>
          </w:r>
          <w:r>
            <w:rPr>
              <w:rFonts w:hint="eastAsia"/>
              <w:color w:val="auto"/>
            </w:rPr>
            <w:fldChar w:fldCharType="separate"/>
          </w:r>
          <w:r>
            <w:rPr>
              <w:color w:val="auto"/>
            </w:rPr>
            <w:t>56</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"_Toc213108133" </w:instrText>
          </w:r>
          <w:r>
            <w:rPr>
              <w:color w:val="auto"/>
            </w:rPr>
            <w:fldChar w:fldCharType="separate"/>
          </w:r>
          <w:r>
            <w:rPr>
              <w:rStyle w:val="26"/>
              <w:rFonts w:hint="eastAsia"/>
              <w:color w:val="auto"/>
            </w:rPr>
            <w:t>附件2 现有项目排污许可证</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_Toc213108133 \h</w:instrText>
          </w:r>
          <w:r>
            <w:rPr>
              <w:rFonts w:hint="eastAsia"/>
              <w:color w:val="auto"/>
            </w:rPr>
            <w:instrText xml:space="preserve"> </w:instrText>
          </w:r>
          <w:r>
            <w:rPr>
              <w:rFonts w:hint="eastAsia"/>
              <w:color w:val="auto"/>
            </w:rPr>
            <w:fldChar w:fldCharType="separate"/>
          </w:r>
          <w:r>
            <w:rPr>
              <w:color w:val="auto"/>
            </w:rPr>
            <w:t>57</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"_Toc213108134" </w:instrText>
          </w:r>
          <w:r>
            <w:rPr>
              <w:color w:val="auto"/>
            </w:rPr>
            <w:fldChar w:fldCharType="separate"/>
          </w:r>
          <w:r>
            <w:rPr>
              <w:rStyle w:val="26"/>
              <w:rFonts w:hint="eastAsia"/>
              <w:color w:val="auto"/>
            </w:rPr>
            <w:t>附件3 委托书</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_Toc213108134 \h</w:instrText>
          </w:r>
          <w:r>
            <w:rPr>
              <w:rFonts w:hint="eastAsia"/>
              <w:color w:val="auto"/>
            </w:rPr>
            <w:instrText xml:space="preserve"> </w:instrText>
          </w:r>
          <w:r>
            <w:rPr>
              <w:rFonts w:hint="eastAsia"/>
              <w:color w:val="auto"/>
            </w:rPr>
            <w:fldChar w:fldCharType="separate"/>
          </w:r>
          <w:r>
            <w:rPr>
              <w:color w:val="auto"/>
            </w:rPr>
            <w:t>58</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"_Toc213108135" </w:instrText>
          </w:r>
          <w:r>
            <w:rPr>
              <w:color w:val="auto"/>
            </w:rPr>
            <w:fldChar w:fldCharType="separate"/>
          </w:r>
          <w:r>
            <w:rPr>
              <w:rStyle w:val="26"/>
              <w:rFonts w:hint="eastAsia"/>
              <w:color w:val="auto"/>
            </w:rPr>
            <w:t>附件4 法人身份证</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_Toc213108135 \h</w:instrText>
          </w:r>
          <w:r>
            <w:rPr>
              <w:rFonts w:hint="eastAsia"/>
              <w:color w:val="auto"/>
            </w:rPr>
            <w:instrText xml:space="preserve"> </w:instrText>
          </w:r>
          <w:r>
            <w:rPr>
              <w:rFonts w:hint="eastAsia"/>
              <w:color w:val="auto"/>
            </w:rPr>
            <w:fldChar w:fldCharType="separate"/>
          </w:r>
          <w:r>
            <w:rPr>
              <w:color w:val="auto"/>
            </w:rPr>
            <w:t>59</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"_Toc213108136" </w:instrText>
          </w:r>
          <w:r>
            <w:rPr>
              <w:color w:val="auto"/>
            </w:rPr>
            <w:fldChar w:fldCharType="separate"/>
          </w:r>
          <w:r>
            <w:rPr>
              <w:rStyle w:val="26"/>
              <w:rFonts w:hint="eastAsia"/>
              <w:color w:val="auto"/>
            </w:rPr>
            <w:t>附件5 现有项目环评批复</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_Toc213108136 \h</w:instrText>
          </w:r>
          <w:r>
            <w:rPr>
              <w:rFonts w:hint="eastAsia"/>
              <w:color w:val="auto"/>
            </w:rPr>
            <w:instrText xml:space="preserve"> </w:instrText>
          </w:r>
          <w:r>
            <w:rPr>
              <w:rFonts w:hint="eastAsia"/>
              <w:color w:val="auto"/>
            </w:rPr>
            <w:fldChar w:fldCharType="separate"/>
          </w:r>
          <w:r>
            <w:rPr>
              <w:color w:val="auto"/>
            </w:rPr>
            <w:t>60</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"_Toc213108137" </w:instrText>
          </w:r>
          <w:r>
            <w:rPr>
              <w:color w:val="auto"/>
            </w:rPr>
            <w:fldChar w:fldCharType="separate"/>
          </w:r>
          <w:r>
            <w:rPr>
              <w:rStyle w:val="26"/>
              <w:rFonts w:hint="eastAsia"/>
              <w:color w:val="auto"/>
            </w:rPr>
            <w:t>附件6 现有、在建项目相关环评审批意见</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_Toc213108137 \h</w:instrText>
          </w:r>
          <w:r>
            <w:rPr>
              <w:rFonts w:hint="eastAsia"/>
              <w:color w:val="auto"/>
            </w:rPr>
            <w:instrText xml:space="preserve"> </w:instrText>
          </w:r>
          <w:r>
            <w:rPr>
              <w:rFonts w:hint="eastAsia"/>
              <w:color w:val="auto"/>
            </w:rPr>
            <w:fldChar w:fldCharType="separate"/>
          </w:r>
          <w:r>
            <w:rPr>
              <w:color w:val="auto"/>
            </w:rPr>
            <w:t>61</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"_Toc213108138" </w:instrText>
          </w:r>
          <w:r>
            <w:rPr>
              <w:color w:val="auto"/>
            </w:rPr>
            <w:fldChar w:fldCharType="separate"/>
          </w:r>
          <w:r>
            <w:rPr>
              <w:rStyle w:val="26"/>
              <w:rFonts w:hint="eastAsia"/>
              <w:color w:val="auto"/>
            </w:rPr>
            <w:t>附件7 环境质量现状监测报告</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_Toc213108138 \h</w:instrText>
          </w:r>
          <w:r>
            <w:rPr>
              <w:rFonts w:hint="eastAsia"/>
              <w:color w:val="auto"/>
            </w:rPr>
            <w:instrText xml:space="preserve"> </w:instrText>
          </w:r>
          <w:r>
            <w:rPr>
              <w:rFonts w:hint="eastAsia"/>
              <w:color w:val="auto"/>
            </w:rPr>
            <w:fldChar w:fldCharType="separate"/>
          </w:r>
          <w:r>
            <w:rPr>
              <w:color w:val="auto"/>
            </w:rPr>
            <w:t>62</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"_Toc213108139" </w:instrText>
          </w:r>
          <w:r>
            <w:rPr>
              <w:color w:val="auto"/>
            </w:rPr>
            <w:fldChar w:fldCharType="separate"/>
          </w:r>
          <w:r>
            <w:rPr>
              <w:rStyle w:val="26"/>
              <w:rFonts w:hint="eastAsia"/>
              <w:color w:val="auto"/>
            </w:rPr>
            <w:t>附件8 现有项目沼气检测报告</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_Toc213108139 \h</w:instrText>
          </w:r>
          <w:r>
            <w:rPr>
              <w:rFonts w:hint="eastAsia"/>
              <w:color w:val="auto"/>
            </w:rPr>
            <w:instrText xml:space="preserve"> </w:instrText>
          </w:r>
          <w:r>
            <w:rPr>
              <w:rFonts w:hint="eastAsia"/>
              <w:color w:val="auto"/>
            </w:rPr>
            <w:fldChar w:fldCharType="separate"/>
          </w:r>
          <w:r>
            <w:rPr>
              <w:color w:val="auto"/>
            </w:rPr>
            <w:t>63</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"_Toc213108140" </w:instrText>
          </w:r>
          <w:r>
            <w:rPr>
              <w:color w:val="auto"/>
            </w:rPr>
            <w:fldChar w:fldCharType="separate"/>
          </w:r>
          <w:r>
            <w:rPr>
              <w:rStyle w:val="26"/>
              <w:rFonts w:hint="eastAsia"/>
              <w:color w:val="auto"/>
            </w:rPr>
            <w:t>附件9 专家评审意见</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_Toc213108140 \h</w:instrText>
          </w:r>
          <w:r>
            <w:rPr>
              <w:rFonts w:hint="eastAsia"/>
              <w:color w:val="auto"/>
            </w:rPr>
            <w:instrText xml:space="preserve"> </w:instrText>
          </w:r>
          <w:r>
            <w:rPr>
              <w:rFonts w:hint="eastAsia"/>
              <w:color w:val="auto"/>
            </w:rPr>
            <w:fldChar w:fldCharType="separate"/>
          </w:r>
          <w:r>
            <w:rPr>
              <w:color w:val="auto"/>
            </w:rPr>
            <w:t>64</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"_Toc213108141" </w:instrText>
          </w:r>
          <w:r>
            <w:rPr>
              <w:color w:val="auto"/>
            </w:rPr>
            <w:fldChar w:fldCharType="separate"/>
          </w:r>
          <w:r>
            <w:rPr>
              <w:rStyle w:val="26"/>
              <w:rFonts w:hint="eastAsia"/>
              <w:color w:val="auto"/>
            </w:rPr>
            <w:t>附件10 专家签到表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_Toc213108141 \h</w:instrText>
          </w:r>
          <w:r>
            <w:rPr>
              <w:rFonts w:hint="eastAsia"/>
              <w:color w:val="auto"/>
            </w:rPr>
            <w:instrText xml:space="preserve"> </w:instrText>
          </w:r>
          <w:r>
            <w:rPr>
              <w:rFonts w:hint="eastAsia"/>
              <w:color w:val="auto"/>
            </w:rPr>
            <w:fldChar w:fldCharType="separate"/>
          </w:r>
          <w:r>
            <w:rPr>
              <w:color w:val="auto"/>
            </w:rPr>
            <w:t>65</w:t>
          </w:r>
          <w:r>
            <w:rPr>
              <w:rFonts w:hint="eastAsia"/>
              <w:color w:val="auto"/>
            </w:rPr>
            <w:fldChar w:fldCharType="end"/>
          </w:r>
          <w:r>
            <w:rPr>
              <w:rFonts w:hint="eastAsia"/>
              <w:color w:val="auto"/>
            </w:rPr>
            <w:fldChar w:fldCharType="end"/>
          </w:r>
        </w:p>
        <w:p>
          <w:pPr>
            <w:pStyle w:val="15"/>
            <w:keepNext w:val="0"/>
            <w:keepLines w:val="0"/>
            <w:pageBreakBefore w:val="0"/>
            <w:widowControl w:val="0"/>
            <w:tabs>
              <w:tab w:val="right" w:leader="dot" w:pos="8296"/>
            </w:tabs>
            <w:kinsoku/>
            <w:wordWrap/>
            <w:overflowPunct/>
            <w:topLinePunct w:val="0"/>
            <w:autoSpaceDE/>
            <w:autoSpaceDN/>
            <w:bidi w:val="0"/>
            <w:adjustRightInd/>
            <w:snapToGrid/>
            <w:ind w:left="0" w:leftChars="0" w:firstLine="0" w:firstLineChars="0"/>
            <w:textAlignment w:val="auto"/>
            <w:rPr>
              <w:rFonts w:hint="eastAsia" w:asciiTheme="minorHAnsi" w:hAnsiTheme="minorHAnsi" w:eastAsiaTheme="minorEastAsia" w:cstheme="minorBidi"/>
              <w:color w:val="auto"/>
              <w:sz w:val="22"/>
              <w14:ligatures w14:val="standardContextual"/>
            </w:rPr>
          </w:pPr>
          <w:r>
            <w:rPr>
              <w:color w:val="auto"/>
            </w:rPr>
            <w:fldChar w:fldCharType="begin"/>
          </w:r>
          <w:r>
            <w:rPr>
              <w:color w:val="auto"/>
            </w:rPr>
            <w:instrText xml:space="preserve"> HYPERLINK \l "_Toc213108142" </w:instrText>
          </w:r>
          <w:r>
            <w:rPr>
              <w:color w:val="auto"/>
            </w:rPr>
            <w:fldChar w:fldCharType="separate"/>
          </w:r>
          <w:r>
            <w:rPr>
              <w:rStyle w:val="26"/>
              <w:rFonts w:hint="eastAsia"/>
              <w:color w:val="auto"/>
            </w:rPr>
            <w:t>附件11 日常考核专家意见</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_Toc213108142 \h</w:instrText>
          </w:r>
          <w:r>
            <w:rPr>
              <w:rFonts w:hint="eastAsia"/>
              <w:color w:val="auto"/>
            </w:rPr>
            <w:instrText xml:space="preserve"> </w:instrText>
          </w:r>
          <w:r>
            <w:rPr>
              <w:rFonts w:hint="eastAsia"/>
              <w:color w:val="auto"/>
            </w:rPr>
            <w:fldChar w:fldCharType="separate"/>
          </w:r>
          <w:r>
            <w:rPr>
              <w:color w:val="auto"/>
            </w:rPr>
            <w:t>66</w:t>
          </w:r>
          <w:r>
            <w:rPr>
              <w:rFonts w:hint="eastAsia"/>
              <w:color w:val="auto"/>
            </w:rPr>
            <w:fldChar w:fldCharType="end"/>
          </w:r>
          <w:r>
            <w:rPr>
              <w:rFonts w:hint="eastAsia"/>
              <w:color w:val="auto"/>
            </w:rPr>
            <w:fldChar w:fldCharType="end"/>
          </w:r>
        </w:p>
        <w:p>
          <w:pPr>
            <w:keepNext w:val="0"/>
            <w:keepLines w:val="0"/>
            <w:pageBreakBefore w:val="0"/>
            <w:widowControl w:val="0"/>
            <w:kinsoku/>
            <w:wordWrap/>
            <w:overflowPunct/>
            <w:topLinePunct w:val="0"/>
            <w:autoSpaceDE/>
            <w:autoSpaceDN/>
            <w:bidi w:val="0"/>
            <w:adjustRightInd/>
            <w:snapToGrid/>
            <w:ind w:firstLine="0" w:firstLineChars="0"/>
            <w:textAlignment w:val="auto"/>
            <w:rPr>
              <w:color w:val="auto"/>
            </w:rPr>
            <w:sectPr>
              <w:footerReference r:id="rId9" w:type="default"/>
              <w:pgSz w:w="11906" w:h="16838"/>
              <w:pgMar w:top="1440" w:right="1800" w:bottom="1440" w:left="1800" w:header="851" w:footer="992" w:gutter="0"/>
              <w:pgNumType w:start="1"/>
              <w:cols w:space="425" w:num="1"/>
              <w:docGrid w:type="lines" w:linePitch="312" w:charSpace="0"/>
            </w:sectPr>
          </w:pPr>
          <w:r>
            <w:rPr>
              <w:color w:val="auto"/>
            </w:rPr>
            <w:fldChar w:fldCharType="end"/>
          </w:r>
        </w:p>
      </w:sdtContent>
    </w:sdt>
    <w:p>
      <w:pPr>
        <w:pStyle w:val="4"/>
        <w:spacing w:line="360" w:lineRule="auto"/>
        <w:rPr>
          <w:b w:val="0"/>
          <w:bCs/>
          <w:snapToGrid w:val="0"/>
          <w:color w:val="auto"/>
          <w:szCs w:val="30"/>
        </w:rPr>
      </w:pPr>
      <w:bookmarkStart w:id="1" w:name="_Toc213108120"/>
      <w:r>
        <w:rPr>
          <w:b w:val="0"/>
          <w:bCs/>
          <w:color w:val="auto"/>
        </w:rPr>
        <w:t>一、建设项目基本情况</w:t>
      </w:r>
      <w:bookmarkEnd w:id="1"/>
    </w:p>
    <w:tbl>
      <w:tblPr>
        <w:tblStyle w:val="22"/>
        <w:tblW w:w="497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481"/>
        <w:gridCol w:w="2283"/>
        <w:gridCol w:w="2046"/>
        <w:gridCol w:w="248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482"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建设项目名称</w:t>
            </w:r>
          </w:p>
        </w:tc>
        <w:tc>
          <w:tcPr>
            <w:tcW w:w="6822" w:type="dxa"/>
            <w:gridSpan w:val="3"/>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衡阳桑德凯天再生资源科技有限公司3t/h沼气锅炉改扩建项目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482"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项目代码</w:t>
            </w:r>
          </w:p>
        </w:tc>
        <w:tc>
          <w:tcPr>
            <w:tcW w:w="6822" w:type="dxa"/>
            <w:gridSpan w:val="3"/>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482"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建设单位联系人</w:t>
            </w:r>
          </w:p>
        </w:tc>
        <w:tc>
          <w:tcPr>
            <w:tcW w:w="2285"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周凯波</w:t>
            </w:r>
          </w:p>
        </w:tc>
        <w:tc>
          <w:tcPr>
            <w:tcW w:w="2048" w:type="dxa"/>
            <w:vAlign w:val="center"/>
          </w:tcPr>
          <w:p>
            <w:pPr>
              <w:adjustRightInd w:val="0"/>
              <w:snapToGrid w:val="0"/>
              <w:spacing w:line="240" w:lineRule="auto"/>
              <w:ind w:firstLine="0" w:firstLineChars="0"/>
              <w:jc w:val="center"/>
              <w:rPr>
                <w:color w:val="auto"/>
                <w:sz w:val="21"/>
                <w:szCs w:val="21"/>
              </w:rPr>
            </w:pPr>
            <w:r>
              <w:rPr>
                <w:color w:val="auto"/>
                <w:sz w:val="21"/>
                <w:szCs w:val="21"/>
              </w:rPr>
              <w:t>联系方式</w:t>
            </w:r>
          </w:p>
        </w:tc>
        <w:tc>
          <w:tcPr>
            <w:tcW w:w="2489" w:type="dxa"/>
            <w:vAlign w:val="center"/>
          </w:tcPr>
          <w:p>
            <w:pPr>
              <w:adjustRightInd w:val="0"/>
              <w:snapToGrid w:val="0"/>
              <w:spacing w:line="240" w:lineRule="auto"/>
              <w:ind w:firstLine="0" w:firstLineChars="0"/>
              <w:jc w:val="center"/>
              <w:rPr>
                <w:color w:val="auto"/>
                <w:sz w:val="21"/>
                <w:szCs w:val="21"/>
              </w:rPr>
            </w:pPr>
            <w:r>
              <w:rPr>
                <w:color w:val="auto"/>
                <w:sz w:val="21"/>
                <w:szCs w:val="21"/>
              </w:rPr>
              <w:t>18570025908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482"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建设地点</w:t>
            </w:r>
          </w:p>
        </w:tc>
        <w:tc>
          <w:tcPr>
            <w:tcW w:w="6822" w:type="dxa"/>
            <w:gridSpan w:val="3"/>
            <w:vAlign w:val="center"/>
          </w:tcPr>
          <w:p>
            <w:pPr>
              <w:adjustRightInd w:val="0"/>
              <w:snapToGrid w:val="0"/>
              <w:spacing w:line="240" w:lineRule="auto"/>
              <w:ind w:firstLine="0" w:firstLineChars="0"/>
              <w:jc w:val="center"/>
              <w:rPr>
                <w:color w:val="auto"/>
                <w:sz w:val="21"/>
                <w:szCs w:val="21"/>
              </w:rPr>
            </w:pPr>
            <w:r>
              <w:rPr>
                <w:rFonts w:hint="eastAsia" w:ascii="宋体" w:hAnsi="宋体" w:cs="宋体"/>
                <w:color w:val="auto"/>
                <w:sz w:val="21"/>
                <w:szCs w:val="21"/>
                <w:u w:val="single"/>
              </w:rPr>
              <w:t>湖南</w:t>
            </w:r>
            <w:r>
              <w:rPr>
                <w:rFonts w:hint="eastAsia" w:ascii="宋体" w:hAnsi="宋体" w:cs="宋体"/>
                <w:color w:val="auto"/>
                <w:sz w:val="21"/>
                <w:szCs w:val="21"/>
              </w:rPr>
              <w:t>省（自治区）</w:t>
            </w:r>
            <w:r>
              <w:rPr>
                <w:rFonts w:hint="eastAsia" w:ascii="宋体" w:hAnsi="宋体" w:cs="宋体"/>
                <w:color w:val="auto"/>
                <w:sz w:val="21"/>
                <w:szCs w:val="21"/>
                <w:u w:val="single"/>
              </w:rPr>
              <w:t>衡阳</w:t>
            </w:r>
            <w:r>
              <w:rPr>
                <w:rFonts w:hint="eastAsia" w:ascii="宋体" w:hAnsi="宋体" w:cs="宋体"/>
                <w:color w:val="auto"/>
                <w:sz w:val="21"/>
                <w:szCs w:val="21"/>
              </w:rPr>
              <w:t>市</w:t>
            </w:r>
            <w:r>
              <w:rPr>
                <w:rFonts w:hint="eastAsia" w:ascii="宋体" w:hAnsi="宋体" w:cs="宋体"/>
                <w:color w:val="auto"/>
                <w:sz w:val="21"/>
                <w:szCs w:val="21"/>
                <w:u w:val="single"/>
              </w:rPr>
              <w:t>衡阳</w:t>
            </w:r>
            <w:r>
              <w:rPr>
                <w:rFonts w:hint="eastAsia" w:ascii="宋体" w:hAnsi="宋体" w:cs="宋体"/>
                <w:color w:val="auto"/>
                <w:sz w:val="21"/>
                <w:szCs w:val="21"/>
              </w:rPr>
              <w:t>县（区）</w:t>
            </w:r>
            <w:r>
              <w:rPr>
                <w:rFonts w:hint="eastAsia"/>
                <w:color w:val="auto"/>
                <w:sz w:val="21"/>
                <w:szCs w:val="21"/>
                <w:u w:val="single"/>
              </w:rPr>
              <w:t>集兵</w:t>
            </w:r>
            <w:r>
              <w:rPr>
                <w:rFonts w:hint="eastAsia" w:ascii="宋体" w:hAnsi="宋体" w:cs="宋体"/>
                <w:color w:val="auto"/>
                <w:sz w:val="21"/>
                <w:szCs w:val="21"/>
              </w:rPr>
              <w:t>乡（街道）</w:t>
            </w:r>
            <w:r>
              <w:rPr>
                <w:rFonts w:hint="eastAsia"/>
                <w:color w:val="auto"/>
                <w:sz w:val="21"/>
                <w:szCs w:val="21"/>
                <w:u w:val="single"/>
              </w:rPr>
              <w:t>太栗村</w:t>
            </w:r>
            <w:r>
              <w:rPr>
                <w:rFonts w:ascii="宋体" w:hAnsi="宋体" w:cs="宋体"/>
                <w:color w:val="auto"/>
                <w:sz w:val="21"/>
                <w:szCs w:val="21"/>
                <w:u w:val="single"/>
              </w:rPr>
              <w:t>罗坪组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482"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地理坐标</w:t>
            </w:r>
          </w:p>
        </w:tc>
        <w:tc>
          <w:tcPr>
            <w:tcW w:w="6822" w:type="dxa"/>
            <w:gridSpan w:val="3"/>
            <w:vAlign w:val="center"/>
          </w:tcPr>
          <w:p>
            <w:pPr>
              <w:spacing w:line="240" w:lineRule="auto"/>
              <w:ind w:firstLine="0" w:firstLineChars="0"/>
              <w:jc w:val="center"/>
              <w:rPr>
                <w:color w:val="auto"/>
                <w:sz w:val="21"/>
                <w:szCs w:val="21"/>
              </w:rPr>
            </w:pPr>
            <w:r>
              <w:rPr>
                <w:color w:val="auto"/>
                <w:sz w:val="21"/>
                <w:szCs w:val="21"/>
              </w:rPr>
              <w:t>（</w:t>
            </w:r>
            <w:r>
              <w:rPr>
                <w:color w:val="auto"/>
                <w:sz w:val="21"/>
                <w:szCs w:val="21"/>
                <w:u w:val="single"/>
              </w:rPr>
              <w:t>112</w:t>
            </w:r>
            <w:r>
              <w:rPr>
                <w:color w:val="auto"/>
                <w:sz w:val="21"/>
                <w:szCs w:val="21"/>
              </w:rPr>
              <w:t>度</w:t>
            </w:r>
            <w:r>
              <w:rPr>
                <w:color w:val="auto"/>
                <w:sz w:val="21"/>
                <w:szCs w:val="21"/>
                <w:u w:val="single"/>
              </w:rPr>
              <w:t>37</w:t>
            </w:r>
            <w:r>
              <w:rPr>
                <w:color w:val="auto"/>
                <w:sz w:val="21"/>
                <w:szCs w:val="21"/>
              </w:rPr>
              <w:t>分</w:t>
            </w:r>
            <w:r>
              <w:rPr>
                <w:color w:val="auto"/>
                <w:sz w:val="21"/>
                <w:szCs w:val="21"/>
                <w:u w:val="single"/>
              </w:rPr>
              <w:t>7.17</w:t>
            </w:r>
            <w:r>
              <w:rPr>
                <w:color w:val="auto"/>
                <w:sz w:val="21"/>
                <w:szCs w:val="21"/>
              </w:rPr>
              <w:t>秒，</w:t>
            </w:r>
            <w:r>
              <w:rPr>
                <w:color w:val="auto"/>
                <w:sz w:val="21"/>
                <w:szCs w:val="21"/>
                <w:u w:val="single"/>
              </w:rPr>
              <w:t>27</w:t>
            </w:r>
            <w:r>
              <w:rPr>
                <w:color w:val="auto"/>
                <w:sz w:val="21"/>
                <w:szCs w:val="21"/>
              </w:rPr>
              <w:t>度</w:t>
            </w:r>
            <w:r>
              <w:rPr>
                <w:color w:val="auto"/>
                <w:sz w:val="21"/>
                <w:szCs w:val="21"/>
                <w:u w:val="single"/>
              </w:rPr>
              <w:t>01</w:t>
            </w:r>
            <w:r>
              <w:rPr>
                <w:color w:val="auto"/>
                <w:sz w:val="21"/>
                <w:szCs w:val="21"/>
              </w:rPr>
              <w:t>分</w:t>
            </w:r>
            <w:r>
              <w:rPr>
                <w:color w:val="auto"/>
                <w:sz w:val="21"/>
                <w:szCs w:val="21"/>
                <w:u w:val="single"/>
              </w:rPr>
              <w:t>39.94</w:t>
            </w:r>
            <w:r>
              <w:rPr>
                <w:color w:val="auto"/>
                <w:sz w:val="21"/>
                <w:szCs w:val="21"/>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482"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国民经济</w:t>
            </w:r>
          </w:p>
          <w:p>
            <w:pPr>
              <w:adjustRightInd w:val="0"/>
              <w:snapToGrid w:val="0"/>
              <w:spacing w:line="240" w:lineRule="auto"/>
              <w:ind w:firstLine="0" w:firstLineChars="0"/>
              <w:jc w:val="center"/>
              <w:rPr>
                <w:color w:val="auto"/>
                <w:sz w:val="21"/>
                <w:szCs w:val="21"/>
              </w:rPr>
            </w:pPr>
            <w:r>
              <w:rPr>
                <w:color w:val="auto"/>
                <w:sz w:val="21"/>
                <w:szCs w:val="21"/>
              </w:rPr>
              <w:t>行业类别</w:t>
            </w:r>
          </w:p>
        </w:tc>
        <w:tc>
          <w:tcPr>
            <w:tcW w:w="2285"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D4430 热力生产和供应</w:t>
            </w:r>
          </w:p>
        </w:tc>
        <w:tc>
          <w:tcPr>
            <w:tcW w:w="2048" w:type="dxa"/>
            <w:vAlign w:val="center"/>
          </w:tcPr>
          <w:p>
            <w:pPr>
              <w:adjustRightInd w:val="0"/>
              <w:snapToGrid w:val="0"/>
              <w:spacing w:line="240" w:lineRule="auto"/>
              <w:ind w:firstLine="0" w:firstLineChars="0"/>
              <w:jc w:val="center"/>
              <w:rPr>
                <w:color w:val="auto"/>
                <w:sz w:val="21"/>
                <w:szCs w:val="21"/>
              </w:rPr>
            </w:pPr>
            <w:r>
              <w:rPr>
                <w:color w:val="auto"/>
                <w:sz w:val="21"/>
                <w:szCs w:val="21"/>
              </w:rPr>
              <w:t>建设项目</w:t>
            </w:r>
          </w:p>
          <w:p>
            <w:pPr>
              <w:adjustRightInd w:val="0"/>
              <w:snapToGrid w:val="0"/>
              <w:spacing w:line="240" w:lineRule="auto"/>
              <w:ind w:firstLine="0" w:firstLineChars="0"/>
              <w:jc w:val="center"/>
              <w:rPr>
                <w:color w:val="auto"/>
                <w:sz w:val="21"/>
                <w:szCs w:val="21"/>
              </w:rPr>
            </w:pPr>
            <w:r>
              <w:rPr>
                <w:color w:val="auto"/>
                <w:sz w:val="21"/>
                <w:szCs w:val="21"/>
              </w:rPr>
              <w:t>行业类别</w:t>
            </w:r>
          </w:p>
        </w:tc>
        <w:tc>
          <w:tcPr>
            <w:tcW w:w="2489" w:type="dxa"/>
            <w:vAlign w:val="center"/>
          </w:tcPr>
          <w:p>
            <w:pPr>
              <w:adjustRightInd w:val="0"/>
              <w:snapToGrid w:val="0"/>
              <w:spacing w:line="240" w:lineRule="auto"/>
              <w:ind w:firstLine="0" w:firstLineChars="0"/>
              <w:jc w:val="center"/>
              <w:rPr>
                <w:color w:val="auto"/>
                <w:sz w:val="21"/>
                <w:szCs w:val="21"/>
              </w:rPr>
            </w:pPr>
            <w:r>
              <w:rPr>
                <w:rFonts w:ascii="宋体" w:hAnsi="宋体" w:cs="宋体"/>
                <w:color w:val="auto"/>
                <w:sz w:val="21"/>
                <w:szCs w:val="21"/>
              </w:rPr>
              <w:t>四十一、</w:t>
            </w:r>
            <w:bookmarkStart w:id="2" w:name="OLE_LINK1"/>
            <w:r>
              <w:rPr>
                <w:rFonts w:ascii="宋体" w:hAnsi="宋体" w:cs="宋体"/>
                <w:color w:val="auto"/>
                <w:sz w:val="21"/>
                <w:szCs w:val="21"/>
              </w:rPr>
              <w:t>电力、热力生产和供应业</w:t>
            </w:r>
            <w:bookmarkEnd w:id="2"/>
            <w:r>
              <w:rPr>
                <w:color w:val="auto"/>
                <w:sz w:val="21"/>
                <w:szCs w:val="21"/>
              </w:rPr>
              <w:t xml:space="preserve"> 91</w:t>
            </w:r>
            <w:r>
              <w:rPr>
                <w:rFonts w:ascii="宋体" w:hAnsi="宋体" w:cs="宋体"/>
                <w:color w:val="auto"/>
                <w:sz w:val="21"/>
                <w:szCs w:val="21"/>
              </w:rPr>
              <w:t>热力生产和供应工程 （包括建设单位自建 自用的供热工程）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482"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建设性质</w:t>
            </w:r>
          </w:p>
        </w:tc>
        <w:tc>
          <w:tcPr>
            <w:tcW w:w="2285" w:type="dxa"/>
            <w:vAlign w:val="center"/>
          </w:tcPr>
          <w:p>
            <w:pPr>
              <w:spacing w:line="240" w:lineRule="auto"/>
              <w:ind w:firstLine="0" w:firstLineChars="0"/>
              <w:rPr>
                <w:color w:val="auto"/>
                <w:sz w:val="21"/>
                <w:szCs w:val="21"/>
              </w:rPr>
            </w:pPr>
            <w:r>
              <w:rPr>
                <w:color w:val="auto"/>
                <w:sz w:val="21"/>
                <w:szCs w:val="21"/>
              </w:rPr>
              <w:sym w:font="Wingdings 2" w:char="00A3"/>
            </w:r>
            <w:r>
              <w:rPr>
                <w:color w:val="auto"/>
                <w:sz w:val="21"/>
                <w:szCs w:val="21"/>
              </w:rPr>
              <w:t>新建（迁建）</w:t>
            </w:r>
          </w:p>
          <w:p>
            <w:pPr>
              <w:spacing w:line="240" w:lineRule="auto"/>
              <w:ind w:firstLine="0" w:firstLineChars="0"/>
              <w:rPr>
                <w:color w:val="auto"/>
                <w:sz w:val="21"/>
                <w:szCs w:val="21"/>
              </w:rPr>
            </w:pPr>
            <w:r>
              <w:rPr>
                <w:color w:val="auto"/>
                <w:sz w:val="21"/>
                <w:szCs w:val="21"/>
              </w:rPr>
              <w:sym w:font="Wingdings 2" w:char="0052"/>
            </w:r>
            <w:r>
              <w:rPr>
                <w:rFonts w:hint="eastAsia"/>
                <w:color w:val="auto"/>
                <w:sz w:val="21"/>
                <w:szCs w:val="21"/>
              </w:rPr>
              <w:t>改建</w:t>
            </w:r>
          </w:p>
          <w:p>
            <w:pPr>
              <w:spacing w:line="240" w:lineRule="auto"/>
              <w:ind w:firstLine="0" w:firstLineChars="0"/>
              <w:rPr>
                <w:color w:val="auto"/>
                <w:sz w:val="21"/>
                <w:szCs w:val="21"/>
              </w:rPr>
            </w:pPr>
            <w:r>
              <w:rPr>
                <w:color w:val="auto"/>
                <w:sz w:val="21"/>
                <w:szCs w:val="21"/>
              </w:rPr>
              <w:sym w:font="Wingdings 2" w:char="0052"/>
            </w:r>
            <w:r>
              <w:rPr>
                <w:color w:val="auto"/>
                <w:sz w:val="21"/>
                <w:szCs w:val="21"/>
              </w:rPr>
              <w:t>扩建</w:t>
            </w:r>
          </w:p>
          <w:p>
            <w:pPr>
              <w:spacing w:line="240" w:lineRule="auto"/>
              <w:ind w:firstLine="0" w:firstLineChars="0"/>
              <w:rPr>
                <w:color w:val="auto"/>
                <w:sz w:val="21"/>
                <w:szCs w:val="21"/>
              </w:rPr>
            </w:pPr>
            <w:r>
              <w:rPr>
                <w:color w:val="auto"/>
                <w:sz w:val="21"/>
                <w:szCs w:val="21"/>
              </w:rPr>
              <w:sym w:font="Wingdings 2" w:char="00A3"/>
            </w:r>
            <w:r>
              <w:rPr>
                <w:color w:val="auto"/>
                <w:sz w:val="21"/>
                <w:szCs w:val="21"/>
              </w:rPr>
              <w:t>技术改造</w:t>
            </w:r>
          </w:p>
        </w:tc>
        <w:tc>
          <w:tcPr>
            <w:tcW w:w="2048" w:type="dxa"/>
            <w:vAlign w:val="center"/>
          </w:tcPr>
          <w:p>
            <w:pPr>
              <w:adjustRightInd w:val="0"/>
              <w:snapToGrid w:val="0"/>
              <w:spacing w:line="240" w:lineRule="auto"/>
              <w:ind w:firstLine="0" w:firstLineChars="0"/>
              <w:jc w:val="center"/>
              <w:rPr>
                <w:color w:val="auto"/>
                <w:sz w:val="21"/>
                <w:szCs w:val="21"/>
              </w:rPr>
            </w:pPr>
            <w:r>
              <w:rPr>
                <w:color w:val="auto"/>
                <w:sz w:val="21"/>
                <w:szCs w:val="21"/>
              </w:rPr>
              <w:t>建设项目</w:t>
            </w:r>
          </w:p>
          <w:p>
            <w:pPr>
              <w:adjustRightInd w:val="0"/>
              <w:snapToGrid w:val="0"/>
              <w:spacing w:line="240" w:lineRule="auto"/>
              <w:ind w:firstLine="0" w:firstLineChars="0"/>
              <w:jc w:val="center"/>
              <w:rPr>
                <w:color w:val="auto"/>
                <w:sz w:val="21"/>
                <w:szCs w:val="21"/>
              </w:rPr>
            </w:pPr>
            <w:r>
              <w:rPr>
                <w:color w:val="auto"/>
                <w:sz w:val="21"/>
                <w:szCs w:val="21"/>
              </w:rPr>
              <w:t>申报情形</w:t>
            </w:r>
          </w:p>
        </w:tc>
        <w:tc>
          <w:tcPr>
            <w:tcW w:w="2489" w:type="dxa"/>
            <w:vAlign w:val="center"/>
          </w:tcPr>
          <w:p>
            <w:pPr>
              <w:spacing w:line="240" w:lineRule="auto"/>
              <w:ind w:firstLine="0" w:firstLineChars="0"/>
              <w:jc w:val="left"/>
              <w:rPr>
                <w:color w:val="auto"/>
                <w:sz w:val="21"/>
                <w:szCs w:val="21"/>
              </w:rPr>
            </w:pPr>
            <w:r>
              <w:rPr>
                <w:color w:val="auto"/>
                <w:sz w:val="21"/>
                <w:szCs w:val="21"/>
              </w:rPr>
              <w:sym w:font="Wingdings 2" w:char="0052"/>
            </w:r>
            <w:r>
              <w:rPr>
                <w:color w:val="auto"/>
                <w:sz w:val="21"/>
                <w:szCs w:val="21"/>
              </w:rPr>
              <w:t xml:space="preserve">首次申报项目             </w:t>
            </w:r>
          </w:p>
          <w:p>
            <w:pPr>
              <w:spacing w:line="240" w:lineRule="auto"/>
              <w:ind w:firstLine="0" w:firstLineChars="0"/>
              <w:jc w:val="left"/>
              <w:rPr>
                <w:color w:val="auto"/>
                <w:sz w:val="21"/>
                <w:szCs w:val="21"/>
              </w:rPr>
            </w:pPr>
            <w:r>
              <w:rPr>
                <w:color w:val="auto"/>
                <w:sz w:val="21"/>
                <w:szCs w:val="21"/>
              </w:rPr>
              <w:sym w:font="Wingdings 2" w:char="00A3"/>
            </w:r>
            <w:r>
              <w:rPr>
                <w:color w:val="auto"/>
                <w:sz w:val="21"/>
                <w:szCs w:val="21"/>
              </w:rPr>
              <w:t>不予批准后再次申报项目</w:t>
            </w:r>
          </w:p>
          <w:p>
            <w:pPr>
              <w:spacing w:line="240" w:lineRule="auto"/>
              <w:ind w:firstLine="0" w:firstLineChars="0"/>
              <w:jc w:val="left"/>
              <w:rPr>
                <w:color w:val="auto"/>
                <w:sz w:val="21"/>
                <w:szCs w:val="21"/>
              </w:rPr>
            </w:pPr>
            <w:r>
              <w:rPr>
                <w:color w:val="auto"/>
                <w:sz w:val="21"/>
                <w:szCs w:val="21"/>
              </w:rPr>
              <w:sym w:font="Wingdings 2" w:char="00A3"/>
            </w:r>
            <w:r>
              <w:rPr>
                <w:color w:val="auto"/>
                <w:sz w:val="21"/>
                <w:szCs w:val="21"/>
              </w:rPr>
              <w:t xml:space="preserve">超五年重新审核项目     </w:t>
            </w:r>
          </w:p>
          <w:p>
            <w:pPr>
              <w:spacing w:line="240" w:lineRule="auto"/>
              <w:ind w:firstLine="0" w:firstLineChars="0"/>
              <w:jc w:val="left"/>
              <w:rPr>
                <w:color w:val="auto"/>
                <w:sz w:val="21"/>
                <w:szCs w:val="21"/>
              </w:rPr>
            </w:pPr>
            <w:r>
              <w:rPr>
                <w:color w:val="auto"/>
                <w:sz w:val="21"/>
                <w:szCs w:val="21"/>
              </w:rPr>
              <w:sym w:font="Wingdings 2" w:char="00A3"/>
            </w:r>
            <w:r>
              <w:rPr>
                <w:color w:val="auto"/>
                <w:sz w:val="21"/>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482"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项目审批（核准</w:t>
            </w:r>
            <w:r>
              <w:rPr>
                <w:rFonts w:hint="eastAsia" w:ascii="Calibri Light" w:hAnsi="Calibri Light" w:cs="Calibri Light"/>
                <w:color w:val="auto"/>
                <w:sz w:val="21"/>
                <w:szCs w:val="21"/>
              </w:rPr>
              <w:t>/</w:t>
            </w:r>
          </w:p>
          <w:p>
            <w:pPr>
              <w:adjustRightInd w:val="0"/>
              <w:snapToGrid w:val="0"/>
              <w:spacing w:line="240" w:lineRule="auto"/>
              <w:ind w:firstLine="0" w:firstLineChars="0"/>
              <w:jc w:val="center"/>
              <w:rPr>
                <w:color w:val="auto"/>
                <w:sz w:val="21"/>
                <w:szCs w:val="21"/>
              </w:rPr>
            </w:pPr>
            <w:r>
              <w:rPr>
                <w:color w:val="auto"/>
                <w:sz w:val="21"/>
                <w:szCs w:val="21"/>
              </w:rPr>
              <w:t>备案）部门（选填）</w:t>
            </w:r>
          </w:p>
        </w:tc>
        <w:tc>
          <w:tcPr>
            <w:tcW w:w="2285"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w:t>
            </w:r>
          </w:p>
        </w:tc>
        <w:tc>
          <w:tcPr>
            <w:tcW w:w="2048" w:type="dxa"/>
            <w:vAlign w:val="center"/>
          </w:tcPr>
          <w:p>
            <w:pPr>
              <w:adjustRightInd w:val="0"/>
              <w:snapToGrid w:val="0"/>
              <w:spacing w:line="240" w:lineRule="auto"/>
              <w:ind w:firstLine="0" w:firstLineChars="0"/>
              <w:jc w:val="center"/>
              <w:rPr>
                <w:color w:val="auto"/>
                <w:sz w:val="21"/>
                <w:szCs w:val="21"/>
              </w:rPr>
            </w:pPr>
            <w:r>
              <w:rPr>
                <w:color w:val="auto"/>
                <w:sz w:val="21"/>
                <w:szCs w:val="21"/>
              </w:rPr>
              <w:t>项目审批（核准</w:t>
            </w:r>
            <w:r>
              <w:rPr>
                <w:rFonts w:hint="eastAsia" w:ascii="Calibri Light" w:hAnsi="Calibri Light" w:cs="Calibri Light"/>
                <w:color w:val="auto"/>
                <w:sz w:val="21"/>
                <w:szCs w:val="21"/>
              </w:rPr>
              <w:t>/</w:t>
            </w:r>
          </w:p>
          <w:p>
            <w:pPr>
              <w:adjustRightInd w:val="0"/>
              <w:snapToGrid w:val="0"/>
              <w:spacing w:line="240" w:lineRule="auto"/>
              <w:ind w:firstLine="0" w:firstLineChars="0"/>
              <w:jc w:val="center"/>
              <w:rPr>
                <w:color w:val="auto"/>
                <w:sz w:val="21"/>
                <w:szCs w:val="21"/>
              </w:rPr>
            </w:pPr>
            <w:r>
              <w:rPr>
                <w:color w:val="auto"/>
                <w:sz w:val="21"/>
                <w:szCs w:val="21"/>
              </w:rPr>
              <w:t>备案）文号（选填）</w:t>
            </w:r>
          </w:p>
        </w:tc>
        <w:tc>
          <w:tcPr>
            <w:tcW w:w="2489" w:type="dxa"/>
            <w:vAlign w:val="center"/>
          </w:tcPr>
          <w:p>
            <w:pPr>
              <w:adjustRightInd w:val="0"/>
              <w:snapToGrid w:val="0"/>
              <w:spacing w:line="240" w:lineRule="auto"/>
              <w:ind w:firstLine="0" w:firstLineChars="0"/>
              <w:jc w:val="center"/>
              <w:rPr>
                <w:color w:val="auto"/>
                <w:sz w:val="21"/>
                <w:szCs w:val="21"/>
              </w:rPr>
            </w:pPr>
            <w:r>
              <w:rPr>
                <w:rFonts w:hint="eastAsia" w:ascii="Calibri Light" w:hAnsi="Calibri Light" w:cs="Calibri Light"/>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82"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总投资（万元）</w:t>
            </w:r>
          </w:p>
        </w:tc>
        <w:tc>
          <w:tcPr>
            <w:tcW w:w="2285"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213</w:t>
            </w:r>
          </w:p>
        </w:tc>
        <w:tc>
          <w:tcPr>
            <w:tcW w:w="2048"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环保投资（万元）</w:t>
            </w:r>
          </w:p>
        </w:tc>
        <w:tc>
          <w:tcPr>
            <w:tcW w:w="248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82"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环保投资占比（%）</w:t>
            </w:r>
          </w:p>
        </w:tc>
        <w:tc>
          <w:tcPr>
            <w:tcW w:w="2285"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3.57%</w:t>
            </w:r>
          </w:p>
        </w:tc>
        <w:tc>
          <w:tcPr>
            <w:tcW w:w="2048"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施工工期</w:t>
            </w:r>
          </w:p>
        </w:tc>
        <w:tc>
          <w:tcPr>
            <w:tcW w:w="248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482" w:type="dxa"/>
            <w:tcMar>
              <w:top w:w="16" w:type="dxa"/>
              <w:left w:w="16" w:type="dxa"/>
              <w:right w:w="16" w:type="dxa"/>
            </w:tcMar>
            <w:vAlign w:val="center"/>
          </w:tcPr>
          <w:p>
            <w:pPr>
              <w:adjustRightInd w:val="0"/>
              <w:snapToGrid w:val="0"/>
              <w:spacing w:line="240" w:lineRule="auto"/>
              <w:ind w:firstLine="0" w:firstLineChars="0"/>
              <w:jc w:val="center"/>
              <w:rPr>
                <w:color w:val="auto"/>
                <w:sz w:val="21"/>
                <w:szCs w:val="21"/>
              </w:rPr>
            </w:pPr>
            <w:r>
              <w:rPr>
                <w:color w:val="auto"/>
                <w:sz w:val="21"/>
                <w:szCs w:val="21"/>
              </w:rPr>
              <w:t>是否开工建设</w:t>
            </w:r>
          </w:p>
        </w:tc>
        <w:tc>
          <w:tcPr>
            <w:tcW w:w="2285" w:type="dxa"/>
            <w:vAlign w:val="center"/>
          </w:tcPr>
          <w:p>
            <w:pPr>
              <w:adjustRightInd w:val="0"/>
              <w:snapToGrid w:val="0"/>
              <w:spacing w:line="240" w:lineRule="auto"/>
              <w:ind w:firstLine="0" w:firstLineChars="0"/>
              <w:jc w:val="left"/>
              <w:rPr>
                <w:color w:val="auto"/>
                <w:sz w:val="21"/>
                <w:szCs w:val="21"/>
              </w:rPr>
            </w:pPr>
            <w:r>
              <w:rPr>
                <w:color w:val="auto"/>
                <w:sz w:val="21"/>
                <w:szCs w:val="21"/>
              </w:rPr>
              <w:sym w:font="Wingdings 2" w:char="0052"/>
            </w:r>
            <w:r>
              <w:rPr>
                <w:color w:val="auto"/>
                <w:sz w:val="21"/>
                <w:szCs w:val="21"/>
              </w:rPr>
              <w:t>否</w:t>
            </w:r>
          </w:p>
          <w:p>
            <w:pPr>
              <w:adjustRightInd w:val="0"/>
              <w:snapToGrid w:val="0"/>
              <w:spacing w:line="240" w:lineRule="auto"/>
              <w:ind w:firstLine="0" w:firstLineChars="0"/>
              <w:jc w:val="left"/>
              <w:rPr>
                <w:color w:val="auto"/>
                <w:sz w:val="21"/>
                <w:szCs w:val="21"/>
              </w:rPr>
            </w:pPr>
            <w:r>
              <w:rPr>
                <w:color w:val="auto"/>
                <w:sz w:val="21"/>
                <w:szCs w:val="21"/>
              </w:rPr>
              <w:sym w:font="Wingdings 2" w:char="00A3"/>
            </w:r>
            <w:r>
              <w:rPr>
                <w:color w:val="auto"/>
                <w:sz w:val="21"/>
                <w:szCs w:val="21"/>
              </w:rPr>
              <w:t>是：</w:t>
            </w:r>
            <w:r>
              <w:rPr>
                <w:color w:val="auto"/>
                <w:sz w:val="21"/>
                <w:szCs w:val="21"/>
                <w:u w:val="single"/>
              </w:rPr>
              <w:t xml:space="preserve">             </w:t>
            </w:r>
          </w:p>
        </w:tc>
        <w:tc>
          <w:tcPr>
            <w:tcW w:w="2048" w:type="dxa"/>
            <w:tcMar>
              <w:top w:w="16" w:type="dxa"/>
              <w:left w:w="16" w:type="dxa"/>
              <w:right w:w="16" w:type="dxa"/>
            </w:tcMar>
            <w:vAlign w:val="center"/>
          </w:tcPr>
          <w:p>
            <w:pPr>
              <w:adjustRightInd w:val="0"/>
              <w:snapToGrid w:val="0"/>
              <w:spacing w:line="240" w:lineRule="auto"/>
              <w:ind w:firstLine="0" w:firstLineChars="0"/>
              <w:jc w:val="center"/>
              <w:rPr>
                <w:color w:val="auto"/>
                <w:spacing w:val="-6"/>
                <w:sz w:val="21"/>
                <w:szCs w:val="21"/>
              </w:rPr>
            </w:pPr>
            <w:r>
              <w:rPr>
                <w:color w:val="auto"/>
                <w:spacing w:val="-6"/>
                <w:sz w:val="21"/>
                <w:szCs w:val="21"/>
              </w:rPr>
              <w:t>用地（用海）</w:t>
            </w:r>
          </w:p>
          <w:p>
            <w:pPr>
              <w:adjustRightInd w:val="0"/>
              <w:snapToGrid w:val="0"/>
              <w:spacing w:line="240" w:lineRule="auto"/>
              <w:ind w:firstLine="0" w:firstLineChars="0"/>
              <w:jc w:val="center"/>
              <w:rPr>
                <w:color w:val="auto"/>
                <w:sz w:val="21"/>
                <w:szCs w:val="21"/>
              </w:rPr>
            </w:pPr>
            <w:r>
              <w:rPr>
                <w:color w:val="auto"/>
                <w:spacing w:val="-6"/>
                <w:sz w:val="21"/>
                <w:szCs w:val="21"/>
              </w:rPr>
              <w:t>面积（m</w:t>
            </w:r>
            <w:r>
              <w:rPr>
                <w:color w:val="auto"/>
                <w:spacing w:val="-6"/>
                <w:sz w:val="21"/>
                <w:szCs w:val="21"/>
                <w:vertAlign w:val="superscript"/>
              </w:rPr>
              <w:t>2</w:t>
            </w:r>
            <w:r>
              <w:rPr>
                <w:color w:val="auto"/>
                <w:spacing w:val="-6"/>
                <w:sz w:val="21"/>
                <w:szCs w:val="21"/>
              </w:rPr>
              <w:t>）</w:t>
            </w:r>
          </w:p>
        </w:tc>
        <w:tc>
          <w:tcPr>
            <w:tcW w:w="2489" w:type="dxa"/>
            <w:vAlign w:val="center"/>
          </w:tcPr>
          <w:p>
            <w:pPr>
              <w:adjustRightInd w:val="0"/>
              <w:snapToGrid w:val="0"/>
              <w:spacing w:line="240" w:lineRule="auto"/>
              <w:ind w:firstLine="0" w:firstLineChars="0"/>
              <w:jc w:val="center"/>
              <w:rPr>
                <w:color w:val="auto"/>
                <w:sz w:val="21"/>
                <w:szCs w:val="21"/>
              </w:rPr>
            </w:pPr>
            <w:r>
              <w:rPr>
                <w:rFonts w:hint="eastAsia"/>
                <w:color w:val="auto"/>
                <w:sz w:val="21"/>
                <w:szCs w:val="21"/>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482" w:type="dxa"/>
            <w:vAlign w:val="center"/>
          </w:tcPr>
          <w:p>
            <w:pPr>
              <w:autoSpaceDE w:val="0"/>
              <w:autoSpaceDN w:val="0"/>
              <w:adjustRightInd w:val="0"/>
              <w:snapToGrid w:val="0"/>
              <w:spacing w:line="240" w:lineRule="auto"/>
              <w:ind w:firstLine="0" w:firstLineChars="0"/>
              <w:jc w:val="center"/>
              <w:rPr>
                <w:color w:val="auto"/>
                <w:sz w:val="21"/>
                <w:szCs w:val="21"/>
              </w:rPr>
            </w:pPr>
            <w:r>
              <w:rPr>
                <w:color w:val="auto"/>
                <w:kern w:val="0"/>
                <w:sz w:val="21"/>
                <w:szCs w:val="21"/>
              </w:rPr>
              <w:t>专项评价设置情况</w:t>
            </w:r>
          </w:p>
        </w:tc>
        <w:tc>
          <w:tcPr>
            <w:tcW w:w="6822" w:type="dxa"/>
            <w:gridSpan w:val="3"/>
            <w:vAlign w:val="center"/>
          </w:tcPr>
          <w:p>
            <w:pPr>
              <w:ind w:firstLine="420"/>
              <w:rPr>
                <w:color w:val="auto"/>
                <w:sz w:val="21"/>
                <w:szCs w:val="21"/>
              </w:rPr>
            </w:pPr>
            <w:r>
              <w:rPr>
                <w:rFonts w:hint="eastAsia"/>
                <w:color w:val="auto"/>
                <w:sz w:val="21"/>
                <w:szCs w:val="21"/>
              </w:rPr>
              <w:t>本项目专项评价设置情况见表1-</w:t>
            </w:r>
            <w:r>
              <w:rPr>
                <w:color w:val="auto"/>
                <w:sz w:val="21"/>
                <w:szCs w:val="21"/>
              </w:rPr>
              <w:fldChar w:fldCharType="begin"/>
            </w:r>
            <w:r>
              <w:rPr>
                <w:color w:val="auto"/>
                <w:sz w:val="21"/>
                <w:szCs w:val="21"/>
              </w:rPr>
              <w:instrText xml:space="preserve"> SEQ 1- \* MERGEFORMAT </w:instrText>
            </w:r>
            <w:r>
              <w:rPr>
                <w:color w:val="auto"/>
                <w:sz w:val="21"/>
                <w:szCs w:val="21"/>
              </w:rPr>
              <w:fldChar w:fldCharType="separate"/>
            </w:r>
            <w:r>
              <w:rPr>
                <w:color w:val="auto"/>
                <w:sz w:val="21"/>
                <w:szCs w:val="21"/>
              </w:rPr>
              <w:t>1</w:t>
            </w:r>
            <w:r>
              <w:rPr>
                <w:color w:val="auto"/>
                <w:sz w:val="21"/>
                <w:szCs w:val="21"/>
              </w:rPr>
              <w:fldChar w:fldCharType="end"/>
            </w:r>
            <w:r>
              <w:rPr>
                <w:rFonts w:hint="eastAsia"/>
                <w:color w:val="auto"/>
                <w:sz w:val="21"/>
                <w:szCs w:val="21"/>
              </w:rPr>
              <w:t>。</w:t>
            </w:r>
          </w:p>
          <w:p>
            <w:pPr>
              <w:pStyle w:val="32"/>
              <w:spacing w:line="360" w:lineRule="auto"/>
              <w:rPr>
                <w:color w:val="auto"/>
              </w:rPr>
            </w:pPr>
            <w:r>
              <w:rPr>
                <w:rFonts w:hint="eastAsia"/>
                <w:color w:val="auto"/>
              </w:rPr>
              <w:t>表1-</w:t>
            </w:r>
            <w:r>
              <w:rPr>
                <w:color w:val="auto"/>
              </w:rPr>
              <w:fldChar w:fldCharType="begin"/>
            </w:r>
            <w:r>
              <w:rPr>
                <w:color w:val="auto"/>
              </w:rPr>
              <w:instrText xml:space="preserve"> SEQ 表1- \* MERGEFORMAT </w:instrText>
            </w:r>
            <w:r>
              <w:rPr>
                <w:color w:val="auto"/>
              </w:rPr>
              <w:fldChar w:fldCharType="separate"/>
            </w:r>
            <w:r>
              <w:rPr>
                <w:color w:val="auto"/>
              </w:rPr>
              <w:t>1</w:t>
            </w:r>
            <w:r>
              <w:rPr>
                <w:color w:val="auto"/>
              </w:rPr>
              <w:fldChar w:fldCharType="end"/>
            </w:r>
            <w:r>
              <w:rPr>
                <w:rFonts w:hint="eastAsia"/>
                <w:color w:val="auto"/>
              </w:rPr>
              <w:t xml:space="preserve">  项目专项评价设置情况</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2917"/>
              <w:gridCol w:w="2411"/>
              <w:gridCol w:w="5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vAlign w:val="center"/>
                </w:tcPr>
                <w:p>
                  <w:pPr>
                    <w:pStyle w:val="31"/>
                    <w:rPr>
                      <w:color w:val="auto"/>
                      <w:szCs w:val="21"/>
                    </w:rPr>
                  </w:pPr>
                  <w:r>
                    <w:rPr>
                      <w:rFonts w:hint="eastAsia"/>
                      <w:color w:val="auto"/>
                      <w:szCs w:val="21"/>
                    </w:rPr>
                    <w:t>专项评价的类别</w:t>
                  </w:r>
                </w:p>
              </w:tc>
              <w:tc>
                <w:tcPr>
                  <w:tcW w:w="2595" w:type="dxa"/>
                  <w:vAlign w:val="center"/>
                </w:tcPr>
                <w:p>
                  <w:pPr>
                    <w:pStyle w:val="31"/>
                    <w:rPr>
                      <w:color w:val="auto"/>
                      <w:szCs w:val="21"/>
                    </w:rPr>
                  </w:pPr>
                  <w:r>
                    <w:rPr>
                      <w:rFonts w:hint="eastAsia"/>
                      <w:color w:val="auto"/>
                      <w:szCs w:val="21"/>
                    </w:rPr>
                    <w:t>设置原则</w:t>
                  </w:r>
                </w:p>
              </w:tc>
              <w:tc>
                <w:tcPr>
                  <w:tcW w:w="2145" w:type="dxa"/>
                  <w:vAlign w:val="center"/>
                </w:tcPr>
                <w:p>
                  <w:pPr>
                    <w:pStyle w:val="31"/>
                    <w:rPr>
                      <w:color w:val="auto"/>
                      <w:szCs w:val="21"/>
                    </w:rPr>
                  </w:pPr>
                  <w:r>
                    <w:rPr>
                      <w:rFonts w:hint="eastAsia"/>
                      <w:color w:val="auto"/>
                      <w:szCs w:val="21"/>
                    </w:rPr>
                    <w:t>本项目情况</w:t>
                  </w:r>
                </w:p>
              </w:tc>
              <w:tc>
                <w:tcPr>
                  <w:tcW w:w="475" w:type="dxa"/>
                  <w:vAlign w:val="center"/>
                </w:tcPr>
                <w:p>
                  <w:pPr>
                    <w:pStyle w:val="17"/>
                    <w:jc w:val="center"/>
                    <w:rPr>
                      <w:color w:val="auto"/>
                      <w:sz w:val="21"/>
                      <w:szCs w:val="21"/>
                    </w:rPr>
                  </w:pPr>
                  <w:r>
                    <w:rPr>
                      <w:rFonts w:hint="eastAsia"/>
                      <w:color w:val="auto"/>
                      <w:sz w:val="21"/>
                      <w:szCs w:val="21"/>
                    </w:rPr>
                    <w:t>是否设置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vAlign w:val="center"/>
                </w:tcPr>
                <w:p>
                  <w:pPr>
                    <w:pStyle w:val="31"/>
                    <w:rPr>
                      <w:color w:val="auto"/>
                      <w:szCs w:val="21"/>
                    </w:rPr>
                  </w:pPr>
                  <w:r>
                    <w:rPr>
                      <w:rFonts w:hint="eastAsia"/>
                      <w:color w:val="auto"/>
                      <w:szCs w:val="21"/>
                    </w:rPr>
                    <w:t>大气</w:t>
                  </w:r>
                </w:p>
              </w:tc>
              <w:tc>
                <w:tcPr>
                  <w:tcW w:w="2595" w:type="dxa"/>
                  <w:vAlign w:val="center"/>
                </w:tcPr>
                <w:p>
                  <w:pPr>
                    <w:pStyle w:val="31"/>
                    <w:rPr>
                      <w:color w:val="auto"/>
                      <w:szCs w:val="21"/>
                    </w:rPr>
                  </w:pPr>
                  <w:r>
                    <w:rPr>
                      <w:rFonts w:hint="eastAsia"/>
                      <w:color w:val="auto"/>
                      <w:szCs w:val="21"/>
                    </w:rPr>
                    <w:t>排放废气含有毒有害污染物</w:t>
                  </w:r>
                  <w:r>
                    <w:rPr>
                      <w:rFonts w:hint="eastAsia"/>
                      <w:color w:val="auto"/>
                      <w:szCs w:val="21"/>
                      <w:vertAlign w:val="superscript"/>
                    </w:rPr>
                    <w:t>1</w:t>
                  </w:r>
                  <w:r>
                    <w:rPr>
                      <w:rFonts w:hint="eastAsia"/>
                      <w:color w:val="auto"/>
                      <w:szCs w:val="21"/>
                    </w:rPr>
                    <w:t>、二噁英、苯并[a]芘、氰化物、氯气且厂界500米范围内有环境空气保护目标</w:t>
                  </w:r>
                  <w:r>
                    <w:rPr>
                      <w:rFonts w:hint="eastAsia"/>
                      <w:color w:val="auto"/>
                      <w:szCs w:val="21"/>
                      <w:vertAlign w:val="superscript"/>
                    </w:rPr>
                    <w:t>2</w:t>
                  </w:r>
                  <w:r>
                    <w:rPr>
                      <w:rFonts w:hint="eastAsia"/>
                      <w:color w:val="auto"/>
                      <w:szCs w:val="21"/>
                    </w:rPr>
                    <w:t>的建设项目。</w:t>
                  </w:r>
                </w:p>
              </w:tc>
              <w:tc>
                <w:tcPr>
                  <w:tcW w:w="2145" w:type="dxa"/>
                  <w:vAlign w:val="center"/>
                </w:tcPr>
                <w:p>
                  <w:pPr>
                    <w:pStyle w:val="31"/>
                    <w:rPr>
                      <w:color w:val="auto"/>
                      <w:szCs w:val="21"/>
                    </w:rPr>
                  </w:pPr>
                  <w:r>
                    <w:rPr>
                      <w:rFonts w:hint="eastAsia"/>
                      <w:color w:val="auto"/>
                      <w:szCs w:val="21"/>
                    </w:rPr>
                    <w:t>本项目排放废气不涉及有毒有害污染物、二噁英、苯并[a]芘、氰化物、氯气。</w:t>
                  </w:r>
                </w:p>
              </w:tc>
              <w:tc>
                <w:tcPr>
                  <w:tcW w:w="475" w:type="dxa"/>
                  <w:vAlign w:val="center"/>
                </w:tcPr>
                <w:p>
                  <w:pPr>
                    <w:pStyle w:val="17"/>
                    <w:jc w:val="center"/>
                    <w:rPr>
                      <w:color w:val="auto"/>
                      <w:sz w:val="21"/>
                      <w:szCs w:val="21"/>
                    </w:rPr>
                  </w:pPr>
                  <w:r>
                    <w:rPr>
                      <w:rFonts w:hint="eastAsia"/>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vAlign w:val="center"/>
                </w:tcPr>
                <w:p>
                  <w:pPr>
                    <w:pStyle w:val="31"/>
                    <w:rPr>
                      <w:color w:val="auto"/>
                      <w:szCs w:val="21"/>
                    </w:rPr>
                  </w:pPr>
                  <w:r>
                    <w:rPr>
                      <w:rFonts w:hint="eastAsia"/>
                      <w:color w:val="auto"/>
                      <w:szCs w:val="21"/>
                    </w:rPr>
                    <w:t>地表水</w:t>
                  </w:r>
                </w:p>
              </w:tc>
              <w:tc>
                <w:tcPr>
                  <w:tcW w:w="2595" w:type="dxa"/>
                  <w:vAlign w:val="center"/>
                </w:tcPr>
                <w:p>
                  <w:pPr>
                    <w:pStyle w:val="31"/>
                    <w:rPr>
                      <w:color w:val="auto"/>
                      <w:szCs w:val="21"/>
                    </w:rPr>
                  </w:pPr>
                  <w:r>
                    <w:rPr>
                      <w:rFonts w:hint="eastAsia"/>
                      <w:color w:val="auto"/>
                      <w:szCs w:val="21"/>
                    </w:rPr>
                    <w:t>新增工业废水直排建设项目（槽罐车外送污水处理站的除外）；新增废水直排的污水集中处理站。</w:t>
                  </w:r>
                </w:p>
              </w:tc>
              <w:tc>
                <w:tcPr>
                  <w:tcW w:w="2145" w:type="dxa"/>
                  <w:vAlign w:val="center"/>
                </w:tcPr>
                <w:p>
                  <w:pPr>
                    <w:pStyle w:val="31"/>
                    <w:rPr>
                      <w:color w:val="auto"/>
                      <w:szCs w:val="21"/>
                    </w:rPr>
                  </w:pPr>
                  <w:r>
                    <w:rPr>
                      <w:rFonts w:hint="eastAsia"/>
                      <w:color w:val="auto"/>
                      <w:szCs w:val="21"/>
                    </w:rPr>
                    <w:t>本项目不涉及废水直排。</w:t>
                  </w:r>
                </w:p>
              </w:tc>
              <w:tc>
                <w:tcPr>
                  <w:tcW w:w="475" w:type="dxa"/>
                  <w:vAlign w:val="center"/>
                </w:tcPr>
                <w:p>
                  <w:pPr>
                    <w:pStyle w:val="17"/>
                    <w:jc w:val="center"/>
                    <w:rPr>
                      <w:color w:val="auto"/>
                      <w:sz w:val="21"/>
                      <w:szCs w:val="21"/>
                    </w:rPr>
                  </w:pPr>
                  <w:r>
                    <w:rPr>
                      <w:rFonts w:hint="eastAsia"/>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vAlign w:val="center"/>
                </w:tcPr>
                <w:p>
                  <w:pPr>
                    <w:pStyle w:val="31"/>
                    <w:rPr>
                      <w:color w:val="auto"/>
                      <w:szCs w:val="21"/>
                    </w:rPr>
                  </w:pPr>
                  <w:r>
                    <w:rPr>
                      <w:rFonts w:hint="eastAsia"/>
                      <w:color w:val="auto"/>
                      <w:szCs w:val="21"/>
                    </w:rPr>
                    <w:t>环境风险</w:t>
                  </w:r>
                </w:p>
              </w:tc>
              <w:tc>
                <w:tcPr>
                  <w:tcW w:w="2595" w:type="dxa"/>
                  <w:vAlign w:val="center"/>
                </w:tcPr>
                <w:p>
                  <w:pPr>
                    <w:pStyle w:val="31"/>
                    <w:rPr>
                      <w:color w:val="auto"/>
                      <w:szCs w:val="21"/>
                    </w:rPr>
                  </w:pPr>
                  <w:r>
                    <w:rPr>
                      <w:rFonts w:hint="eastAsia"/>
                      <w:color w:val="auto"/>
                      <w:szCs w:val="21"/>
                    </w:rPr>
                    <w:t>有毒有害和易燃易爆危险物质存储量超过临界量</w:t>
                  </w:r>
                  <w:r>
                    <w:rPr>
                      <w:rFonts w:hint="eastAsia"/>
                      <w:color w:val="auto"/>
                      <w:szCs w:val="21"/>
                      <w:vertAlign w:val="superscript"/>
                    </w:rPr>
                    <w:t>3</w:t>
                  </w:r>
                  <w:r>
                    <w:rPr>
                      <w:rFonts w:hint="eastAsia"/>
                      <w:color w:val="auto"/>
                      <w:szCs w:val="21"/>
                    </w:rPr>
                    <w:t>的建设项目。</w:t>
                  </w:r>
                </w:p>
              </w:tc>
              <w:tc>
                <w:tcPr>
                  <w:tcW w:w="2145" w:type="dxa"/>
                  <w:vAlign w:val="center"/>
                </w:tcPr>
                <w:p>
                  <w:pPr>
                    <w:pStyle w:val="31"/>
                    <w:rPr>
                      <w:color w:val="auto"/>
                      <w:szCs w:val="21"/>
                    </w:rPr>
                  </w:pPr>
                  <w:r>
                    <w:rPr>
                      <w:rFonts w:hint="eastAsia"/>
                      <w:color w:val="auto"/>
                      <w:szCs w:val="21"/>
                    </w:rPr>
                    <w:t>本项目有毒有害和易燃易爆危险物质最大存在总量与其临界量的比值Q&lt;1，存储量未超过临界量。</w:t>
                  </w:r>
                </w:p>
              </w:tc>
              <w:tc>
                <w:tcPr>
                  <w:tcW w:w="475" w:type="dxa"/>
                  <w:vAlign w:val="center"/>
                </w:tcPr>
                <w:p>
                  <w:pPr>
                    <w:pStyle w:val="17"/>
                    <w:jc w:val="center"/>
                    <w:rPr>
                      <w:color w:val="auto"/>
                      <w:sz w:val="21"/>
                      <w:szCs w:val="21"/>
                    </w:rPr>
                  </w:pPr>
                  <w:r>
                    <w:rPr>
                      <w:rFonts w:hint="eastAsia"/>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vAlign w:val="center"/>
                </w:tcPr>
                <w:p>
                  <w:pPr>
                    <w:pStyle w:val="31"/>
                    <w:rPr>
                      <w:color w:val="auto"/>
                      <w:szCs w:val="21"/>
                    </w:rPr>
                  </w:pPr>
                  <w:r>
                    <w:rPr>
                      <w:rFonts w:hint="eastAsia"/>
                      <w:color w:val="auto"/>
                      <w:szCs w:val="21"/>
                    </w:rPr>
                    <w:t>生态</w:t>
                  </w:r>
                </w:p>
              </w:tc>
              <w:tc>
                <w:tcPr>
                  <w:tcW w:w="2595" w:type="dxa"/>
                  <w:vAlign w:val="center"/>
                </w:tcPr>
                <w:p>
                  <w:pPr>
                    <w:pStyle w:val="31"/>
                    <w:rPr>
                      <w:color w:val="auto"/>
                      <w:szCs w:val="21"/>
                    </w:rPr>
                  </w:pPr>
                  <w:r>
                    <w:rPr>
                      <w:rFonts w:hint="eastAsia"/>
                      <w:color w:val="auto"/>
                      <w:szCs w:val="21"/>
                    </w:rPr>
                    <w:t>取水口下游500米范围内有重要水生生物的自然产卵场、索饵场、越冬场和洄游通道的新增河道取水的污染类建设项目。</w:t>
                  </w:r>
                </w:p>
              </w:tc>
              <w:tc>
                <w:tcPr>
                  <w:tcW w:w="2145" w:type="dxa"/>
                  <w:vAlign w:val="center"/>
                </w:tcPr>
                <w:p>
                  <w:pPr>
                    <w:pStyle w:val="31"/>
                    <w:rPr>
                      <w:color w:val="auto"/>
                      <w:szCs w:val="21"/>
                    </w:rPr>
                  </w:pPr>
                  <w:r>
                    <w:rPr>
                      <w:rFonts w:hint="eastAsia"/>
                      <w:color w:val="auto"/>
                      <w:szCs w:val="21"/>
                    </w:rPr>
                    <w:t>本项目由市政供水，无取水口，不属于新增河道取水的污染类建设项目。</w:t>
                  </w:r>
                </w:p>
              </w:tc>
              <w:tc>
                <w:tcPr>
                  <w:tcW w:w="475" w:type="dxa"/>
                  <w:vAlign w:val="center"/>
                </w:tcPr>
                <w:p>
                  <w:pPr>
                    <w:pStyle w:val="17"/>
                    <w:jc w:val="center"/>
                    <w:rPr>
                      <w:color w:val="auto"/>
                      <w:sz w:val="21"/>
                      <w:szCs w:val="21"/>
                    </w:rPr>
                  </w:pPr>
                  <w:r>
                    <w:rPr>
                      <w:rFonts w:hint="eastAsia"/>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vAlign w:val="center"/>
                </w:tcPr>
                <w:p>
                  <w:pPr>
                    <w:pStyle w:val="31"/>
                    <w:rPr>
                      <w:color w:val="auto"/>
                      <w:szCs w:val="21"/>
                    </w:rPr>
                  </w:pPr>
                  <w:r>
                    <w:rPr>
                      <w:rFonts w:hint="eastAsia"/>
                      <w:color w:val="auto"/>
                      <w:szCs w:val="21"/>
                    </w:rPr>
                    <w:t>海洋</w:t>
                  </w:r>
                </w:p>
              </w:tc>
              <w:tc>
                <w:tcPr>
                  <w:tcW w:w="2595" w:type="dxa"/>
                  <w:vAlign w:val="center"/>
                </w:tcPr>
                <w:p>
                  <w:pPr>
                    <w:pStyle w:val="31"/>
                    <w:rPr>
                      <w:color w:val="auto"/>
                      <w:szCs w:val="21"/>
                    </w:rPr>
                  </w:pPr>
                  <w:r>
                    <w:rPr>
                      <w:rFonts w:hint="eastAsia"/>
                      <w:color w:val="auto"/>
                      <w:szCs w:val="21"/>
                    </w:rPr>
                    <w:t>直接向海排放污染物的海洋工程建设项目。</w:t>
                  </w:r>
                </w:p>
              </w:tc>
              <w:tc>
                <w:tcPr>
                  <w:tcW w:w="2145" w:type="dxa"/>
                  <w:vAlign w:val="center"/>
                </w:tcPr>
                <w:p>
                  <w:pPr>
                    <w:pStyle w:val="31"/>
                    <w:rPr>
                      <w:color w:val="auto"/>
                      <w:szCs w:val="21"/>
                    </w:rPr>
                  </w:pPr>
                  <w:r>
                    <w:rPr>
                      <w:rFonts w:hint="eastAsia"/>
                      <w:color w:val="auto"/>
                      <w:szCs w:val="21"/>
                    </w:rPr>
                    <w:t>本项目非海洋工程建设项目</w:t>
                  </w:r>
                </w:p>
              </w:tc>
              <w:tc>
                <w:tcPr>
                  <w:tcW w:w="475" w:type="dxa"/>
                  <w:vAlign w:val="center"/>
                </w:tcPr>
                <w:p>
                  <w:pPr>
                    <w:pStyle w:val="17"/>
                    <w:jc w:val="center"/>
                    <w:rPr>
                      <w:color w:val="auto"/>
                      <w:sz w:val="21"/>
                      <w:szCs w:val="21"/>
                    </w:rPr>
                  </w:pPr>
                  <w:r>
                    <w:rPr>
                      <w:rFonts w:hint="eastAsia"/>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62" w:type="dxa"/>
                  <w:gridSpan w:val="4"/>
                  <w:vAlign w:val="center"/>
                </w:tcPr>
                <w:p>
                  <w:pPr>
                    <w:pStyle w:val="17"/>
                    <w:jc w:val="both"/>
                    <w:rPr>
                      <w:color w:val="auto"/>
                      <w:sz w:val="21"/>
                      <w:szCs w:val="21"/>
                    </w:rPr>
                  </w:pPr>
                  <w:r>
                    <w:rPr>
                      <w:rFonts w:hint="eastAsia"/>
                      <w:color w:val="auto"/>
                      <w:sz w:val="21"/>
                      <w:szCs w:val="21"/>
                    </w:rPr>
                    <w:t>备注：1、废气中有毒有害污染物指纳入《有毒有害大气污染物名录》的污染物（不包括无排放标准的污染物）。2、环境空气保护目标指自然保护区、风景名胜区、居住区、文化区和农村地区中人群较集中的区域。3、临界量及其计算方法可参考《建设项目环境风险评价技术导则》（HJ169）附录B、附录C。</w:t>
                  </w:r>
                </w:p>
              </w:tc>
            </w:tr>
          </w:tbl>
          <w:p>
            <w:pPr>
              <w:spacing w:line="240" w:lineRule="auto"/>
              <w:ind w:firstLine="420"/>
              <w:rPr>
                <w:color w:val="auto"/>
                <w:sz w:val="21"/>
                <w:szCs w:val="21"/>
              </w:rPr>
            </w:pPr>
            <w:r>
              <w:rPr>
                <w:rFonts w:hint="eastAsia"/>
                <w:color w:val="auto"/>
                <w:sz w:val="21"/>
                <w:szCs w:val="21"/>
              </w:rPr>
              <w:t>综上，本项目无需设置专项评价。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1482" w:type="dxa"/>
            <w:vAlign w:val="center"/>
          </w:tcPr>
          <w:p>
            <w:pPr>
              <w:autoSpaceDE w:val="0"/>
              <w:autoSpaceDN w:val="0"/>
              <w:adjustRightInd w:val="0"/>
              <w:snapToGrid w:val="0"/>
              <w:spacing w:line="240" w:lineRule="auto"/>
              <w:ind w:firstLine="0" w:firstLineChars="0"/>
              <w:jc w:val="center"/>
              <w:rPr>
                <w:color w:val="auto"/>
                <w:sz w:val="21"/>
                <w:szCs w:val="21"/>
              </w:rPr>
            </w:pPr>
            <w:r>
              <w:rPr>
                <w:color w:val="auto"/>
                <w:sz w:val="21"/>
                <w:szCs w:val="21"/>
              </w:rPr>
              <w:t>规划情况</w:t>
            </w:r>
          </w:p>
        </w:tc>
        <w:tc>
          <w:tcPr>
            <w:tcW w:w="6822" w:type="dxa"/>
            <w:gridSpan w:val="3"/>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1482" w:type="dxa"/>
            <w:vAlign w:val="center"/>
          </w:tcPr>
          <w:p>
            <w:pPr>
              <w:adjustRightInd w:val="0"/>
              <w:snapToGrid w:val="0"/>
              <w:spacing w:line="240" w:lineRule="auto"/>
              <w:ind w:firstLine="0" w:firstLineChars="0"/>
              <w:jc w:val="center"/>
              <w:rPr>
                <w:color w:val="auto"/>
                <w:sz w:val="21"/>
                <w:szCs w:val="21"/>
              </w:rPr>
            </w:pPr>
            <w:r>
              <w:rPr>
                <w:color w:val="auto"/>
                <w:sz w:val="21"/>
                <w:szCs w:val="21"/>
              </w:rPr>
              <w:t>规划环境影响</w:t>
            </w:r>
          </w:p>
          <w:p>
            <w:pPr>
              <w:adjustRightInd w:val="0"/>
              <w:snapToGrid w:val="0"/>
              <w:spacing w:line="240" w:lineRule="auto"/>
              <w:ind w:firstLine="0" w:firstLineChars="0"/>
              <w:jc w:val="center"/>
              <w:rPr>
                <w:color w:val="auto"/>
                <w:sz w:val="21"/>
                <w:szCs w:val="21"/>
              </w:rPr>
            </w:pPr>
            <w:r>
              <w:rPr>
                <w:color w:val="auto"/>
                <w:sz w:val="21"/>
                <w:szCs w:val="21"/>
              </w:rPr>
              <w:t>评价情况</w:t>
            </w:r>
          </w:p>
        </w:tc>
        <w:tc>
          <w:tcPr>
            <w:tcW w:w="6822" w:type="dxa"/>
            <w:gridSpan w:val="3"/>
            <w:vAlign w:val="center"/>
          </w:tcPr>
          <w:p>
            <w:pPr>
              <w:autoSpaceDE w:val="0"/>
              <w:autoSpaceDN w:val="0"/>
              <w:adjustRightInd w:val="0"/>
              <w:snapToGrid w:val="0"/>
              <w:spacing w:line="240" w:lineRule="auto"/>
              <w:ind w:firstLine="0" w:firstLineChars="0"/>
              <w:jc w:val="center"/>
              <w:rPr>
                <w:color w:val="auto"/>
                <w:sz w:val="21"/>
                <w:szCs w:val="21"/>
              </w:rPr>
            </w:pPr>
            <w:r>
              <w:rPr>
                <w:rFonts w:hint="eastAsia"/>
                <w:color w:val="auto"/>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2" w:hRule="atLeast"/>
          <w:jc w:val="center"/>
        </w:trPr>
        <w:tc>
          <w:tcPr>
            <w:tcW w:w="1482" w:type="dxa"/>
            <w:vAlign w:val="center"/>
          </w:tcPr>
          <w:p>
            <w:pPr>
              <w:adjustRightInd w:val="0"/>
              <w:snapToGrid w:val="0"/>
              <w:spacing w:line="240" w:lineRule="auto"/>
              <w:ind w:firstLine="0" w:firstLineChars="0"/>
              <w:jc w:val="center"/>
              <w:rPr>
                <w:color w:val="auto"/>
                <w:sz w:val="21"/>
                <w:szCs w:val="21"/>
              </w:rPr>
            </w:pPr>
            <w:r>
              <w:rPr>
                <w:color w:val="auto"/>
                <w:sz w:val="21"/>
                <w:szCs w:val="21"/>
              </w:rPr>
              <w:t>规划及规划环境</w:t>
            </w:r>
          </w:p>
          <w:p>
            <w:pPr>
              <w:adjustRightInd w:val="0"/>
              <w:snapToGrid w:val="0"/>
              <w:spacing w:line="240" w:lineRule="auto"/>
              <w:ind w:firstLine="0" w:firstLineChars="0"/>
              <w:jc w:val="center"/>
              <w:rPr>
                <w:color w:val="auto"/>
                <w:sz w:val="21"/>
                <w:szCs w:val="21"/>
              </w:rPr>
            </w:pPr>
            <w:r>
              <w:rPr>
                <w:color w:val="auto"/>
                <w:sz w:val="21"/>
                <w:szCs w:val="21"/>
              </w:rPr>
              <w:t>影响评价符合性分析</w:t>
            </w:r>
          </w:p>
        </w:tc>
        <w:tc>
          <w:tcPr>
            <w:tcW w:w="6822" w:type="dxa"/>
            <w:gridSpan w:val="3"/>
            <w:vAlign w:val="center"/>
          </w:tcPr>
          <w:p>
            <w:pPr>
              <w:spacing w:line="240" w:lineRule="auto"/>
              <w:ind w:firstLine="0" w:firstLineChars="0"/>
              <w:jc w:val="center"/>
              <w:rPr>
                <w:color w:val="auto"/>
                <w:sz w:val="21"/>
                <w:szCs w:val="21"/>
              </w:rPr>
            </w:pPr>
            <w:r>
              <w:rPr>
                <w:rFonts w:hint="eastAsia"/>
                <w:color w:val="auto"/>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482"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其他符合性分析</w:t>
            </w:r>
          </w:p>
        </w:tc>
        <w:tc>
          <w:tcPr>
            <w:tcW w:w="6822" w:type="dxa"/>
            <w:gridSpan w:val="3"/>
            <w:vAlign w:val="center"/>
          </w:tcPr>
          <w:p>
            <w:pPr>
              <w:ind w:firstLine="0" w:firstLineChars="0"/>
              <w:rPr>
                <w:b/>
                <w:bCs/>
                <w:color w:val="auto"/>
                <w:sz w:val="21"/>
                <w:szCs w:val="21"/>
              </w:rPr>
            </w:pPr>
            <w:r>
              <w:rPr>
                <w:rFonts w:hint="eastAsia"/>
                <w:b/>
                <w:bCs/>
                <w:color w:val="auto"/>
                <w:sz w:val="21"/>
                <w:szCs w:val="21"/>
              </w:rPr>
              <w:t>1、产业政策符合性分析：</w:t>
            </w:r>
          </w:p>
          <w:p>
            <w:pPr>
              <w:ind w:firstLine="420"/>
              <w:rPr>
                <w:color w:val="auto"/>
                <w:sz w:val="21"/>
                <w:szCs w:val="21"/>
              </w:rPr>
            </w:pPr>
            <w:r>
              <w:rPr>
                <w:rFonts w:hint="eastAsia"/>
                <w:color w:val="auto"/>
                <w:sz w:val="21"/>
                <w:szCs w:val="21"/>
              </w:rPr>
              <w:t>本项目为</w:t>
            </w:r>
            <w:r>
              <w:rPr>
                <w:rFonts w:hint="eastAsia"/>
                <w:color w:val="auto"/>
                <w:sz w:val="21"/>
                <w:szCs w:val="21"/>
                <w:lang w:eastAsia="zh-CN"/>
              </w:rPr>
              <w:t>衡阳桑德凯天再生资源科技有限公司3t/h沼气锅炉改扩建项目</w:t>
            </w:r>
            <w:r>
              <w:rPr>
                <w:rFonts w:hint="eastAsia"/>
                <w:color w:val="auto"/>
                <w:sz w:val="21"/>
                <w:szCs w:val="21"/>
              </w:rPr>
              <w:t>，属于</w:t>
            </w:r>
            <w:r>
              <w:rPr>
                <w:rFonts w:ascii="宋体" w:hAnsi="宋体" w:cs="宋体"/>
                <w:color w:val="auto"/>
                <w:sz w:val="21"/>
                <w:szCs w:val="21"/>
              </w:rPr>
              <w:t>电力、热力生产和供应业</w:t>
            </w:r>
            <w:r>
              <w:rPr>
                <w:rFonts w:hint="eastAsia"/>
                <w:color w:val="auto"/>
                <w:sz w:val="21"/>
                <w:szCs w:val="21"/>
              </w:rPr>
              <w:t>中的</w:t>
            </w:r>
            <w:r>
              <w:rPr>
                <w:rFonts w:ascii="宋体" w:hAnsi="宋体" w:cs="宋体"/>
                <w:color w:val="auto"/>
                <w:sz w:val="21"/>
                <w:szCs w:val="21"/>
              </w:rPr>
              <w:t>热力生产和供应工程（包括建设单位自建自用的供热工程）</w:t>
            </w:r>
            <w:r>
              <w:rPr>
                <w:rFonts w:hint="eastAsia"/>
                <w:color w:val="auto"/>
                <w:sz w:val="21"/>
                <w:szCs w:val="21"/>
              </w:rPr>
              <w:t>，根据国家发展和改革委员会令第7号《产业结构调整指导目录（2024年本）》中的相关规定，本项目不属于鼓励类、限制类和淘汰类的项目，属于允许类项目。同时，本项目所用设备均不属于《部分工业行业淘汰落后生产工艺装备和产品指导目录（2010年本）》中要求淘汰的设备。</w:t>
            </w:r>
          </w:p>
          <w:p>
            <w:pPr>
              <w:ind w:firstLine="420" w:firstLineChars="200"/>
              <w:rPr>
                <w:b/>
                <w:bCs/>
                <w:color w:val="auto"/>
                <w:sz w:val="21"/>
                <w:szCs w:val="21"/>
              </w:rPr>
            </w:pPr>
            <w:r>
              <w:rPr>
                <w:rFonts w:hint="eastAsia"/>
                <w:color w:val="auto"/>
                <w:sz w:val="21"/>
                <w:szCs w:val="21"/>
              </w:rPr>
              <w:t>综上，</w:t>
            </w:r>
            <w:r>
              <w:rPr>
                <w:rFonts w:hint="eastAsia"/>
                <w:color w:val="auto"/>
                <w:sz w:val="21"/>
                <w:szCs w:val="21"/>
              </w:rPr>
              <w:t>本项目的建设内容符合当前国家产业政策的要求。</w:t>
            </w:r>
          </w:p>
          <w:p>
            <w:pPr>
              <w:ind w:firstLine="0" w:firstLineChars="0"/>
              <w:rPr>
                <w:b/>
                <w:bCs/>
                <w:color w:val="auto"/>
                <w:sz w:val="21"/>
                <w:szCs w:val="21"/>
              </w:rPr>
            </w:pPr>
            <w:r>
              <w:rPr>
                <w:b/>
                <w:bCs/>
                <w:color w:val="auto"/>
                <w:sz w:val="21"/>
                <w:szCs w:val="21"/>
              </w:rPr>
              <w:t>2</w:t>
            </w:r>
            <w:r>
              <w:rPr>
                <w:rFonts w:hint="eastAsia"/>
                <w:b/>
                <w:bCs/>
                <w:color w:val="auto"/>
                <w:sz w:val="21"/>
                <w:szCs w:val="21"/>
              </w:rPr>
              <w:t>、选址合理性分析：</w:t>
            </w:r>
          </w:p>
          <w:p>
            <w:pPr>
              <w:ind w:firstLine="420"/>
              <w:rPr>
                <w:color w:val="auto"/>
                <w:sz w:val="21"/>
                <w:szCs w:val="21"/>
              </w:rPr>
            </w:pPr>
            <w:r>
              <w:rPr>
                <w:rFonts w:hint="eastAsia"/>
                <w:color w:val="auto"/>
                <w:sz w:val="21"/>
                <w:szCs w:val="21"/>
              </w:rPr>
              <w:t>本项目为</w:t>
            </w:r>
            <w:r>
              <w:rPr>
                <w:rFonts w:hint="eastAsia"/>
                <w:color w:val="auto"/>
                <w:sz w:val="21"/>
                <w:szCs w:val="21"/>
                <w:lang w:eastAsia="zh-CN"/>
              </w:rPr>
              <w:t>衡阳桑德凯天再生资源科技有限公司3t/h沼气锅炉改扩建项目</w:t>
            </w:r>
            <w:r>
              <w:rPr>
                <w:rFonts w:hint="eastAsia"/>
                <w:color w:val="auto"/>
                <w:sz w:val="21"/>
                <w:szCs w:val="21"/>
              </w:rPr>
              <w:t>，位于衡阳桑德凯天再生资源科技有限公司现有项目场地红线内，不新增用地，衡阳桑德凯天再生资源科技有限公司选址位于衡阳市衡阳县集兵镇太栗村</w:t>
            </w:r>
            <w:r>
              <w:rPr>
                <w:rFonts w:ascii="宋体" w:hAnsi="宋体" w:cs="宋体"/>
                <w:color w:val="auto"/>
                <w:sz w:val="21"/>
                <w:szCs w:val="21"/>
              </w:rPr>
              <w:t>罗坪组</w:t>
            </w:r>
            <w:r>
              <w:rPr>
                <w:rFonts w:hint="eastAsia"/>
                <w:color w:val="auto"/>
                <w:sz w:val="21"/>
                <w:szCs w:val="21"/>
              </w:rPr>
              <w:t>，用地类型为工业用地，符合土地利用规划要求。</w:t>
            </w:r>
          </w:p>
          <w:p>
            <w:pPr>
              <w:ind w:firstLine="420"/>
              <w:rPr>
                <w:color w:val="auto"/>
                <w:sz w:val="21"/>
                <w:szCs w:val="21"/>
              </w:rPr>
            </w:pPr>
            <w:r>
              <w:rPr>
                <w:rFonts w:hint="eastAsia"/>
                <w:color w:val="auto"/>
                <w:sz w:val="21"/>
                <w:szCs w:val="21"/>
              </w:rPr>
              <w:t>根据现场勘查，</w:t>
            </w:r>
            <w:r>
              <w:rPr>
                <w:rFonts w:hint="eastAsia"/>
                <w:color w:val="auto"/>
                <w:sz w:val="21"/>
                <w:szCs w:val="21"/>
                <w:lang w:eastAsia="zh-CN"/>
              </w:rPr>
              <w:t>衡阳桑德凯天再生资源科技有限公司3t/h沼气锅炉改扩建项目</w:t>
            </w:r>
            <w:r>
              <w:rPr>
                <w:rFonts w:hint="eastAsia"/>
                <w:color w:val="auto"/>
                <w:sz w:val="21"/>
                <w:szCs w:val="21"/>
              </w:rPr>
              <w:t>建于湖南省衡阳市衡阳县集兵镇太栗村</w:t>
            </w:r>
            <w:r>
              <w:rPr>
                <w:rFonts w:ascii="宋体" w:hAnsi="宋体" w:cs="宋体"/>
                <w:color w:val="auto"/>
                <w:sz w:val="21"/>
                <w:szCs w:val="21"/>
              </w:rPr>
              <w:t>罗坪组</w:t>
            </w:r>
            <w:r>
              <w:rPr>
                <w:rFonts w:hint="eastAsia"/>
                <w:color w:val="auto"/>
                <w:sz w:val="21"/>
                <w:szCs w:val="21"/>
              </w:rPr>
              <w:t>，位于衡阳第二生活垃圾填埋场西北面山谷，四周有自然山体阻隔，地势平坦。东面与衡</w:t>
            </w:r>
            <w:r>
              <w:rPr>
                <w:rFonts w:hint="eastAsia"/>
                <w:color w:val="auto"/>
                <w:kern w:val="0"/>
                <w:sz w:val="21"/>
                <w:szCs w:val="21"/>
              </w:rPr>
              <w:t>阳第二生活垃圾填埋场</w:t>
            </w:r>
            <w:r>
              <w:rPr>
                <w:rFonts w:hint="eastAsia"/>
                <w:color w:val="auto"/>
                <w:sz w:val="21"/>
                <w:szCs w:val="21"/>
              </w:rPr>
              <w:t>渗滤液调节池及渗滤液处理站相距300m，南面与衡阳永清环保能源有限公司相邻。</w:t>
            </w:r>
          </w:p>
          <w:p>
            <w:pPr>
              <w:ind w:firstLine="420"/>
              <w:rPr>
                <w:color w:val="auto"/>
                <w:sz w:val="21"/>
                <w:szCs w:val="21"/>
              </w:rPr>
            </w:pPr>
            <w:r>
              <w:rPr>
                <w:rFonts w:hint="eastAsia"/>
                <w:color w:val="auto"/>
                <w:sz w:val="21"/>
                <w:szCs w:val="21"/>
              </w:rPr>
              <w:t>项目选址不在文物保护单位、自然保护区、风景名胜区等环境敏感区域，与城市土地利用规划不冲突，符合城市土地利用的总体规划，不涉及占用永久基本农田和生态公益林，本项目在采取必要的环保措施后，其建设运营对周边环境影响不大，同时对照《自然资源要素支撑产业高质量发展指导目录（2024年本）》，本项目不属于其中的限制、禁止用地项目范围。</w:t>
            </w:r>
          </w:p>
          <w:p>
            <w:pPr>
              <w:ind w:firstLine="420"/>
              <w:rPr>
                <w:color w:val="auto"/>
                <w:sz w:val="21"/>
                <w:szCs w:val="21"/>
              </w:rPr>
            </w:pPr>
            <w:r>
              <w:rPr>
                <w:rFonts w:hint="eastAsia"/>
                <w:color w:val="auto"/>
                <w:sz w:val="21"/>
                <w:szCs w:val="21"/>
              </w:rPr>
              <w:t>因此，本项目选址符合用地规划，选址合理。</w:t>
            </w:r>
          </w:p>
          <w:p>
            <w:pPr>
              <w:ind w:firstLine="0" w:firstLineChars="0"/>
              <w:rPr>
                <w:color w:val="auto"/>
                <w:sz w:val="21"/>
                <w:szCs w:val="21"/>
              </w:rPr>
            </w:pPr>
            <w:r>
              <w:rPr>
                <w:rFonts w:hint="eastAsia"/>
                <w:b/>
                <w:bCs/>
                <w:color w:val="auto"/>
                <w:sz w:val="21"/>
                <w:szCs w:val="21"/>
              </w:rPr>
              <w:t>3、“三线一单”控制要求符合性分析：</w:t>
            </w:r>
          </w:p>
          <w:p>
            <w:pPr>
              <w:ind w:firstLine="0" w:firstLineChars="0"/>
              <w:rPr>
                <w:color w:val="auto"/>
                <w:sz w:val="21"/>
                <w:szCs w:val="21"/>
              </w:rPr>
            </w:pPr>
            <w:r>
              <w:rPr>
                <w:rFonts w:hint="eastAsia"/>
                <w:color w:val="auto"/>
                <w:sz w:val="21"/>
                <w:szCs w:val="21"/>
              </w:rPr>
              <w:t>（1）生态保护红线</w:t>
            </w:r>
          </w:p>
          <w:p>
            <w:pPr>
              <w:ind w:firstLine="420"/>
              <w:rPr>
                <w:color w:val="auto"/>
                <w:sz w:val="21"/>
                <w:szCs w:val="21"/>
              </w:rPr>
            </w:pPr>
            <w:r>
              <w:rPr>
                <w:rFonts w:hint="eastAsia"/>
                <w:color w:val="auto"/>
                <w:sz w:val="21"/>
                <w:szCs w:val="21"/>
              </w:rPr>
              <w:t>根据《湖南省生态保护红线》，湖南省生态保护红线划定面积为4.28万平方公里，占全省国土面积的20.23%。全省生态保护红线空间格局为“一湖三山四水”：“一湖”为洞庭湖（主要包括东洞庭湖、南洞庭湖、横岭湖、西洞庭湖等自然保护区和长江岸线），主要生态功能为生物多样性维护、洪水调蓄。“三山”包括武陵-雪峰山脉生态屏障，主要生态功能为生物多样性维护与水土保持；罗霄-幕阜山脉生态屏障，主要生态功能为生物多样性维护、水源涵养和水土保持；南岭山脉生态屏障，主要生态功能为水源涵养和生物多样性维护，其中南岭山脉生态屏障是南方丘陵山地带的重要组成部分。“四水”为湘资沅澧（湘江、资水、沅江、澧水）的源头区及重要水域。</w:t>
            </w:r>
          </w:p>
          <w:p>
            <w:pPr>
              <w:ind w:firstLine="420"/>
              <w:rPr>
                <w:color w:val="auto"/>
                <w:sz w:val="21"/>
                <w:szCs w:val="21"/>
              </w:rPr>
            </w:pPr>
            <w:r>
              <w:rPr>
                <w:rFonts w:hint="eastAsia"/>
                <w:color w:val="auto"/>
                <w:sz w:val="21"/>
                <w:szCs w:val="21"/>
              </w:rPr>
              <w:t>本项目位于湖南省衡阳市衡阳县集兵镇太栗村</w:t>
            </w:r>
            <w:r>
              <w:rPr>
                <w:rFonts w:ascii="宋体" w:hAnsi="宋体" w:cs="宋体"/>
                <w:color w:val="auto"/>
                <w:sz w:val="21"/>
                <w:szCs w:val="21"/>
              </w:rPr>
              <w:t>罗坪组</w:t>
            </w:r>
            <w:r>
              <w:rPr>
                <w:rFonts w:hint="eastAsia"/>
                <w:color w:val="auto"/>
                <w:sz w:val="21"/>
                <w:szCs w:val="21"/>
              </w:rPr>
              <w:t>，不在上述生态保护红线范围内，符合《湖南省生态保护红线》要求。</w:t>
            </w:r>
          </w:p>
          <w:p>
            <w:pPr>
              <w:ind w:firstLine="0" w:firstLineChars="0"/>
              <w:rPr>
                <w:color w:val="auto"/>
                <w:sz w:val="21"/>
                <w:szCs w:val="21"/>
              </w:rPr>
            </w:pPr>
            <w:r>
              <w:rPr>
                <w:rFonts w:hint="eastAsia"/>
                <w:color w:val="auto"/>
                <w:sz w:val="21"/>
                <w:szCs w:val="21"/>
              </w:rPr>
              <w:t>（2）环境质量底线</w:t>
            </w:r>
          </w:p>
          <w:p>
            <w:pPr>
              <w:ind w:firstLine="420"/>
              <w:rPr>
                <w:color w:val="auto"/>
                <w:sz w:val="21"/>
                <w:szCs w:val="21"/>
              </w:rPr>
            </w:pPr>
            <w:r>
              <w:rPr>
                <w:rFonts w:hint="eastAsia"/>
                <w:color w:val="auto"/>
                <w:sz w:val="21"/>
                <w:szCs w:val="21"/>
              </w:rPr>
              <w:t>项目选址区域为环境空气功能区二类区，执行二级标准。根据衡阳县环境空气现状监测统计结果，项目周边区域环境质量良好，且营运期锅炉的沼气经低氮燃烧，通过集气管道收集废气，并通过15m排气筒进行排放后，对周围环境影响较小。</w:t>
            </w:r>
          </w:p>
          <w:p>
            <w:pPr>
              <w:ind w:firstLine="420"/>
              <w:rPr>
                <w:color w:val="auto"/>
                <w:sz w:val="21"/>
                <w:szCs w:val="21"/>
              </w:rPr>
            </w:pPr>
            <w:r>
              <w:rPr>
                <w:rFonts w:hint="eastAsia"/>
                <w:color w:val="auto"/>
                <w:sz w:val="21"/>
                <w:szCs w:val="21"/>
              </w:rPr>
              <w:t>项目区域水环境质量较好，水质满足《地表水环境质量标准》（GB3838-2002）II类标准。本</w:t>
            </w:r>
            <w:r>
              <w:rPr>
                <w:rStyle w:val="34"/>
                <w:rFonts w:hint="eastAsia"/>
                <w:color w:val="auto"/>
              </w:rPr>
              <w:t>项目雨污分流，生产废水主要为离子交换树脂再生废水、纯水制备废水及锅炉排水，</w:t>
            </w:r>
            <w:r>
              <w:rPr>
                <w:rFonts w:hint="eastAsia"/>
                <w:color w:val="auto"/>
                <w:kern w:val="0"/>
                <w:sz w:val="21"/>
                <w:szCs w:val="21"/>
              </w:rPr>
              <w:t>依托厂区污水处理系统处理，达到《污水综合排放标准》</w:t>
            </w:r>
            <w:r>
              <w:rPr>
                <w:rFonts w:hint="eastAsia"/>
                <w:color w:val="auto"/>
                <w:kern w:val="0"/>
                <w:sz w:val="21"/>
                <w:szCs w:val="21"/>
                <w:lang w:eastAsia="zh-CN"/>
              </w:rPr>
              <w:t>（</w:t>
            </w:r>
            <w:r>
              <w:rPr>
                <w:rFonts w:hint="eastAsia"/>
                <w:color w:val="auto"/>
                <w:kern w:val="0"/>
                <w:sz w:val="21"/>
                <w:szCs w:val="21"/>
              </w:rPr>
              <w:t>GB8978-1996</w:t>
            </w:r>
            <w:r>
              <w:rPr>
                <w:rFonts w:hint="eastAsia"/>
                <w:color w:val="auto"/>
                <w:kern w:val="0"/>
                <w:sz w:val="21"/>
                <w:szCs w:val="21"/>
                <w:lang w:eastAsia="zh-CN"/>
              </w:rPr>
              <w:t>）</w:t>
            </w:r>
            <w:r>
              <w:rPr>
                <w:rFonts w:hint="eastAsia"/>
                <w:color w:val="auto"/>
                <w:kern w:val="0"/>
                <w:sz w:val="21"/>
                <w:szCs w:val="21"/>
              </w:rPr>
              <w:t>表4中三级标准后，进入衡阳第二生活垃圾填埋场渗滤液污水处理站进行深化处理</w:t>
            </w:r>
            <w:r>
              <w:rPr>
                <w:rFonts w:hint="eastAsia"/>
                <w:color w:val="auto"/>
              </w:rPr>
              <w:t>。</w:t>
            </w:r>
            <w:r>
              <w:rPr>
                <w:rFonts w:hint="eastAsia"/>
                <w:color w:val="auto"/>
                <w:sz w:val="21"/>
                <w:szCs w:val="21"/>
              </w:rPr>
              <w:t>因此，项目建成后对周围水环境质量影响较小。</w:t>
            </w:r>
          </w:p>
          <w:p>
            <w:pPr>
              <w:ind w:firstLine="420"/>
              <w:rPr>
                <w:color w:val="auto"/>
                <w:sz w:val="21"/>
                <w:szCs w:val="21"/>
              </w:rPr>
            </w:pPr>
            <w:r>
              <w:rPr>
                <w:rFonts w:hint="eastAsia"/>
                <w:color w:val="auto"/>
                <w:sz w:val="21"/>
                <w:szCs w:val="21"/>
              </w:rPr>
              <w:t>项目所在区域为2类声环境功能区，根据环境噪声现状监测结果，项目区域目前能够满足《声环境质量标准》（GB3096-2008）中2类标准要求，本项目建成通过采取合理布局，减震、隔声、距离衰减等相应的措施后其噪声量减小，对周边环境产生的影响较小。</w:t>
            </w:r>
          </w:p>
          <w:p>
            <w:pPr>
              <w:ind w:firstLine="420"/>
              <w:rPr>
                <w:color w:val="auto"/>
                <w:sz w:val="21"/>
                <w:szCs w:val="21"/>
              </w:rPr>
            </w:pPr>
            <w:r>
              <w:rPr>
                <w:rFonts w:hint="eastAsia"/>
                <w:color w:val="auto"/>
                <w:sz w:val="21"/>
                <w:szCs w:val="21"/>
              </w:rPr>
              <w:t>综上，本项目建设符合环境质量底线要求。</w:t>
            </w:r>
          </w:p>
          <w:p>
            <w:pPr>
              <w:ind w:firstLine="0" w:firstLineChars="0"/>
              <w:rPr>
                <w:color w:val="auto"/>
                <w:sz w:val="21"/>
                <w:szCs w:val="21"/>
              </w:rPr>
            </w:pPr>
            <w:r>
              <w:rPr>
                <w:rFonts w:hint="eastAsia"/>
                <w:color w:val="auto"/>
                <w:sz w:val="21"/>
                <w:szCs w:val="21"/>
              </w:rPr>
              <w:t>（3）资源利用上限</w:t>
            </w:r>
          </w:p>
          <w:p>
            <w:pPr>
              <w:ind w:firstLine="420"/>
              <w:rPr>
                <w:color w:val="auto"/>
                <w:sz w:val="21"/>
                <w:szCs w:val="21"/>
              </w:rPr>
            </w:pPr>
            <w:r>
              <w:rPr>
                <w:rFonts w:hint="eastAsia"/>
                <w:color w:val="auto"/>
                <w:sz w:val="21"/>
                <w:szCs w:val="21"/>
              </w:rPr>
              <w:t>本项目不属于高耗能、高污染型项目。项目建设过程中所利用的资源主要为水、电和沼气，均为清洁能源，项目运行过程通过内部管理、设备选择、原辅材料的选用和管理、废物回收利用、污染治理等多方面采取合理可行的防治措施，以“节能、降耗、减污”为目标，有效的控制污染。本项目的水、电和沼气等资源利用不会突破区域的资源利用上线。</w:t>
            </w:r>
          </w:p>
          <w:p>
            <w:pPr>
              <w:ind w:firstLine="0" w:firstLineChars="0"/>
              <w:rPr>
                <w:color w:val="auto"/>
                <w:sz w:val="21"/>
                <w:szCs w:val="21"/>
              </w:rPr>
            </w:pPr>
            <w:r>
              <w:rPr>
                <w:rFonts w:hint="eastAsia"/>
                <w:color w:val="auto"/>
                <w:sz w:val="21"/>
                <w:szCs w:val="21"/>
              </w:rPr>
              <w:t>（4）生态环境准入清单</w:t>
            </w:r>
          </w:p>
          <w:p>
            <w:pPr>
              <w:ind w:firstLine="420"/>
              <w:rPr>
                <w:color w:val="auto"/>
                <w:sz w:val="21"/>
                <w:szCs w:val="21"/>
              </w:rPr>
            </w:pPr>
            <w:r>
              <w:rPr>
                <w:rFonts w:hint="eastAsia"/>
                <w:color w:val="auto"/>
                <w:sz w:val="21"/>
                <w:szCs w:val="21"/>
              </w:rPr>
              <w:t>根据《衡阳市生态环境局关于发布衡阳市生态环境分区管控更新成果（2023年版）的通知》（衡环发〔2024〕194号中附件3：衡阳市生态环境准入清单（2023年版），可知本项目所在区域属于衡阳市重点管控单元，环境管控单元编码为ZH43042130002。本环评对照衡阳市生态环境准入清单分析本项目是否与生态环境管控区相适应，具体内容见表1-</w:t>
            </w:r>
            <w:r>
              <w:rPr>
                <w:color w:val="auto"/>
                <w:sz w:val="21"/>
                <w:szCs w:val="21"/>
              </w:rPr>
              <w:fldChar w:fldCharType="begin"/>
            </w:r>
            <w:r>
              <w:rPr>
                <w:color w:val="auto"/>
                <w:sz w:val="21"/>
                <w:szCs w:val="21"/>
              </w:rPr>
              <w:instrText xml:space="preserve"> SEQ 1- \* MERGEFORMAT </w:instrText>
            </w:r>
            <w:r>
              <w:rPr>
                <w:color w:val="auto"/>
                <w:sz w:val="21"/>
                <w:szCs w:val="21"/>
              </w:rPr>
              <w:fldChar w:fldCharType="separate"/>
            </w:r>
            <w:r>
              <w:rPr>
                <w:color w:val="auto"/>
                <w:sz w:val="21"/>
                <w:szCs w:val="21"/>
              </w:rPr>
              <w:t>2</w:t>
            </w:r>
            <w:r>
              <w:rPr>
                <w:color w:val="auto"/>
                <w:sz w:val="21"/>
                <w:szCs w:val="21"/>
              </w:rPr>
              <w:fldChar w:fldCharType="end"/>
            </w:r>
            <w:r>
              <w:rPr>
                <w:rFonts w:hint="eastAsia"/>
                <w:color w:val="auto"/>
                <w:sz w:val="21"/>
                <w:szCs w:val="21"/>
              </w:rPr>
              <w:t>。</w:t>
            </w:r>
          </w:p>
          <w:p>
            <w:pPr>
              <w:keepNext/>
              <w:widowControl/>
              <w:autoSpaceDE w:val="0"/>
              <w:autoSpaceDN w:val="0"/>
              <w:adjustRightInd w:val="0"/>
              <w:snapToGrid w:val="0"/>
              <w:spacing w:line="240" w:lineRule="auto"/>
              <w:ind w:firstLine="0" w:firstLineChars="0"/>
              <w:jc w:val="center"/>
              <w:rPr>
                <w:b/>
                <w:bCs/>
                <w:color w:val="auto"/>
                <w:kern w:val="0"/>
                <w:sz w:val="21"/>
                <w:szCs w:val="21"/>
              </w:rPr>
            </w:pPr>
            <w:r>
              <w:rPr>
                <w:rFonts w:hint="eastAsia"/>
                <w:b/>
                <w:bCs/>
                <w:color w:val="auto"/>
                <w:kern w:val="0"/>
                <w:sz w:val="21"/>
                <w:szCs w:val="21"/>
              </w:rPr>
              <w:t>表</w:t>
            </w:r>
            <w:r>
              <w:rPr>
                <w:b/>
                <w:bCs/>
                <w:color w:val="auto"/>
                <w:kern w:val="0"/>
                <w:sz w:val="21"/>
                <w:szCs w:val="21"/>
              </w:rPr>
              <w:t>1-</w:t>
            </w:r>
            <w:r>
              <w:rPr>
                <w:rFonts w:hint="eastAsia"/>
                <w:b/>
                <w:bCs/>
                <w:color w:val="auto"/>
                <w:kern w:val="0"/>
                <w:sz w:val="21"/>
                <w:szCs w:val="21"/>
              </w:rPr>
              <w:t>1</w:t>
            </w:r>
            <w:r>
              <w:rPr>
                <w:b/>
                <w:bCs/>
                <w:color w:val="auto"/>
                <w:kern w:val="0"/>
                <w:sz w:val="21"/>
                <w:szCs w:val="21"/>
              </w:rPr>
              <w:t xml:space="preserve">  </w:t>
            </w:r>
            <w:r>
              <w:rPr>
                <w:rFonts w:hint="eastAsia"/>
                <w:b/>
                <w:bCs/>
                <w:color w:val="auto"/>
                <w:kern w:val="0"/>
                <w:sz w:val="21"/>
                <w:szCs w:val="21"/>
              </w:rPr>
              <w:t>生态空间管控区域规划保护内容</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0"/>
              <w:gridCol w:w="426"/>
              <w:gridCol w:w="5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236" w:type="dxa"/>
                  <w:gridSpan w:val="2"/>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环境管控单元编码</w:t>
                  </w:r>
                </w:p>
              </w:tc>
              <w:tc>
                <w:tcPr>
                  <w:tcW w:w="5021"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ZH43042130002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810" w:type="dxa"/>
                  <w:vMerge w:val="restart"/>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行政区划</w:t>
                  </w:r>
                </w:p>
              </w:tc>
              <w:tc>
                <w:tcPr>
                  <w:tcW w:w="425"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省</w:t>
                  </w:r>
                </w:p>
              </w:tc>
              <w:tc>
                <w:tcPr>
                  <w:tcW w:w="5021"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湖南省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810" w:type="dxa"/>
                  <w:vMerge w:val="continue"/>
                  <w:vAlign w:val="center"/>
                </w:tcPr>
                <w:p>
                  <w:pPr>
                    <w:autoSpaceDE w:val="0"/>
                    <w:autoSpaceDN w:val="0"/>
                    <w:adjustRightInd w:val="0"/>
                    <w:snapToGrid w:val="0"/>
                    <w:spacing w:line="240" w:lineRule="auto"/>
                    <w:ind w:firstLine="0" w:firstLineChars="0"/>
                    <w:jc w:val="center"/>
                    <w:rPr>
                      <w:color w:val="auto"/>
                      <w:kern w:val="0"/>
                      <w:sz w:val="21"/>
                      <w:szCs w:val="21"/>
                    </w:rPr>
                  </w:pPr>
                </w:p>
              </w:tc>
              <w:tc>
                <w:tcPr>
                  <w:tcW w:w="425"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市</w:t>
                  </w:r>
                </w:p>
              </w:tc>
              <w:tc>
                <w:tcPr>
                  <w:tcW w:w="5021"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衡阳市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810" w:type="dxa"/>
                  <w:vMerge w:val="continue"/>
                  <w:vAlign w:val="center"/>
                </w:tcPr>
                <w:p>
                  <w:pPr>
                    <w:autoSpaceDE w:val="0"/>
                    <w:autoSpaceDN w:val="0"/>
                    <w:adjustRightInd w:val="0"/>
                    <w:snapToGrid w:val="0"/>
                    <w:spacing w:line="240" w:lineRule="auto"/>
                    <w:ind w:firstLine="0" w:firstLineChars="0"/>
                    <w:jc w:val="center"/>
                    <w:rPr>
                      <w:color w:val="auto"/>
                      <w:kern w:val="0"/>
                      <w:sz w:val="21"/>
                      <w:szCs w:val="21"/>
                    </w:rPr>
                  </w:pPr>
                </w:p>
              </w:tc>
              <w:tc>
                <w:tcPr>
                  <w:tcW w:w="425"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县</w:t>
                  </w:r>
                </w:p>
              </w:tc>
              <w:tc>
                <w:tcPr>
                  <w:tcW w:w="5021"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衡阳县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236" w:type="dxa"/>
                  <w:gridSpan w:val="2"/>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单元分类（km</w:t>
                  </w:r>
                  <w:r>
                    <w:rPr>
                      <w:rFonts w:hint="eastAsia"/>
                      <w:color w:val="auto"/>
                      <w:kern w:val="0"/>
                      <w:sz w:val="21"/>
                      <w:szCs w:val="21"/>
                      <w:vertAlign w:val="superscript"/>
                    </w:rPr>
                    <w:t>2</w:t>
                  </w:r>
                  <w:r>
                    <w:rPr>
                      <w:rFonts w:hint="eastAsia"/>
                      <w:color w:val="auto"/>
                      <w:kern w:val="0"/>
                      <w:sz w:val="21"/>
                      <w:szCs w:val="21"/>
                    </w:rPr>
                    <w:t>）</w:t>
                  </w:r>
                </w:p>
              </w:tc>
              <w:tc>
                <w:tcPr>
                  <w:tcW w:w="5021"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768.84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236" w:type="dxa"/>
                  <w:gridSpan w:val="2"/>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涉及乡镇（街道）</w:t>
                  </w:r>
                </w:p>
              </w:tc>
              <w:tc>
                <w:tcPr>
                  <w:tcW w:w="5021"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樟木乡/集兵镇/界牌镇/杉桥镇/石市镇/台源镇/渣江镇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1236" w:type="dxa"/>
                  <w:gridSpan w:val="2"/>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主体功能定位</w:t>
                  </w:r>
                </w:p>
              </w:tc>
              <w:tc>
                <w:tcPr>
                  <w:tcW w:w="5021" w:type="dxa"/>
                  <w:vAlign w:val="center"/>
                </w:tcPr>
                <w:p>
                  <w:pPr>
                    <w:autoSpaceDE w:val="0"/>
                    <w:autoSpaceDN w:val="0"/>
                    <w:adjustRightInd w:val="0"/>
                    <w:snapToGrid w:val="0"/>
                    <w:spacing w:line="240" w:lineRule="auto"/>
                    <w:ind w:firstLine="0" w:firstLineChars="0"/>
                    <w:rPr>
                      <w:color w:val="auto"/>
                      <w:kern w:val="0"/>
                      <w:sz w:val="21"/>
                      <w:szCs w:val="21"/>
                    </w:rPr>
                  </w:pPr>
                  <w:r>
                    <w:rPr>
                      <w:rFonts w:hint="eastAsia"/>
                      <w:color w:val="auto"/>
                      <w:kern w:val="0"/>
                      <w:sz w:val="21"/>
                      <w:szCs w:val="21"/>
                    </w:rPr>
                    <w:t>集兵镇/杉桥镇/石市镇/台源镇/樟木乡：农产品主产区</w:t>
                  </w:r>
                </w:p>
                <w:p>
                  <w:pPr>
                    <w:autoSpaceDE w:val="0"/>
                    <w:autoSpaceDN w:val="0"/>
                    <w:adjustRightInd w:val="0"/>
                    <w:snapToGrid w:val="0"/>
                    <w:spacing w:line="240" w:lineRule="auto"/>
                    <w:ind w:firstLine="0" w:firstLineChars="0"/>
                    <w:rPr>
                      <w:color w:val="auto"/>
                      <w:kern w:val="0"/>
                      <w:sz w:val="21"/>
                      <w:szCs w:val="21"/>
                    </w:rPr>
                  </w:pPr>
                  <w:r>
                    <w:rPr>
                      <w:rFonts w:hint="eastAsia"/>
                      <w:color w:val="auto"/>
                      <w:kern w:val="0"/>
                      <w:sz w:val="21"/>
                      <w:szCs w:val="21"/>
                    </w:rPr>
                    <w:t>渣江镇：城市化地区</w:t>
                  </w:r>
                </w:p>
                <w:p>
                  <w:pPr>
                    <w:autoSpaceDE w:val="0"/>
                    <w:autoSpaceDN w:val="0"/>
                    <w:adjustRightInd w:val="0"/>
                    <w:snapToGrid w:val="0"/>
                    <w:spacing w:line="240" w:lineRule="auto"/>
                    <w:ind w:firstLine="0" w:firstLineChars="0"/>
                    <w:rPr>
                      <w:color w:val="auto"/>
                      <w:kern w:val="0"/>
                      <w:sz w:val="21"/>
                      <w:szCs w:val="21"/>
                    </w:rPr>
                  </w:pPr>
                  <w:r>
                    <w:rPr>
                      <w:rFonts w:hint="eastAsia"/>
                      <w:color w:val="auto"/>
                      <w:kern w:val="0"/>
                      <w:sz w:val="21"/>
                      <w:szCs w:val="21"/>
                    </w:rPr>
                    <w:t>界牌镇：重点生态功能区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236" w:type="dxa"/>
                  <w:gridSpan w:val="2"/>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经济产业布局</w:t>
                  </w:r>
                </w:p>
              </w:tc>
              <w:tc>
                <w:tcPr>
                  <w:tcW w:w="5021"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生态农业、生态旅游、畜禽养殖、竹木加工、农副产品加工等。</w:t>
                  </w:r>
                </w:p>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界牌镇以瓷泥加工和集散、日用陶瓷、建筑卫生陶瓷和特种工业陶瓷生产产业为主，配套物流服务产业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1236" w:type="dxa"/>
                  <w:gridSpan w:val="2"/>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主要环境问题</w:t>
                  </w:r>
                </w:p>
              </w:tc>
              <w:tc>
                <w:tcPr>
                  <w:tcW w:w="5021" w:type="dxa"/>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1、界牌镇高岭土、钠长石开采水土流失、生态破坏，废水未能实现“零排放”，其他乡镇污水管网配套建设滞后；</w:t>
                  </w:r>
                </w:p>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湖南岣嵝峰国家森林公园、湖南南岳衡山国家级自然保护区、湖南衡阳黄门寨省级地质公园、湘江衡阳段四大家鱼国家级水产种质资源保护区</w:t>
                  </w:r>
                </w:p>
              </w:tc>
            </w:tr>
          </w:tbl>
          <w:p>
            <w:pPr>
              <w:keepNext/>
              <w:widowControl/>
              <w:autoSpaceDE w:val="0"/>
              <w:autoSpaceDN w:val="0"/>
              <w:adjustRightInd w:val="0"/>
              <w:snapToGrid w:val="0"/>
              <w:spacing w:line="240" w:lineRule="auto"/>
              <w:ind w:firstLine="0" w:firstLineChars="0"/>
              <w:jc w:val="center"/>
              <w:rPr>
                <w:b/>
                <w:bCs/>
                <w:color w:val="auto"/>
                <w:kern w:val="0"/>
                <w:sz w:val="21"/>
                <w:szCs w:val="21"/>
              </w:rPr>
            </w:pPr>
            <w:r>
              <w:rPr>
                <w:b/>
                <w:bCs/>
                <w:color w:val="auto"/>
                <w:kern w:val="0"/>
                <w:sz w:val="21"/>
                <w:szCs w:val="21"/>
              </w:rPr>
              <w:t>表1-</w:t>
            </w:r>
            <w:r>
              <w:rPr>
                <w:rFonts w:hint="eastAsia"/>
                <w:b/>
                <w:bCs/>
                <w:color w:val="auto"/>
                <w:kern w:val="0"/>
                <w:sz w:val="21"/>
                <w:szCs w:val="21"/>
              </w:rPr>
              <w:t>2</w:t>
            </w:r>
            <w:r>
              <w:rPr>
                <w:b/>
                <w:bCs/>
                <w:color w:val="auto"/>
                <w:kern w:val="0"/>
                <w:sz w:val="21"/>
                <w:szCs w:val="21"/>
              </w:rPr>
              <w:t xml:space="preserve">  与</w:t>
            </w:r>
            <w:r>
              <w:rPr>
                <w:rFonts w:hint="eastAsia"/>
                <w:b/>
                <w:bCs/>
                <w:color w:val="auto"/>
                <w:kern w:val="0"/>
                <w:sz w:val="21"/>
                <w:szCs w:val="21"/>
              </w:rPr>
              <w:t>衡阳市生态环境准入清单符合性分析</w:t>
            </w:r>
          </w:p>
          <w:tbl>
            <w:tblPr>
              <w:tblStyle w:val="22"/>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272"/>
              <w:gridCol w:w="465"/>
              <w:gridCol w:w="3235"/>
              <w:gridCol w:w="2120"/>
              <w:gridCol w:w="4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6" w:type="pct"/>
                  <w:tcBorders>
                    <w:top w:val="single" w:color="auto" w:sz="8" w:space="0"/>
                    <w:left w:val="single" w:color="auto" w:sz="8"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序号</w:t>
                  </w:r>
                </w:p>
              </w:tc>
              <w:tc>
                <w:tcPr>
                  <w:tcW w:w="353" w:type="pct"/>
                  <w:tcBorders>
                    <w:top w:val="single" w:color="auto" w:sz="8"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管控维度</w:t>
                  </w:r>
                </w:p>
              </w:tc>
              <w:tc>
                <w:tcPr>
                  <w:tcW w:w="2459" w:type="pct"/>
                  <w:tcBorders>
                    <w:top w:val="single" w:color="auto" w:sz="8"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管控要求</w:t>
                  </w:r>
                </w:p>
              </w:tc>
              <w:tc>
                <w:tcPr>
                  <w:tcW w:w="1612" w:type="pct"/>
                  <w:tcBorders>
                    <w:top w:val="single" w:color="auto" w:sz="8"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本项目情况</w:t>
                  </w:r>
                </w:p>
              </w:tc>
              <w:tc>
                <w:tcPr>
                  <w:tcW w:w="369" w:type="pct"/>
                  <w:tcBorders>
                    <w:top w:val="single" w:color="auto" w:sz="8" w:space="0"/>
                    <w:left w:val="single" w:color="auto" w:sz="4" w:space="0"/>
                    <w:bottom w:val="single" w:color="auto" w:sz="4" w:space="0"/>
                    <w:right w:val="single" w:color="auto" w:sz="8"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是否符合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6" w:type="pct"/>
                  <w:tcBorders>
                    <w:top w:val="single" w:color="auto" w:sz="4" w:space="0"/>
                    <w:left w:val="single" w:color="auto" w:sz="8"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1</w:t>
                  </w:r>
                </w:p>
              </w:tc>
              <w:tc>
                <w:tcPr>
                  <w:tcW w:w="353"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主要属性</w:t>
                  </w:r>
                </w:p>
              </w:tc>
              <w:tc>
                <w:tcPr>
                  <w:tcW w:w="2459"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rPr>
                      <w:color w:val="auto"/>
                      <w:kern w:val="0"/>
                      <w:sz w:val="21"/>
                      <w:szCs w:val="21"/>
                    </w:rPr>
                  </w:pPr>
                  <w:r>
                    <w:rPr>
                      <w:color w:val="auto"/>
                      <w:kern w:val="0"/>
                      <w:sz w:val="21"/>
                      <w:szCs w:val="21"/>
                    </w:rPr>
                    <w:t xml:space="preserve">集兵镇 </w:t>
                  </w:r>
                </w:p>
                <w:p>
                  <w:pPr>
                    <w:autoSpaceDE w:val="0"/>
                    <w:autoSpaceDN w:val="0"/>
                    <w:adjustRightInd w:val="0"/>
                    <w:snapToGrid w:val="0"/>
                    <w:spacing w:line="240" w:lineRule="auto"/>
                    <w:ind w:firstLine="0" w:firstLineChars="0"/>
                    <w:rPr>
                      <w:color w:val="auto"/>
                      <w:kern w:val="0"/>
                      <w:sz w:val="21"/>
                      <w:szCs w:val="21"/>
                    </w:rPr>
                  </w:pPr>
                  <w:r>
                    <w:rPr>
                      <w:color w:val="auto"/>
                      <w:kern w:val="0"/>
                      <w:sz w:val="21"/>
                      <w:szCs w:val="21"/>
                    </w:rPr>
                    <w:t>▉红线/一般生态空间 森林公园/生物多样性保护功能重要区/水土流失敏感区/水源涵养重要区</w:t>
                  </w:r>
                </w:p>
                <w:p>
                  <w:pPr>
                    <w:autoSpaceDE w:val="0"/>
                    <w:autoSpaceDN w:val="0"/>
                    <w:adjustRightInd w:val="0"/>
                    <w:snapToGrid w:val="0"/>
                    <w:spacing w:line="240" w:lineRule="auto"/>
                    <w:ind w:firstLine="0" w:firstLineChars="0"/>
                    <w:rPr>
                      <w:color w:val="auto"/>
                      <w:kern w:val="0"/>
                      <w:sz w:val="21"/>
                      <w:szCs w:val="21"/>
                    </w:rPr>
                  </w:pPr>
                  <w:r>
                    <w:rPr>
                      <w:color w:val="auto"/>
                      <w:kern w:val="0"/>
                      <w:sz w:val="21"/>
                      <w:szCs w:val="21"/>
                    </w:rPr>
                    <w:t>▉大气环境优先保护区/大气高排放重点管控区/大气环境受体敏感重点管控区——湖南岣嵝峰国家森林公园、衡阳县樟木乡永清环保有限公司</w:t>
                  </w:r>
                </w:p>
                <w:p>
                  <w:pPr>
                    <w:autoSpaceDE w:val="0"/>
                    <w:autoSpaceDN w:val="0"/>
                    <w:adjustRightInd w:val="0"/>
                    <w:snapToGrid w:val="0"/>
                    <w:spacing w:line="240" w:lineRule="auto"/>
                    <w:ind w:firstLine="0" w:firstLineChars="0"/>
                    <w:rPr>
                      <w:color w:val="auto"/>
                      <w:kern w:val="0"/>
                      <w:sz w:val="21"/>
                      <w:szCs w:val="21"/>
                    </w:rPr>
                  </w:pPr>
                  <w:r>
                    <w:rPr>
                      <w:color w:val="auto"/>
                      <w:kern w:val="0"/>
                      <w:sz w:val="21"/>
                      <w:szCs w:val="21"/>
                    </w:rPr>
                    <w:t>▉农用地优先保护区/建设用地重点管控区 中高风险企业用地</w:t>
                  </w:r>
                </w:p>
              </w:tc>
              <w:tc>
                <w:tcPr>
                  <w:tcW w:w="1612"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rPr>
                      <w:color w:val="auto"/>
                      <w:kern w:val="0"/>
                      <w:sz w:val="21"/>
                      <w:szCs w:val="21"/>
                    </w:rPr>
                  </w:pPr>
                  <w:r>
                    <w:rPr>
                      <w:rFonts w:hint="eastAsia"/>
                      <w:color w:val="auto"/>
                      <w:sz w:val="21"/>
                      <w:szCs w:val="21"/>
                    </w:rPr>
                    <w:t>本项目位于湖南省衡阳市衡阳县集兵镇太栗村</w:t>
                  </w:r>
                  <w:r>
                    <w:rPr>
                      <w:rFonts w:ascii="宋体" w:hAnsi="宋体" w:cs="宋体"/>
                      <w:color w:val="auto"/>
                      <w:sz w:val="21"/>
                      <w:szCs w:val="21"/>
                    </w:rPr>
                    <w:t>罗坪组</w:t>
                  </w:r>
                  <w:r>
                    <w:rPr>
                      <w:color w:val="auto"/>
                      <w:kern w:val="0"/>
                      <w:sz w:val="21"/>
                      <w:szCs w:val="21"/>
                    </w:rPr>
                    <w:t>，不涉及生态红线；项目不属于大气环境优先保护区，不属于农用地优先保护区。</w:t>
                  </w:r>
                </w:p>
              </w:tc>
              <w:tc>
                <w:tcPr>
                  <w:tcW w:w="369" w:type="pct"/>
                  <w:tcBorders>
                    <w:top w:val="single" w:color="auto" w:sz="4" w:space="0"/>
                    <w:left w:val="single" w:color="auto" w:sz="4" w:space="0"/>
                    <w:bottom w:val="single" w:color="auto" w:sz="4" w:space="0"/>
                    <w:right w:val="single" w:color="auto" w:sz="8"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6" w:type="pct"/>
                  <w:tcBorders>
                    <w:top w:val="single" w:color="auto" w:sz="4" w:space="0"/>
                    <w:left w:val="single" w:color="auto" w:sz="8"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2</w:t>
                  </w:r>
                </w:p>
              </w:tc>
              <w:tc>
                <w:tcPr>
                  <w:tcW w:w="353"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空间布局约束</w:t>
                  </w:r>
                </w:p>
              </w:tc>
              <w:tc>
                <w:tcPr>
                  <w:tcW w:w="2459"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rPr>
                      <w:color w:val="auto"/>
                      <w:kern w:val="0"/>
                      <w:sz w:val="21"/>
                      <w:szCs w:val="21"/>
                    </w:rPr>
                  </w:pPr>
                  <w:r>
                    <w:rPr>
                      <w:color w:val="auto"/>
                      <w:kern w:val="0"/>
                      <w:sz w:val="21"/>
                      <w:szCs w:val="21"/>
                    </w:rPr>
                    <w:t>（1.1）除在安全或者产业布局等方面有特殊要求的以外，新建有污染物排放的工业项目，应当按照规定进入工业园区或者工业集聚区。</w:t>
                  </w:r>
                </w:p>
                <w:p>
                  <w:pPr>
                    <w:autoSpaceDE w:val="0"/>
                    <w:autoSpaceDN w:val="0"/>
                    <w:adjustRightInd w:val="0"/>
                    <w:snapToGrid w:val="0"/>
                    <w:spacing w:line="240" w:lineRule="auto"/>
                    <w:ind w:firstLine="0" w:firstLineChars="0"/>
                    <w:rPr>
                      <w:color w:val="auto"/>
                      <w:kern w:val="0"/>
                      <w:sz w:val="21"/>
                      <w:szCs w:val="21"/>
                    </w:rPr>
                  </w:pPr>
                  <w:r>
                    <w:rPr>
                      <w:color w:val="auto"/>
                      <w:kern w:val="0"/>
                      <w:sz w:val="21"/>
                      <w:szCs w:val="21"/>
                    </w:rPr>
                    <w:t>（1.2）养殖业按划定的禁养区、限养区、适养区实施分类管理。</w:t>
                  </w:r>
                </w:p>
              </w:tc>
              <w:tc>
                <w:tcPr>
                  <w:tcW w:w="1612"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rPr>
                      <w:color w:val="auto"/>
                      <w:kern w:val="0"/>
                      <w:sz w:val="21"/>
                      <w:szCs w:val="21"/>
                    </w:rPr>
                  </w:pPr>
                  <w:r>
                    <w:rPr>
                      <w:color w:val="auto"/>
                      <w:kern w:val="0"/>
                      <w:sz w:val="21"/>
                      <w:szCs w:val="21"/>
                    </w:rPr>
                    <w:t>（1.1）本项目</w:t>
                  </w:r>
                  <w:r>
                    <w:rPr>
                      <w:rFonts w:hint="eastAsia"/>
                      <w:color w:val="auto"/>
                      <w:kern w:val="0"/>
                      <w:sz w:val="21"/>
                      <w:szCs w:val="21"/>
                    </w:rPr>
                    <w:t>为改扩建项目，不属于新建项目；</w:t>
                  </w:r>
                </w:p>
                <w:p>
                  <w:pPr>
                    <w:pStyle w:val="10"/>
                    <w:spacing w:after="0" w:line="240" w:lineRule="auto"/>
                    <w:ind w:left="0" w:leftChars="0" w:firstLine="0" w:firstLineChars="0"/>
                    <w:jc w:val="left"/>
                    <w:rPr>
                      <w:color w:val="auto"/>
                    </w:rPr>
                  </w:pPr>
                  <w:r>
                    <w:rPr>
                      <w:color w:val="auto"/>
                      <w:sz w:val="21"/>
                      <w:szCs w:val="21"/>
                    </w:rPr>
                    <w:t>（1.2）</w:t>
                  </w:r>
                  <w:r>
                    <w:rPr>
                      <w:rFonts w:hint="eastAsia"/>
                      <w:color w:val="auto"/>
                      <w:sz w:val="21"/>
                      <w:szCs w:val="21"/>
                    </w:rPr>
                    <w:t>本项目不属于养殖业。</w:t>
                  </w:r>
                </w:p>
              </w:tc>
              <w:tc>
                <w:tcPr>
                  <w:tcW w:w="369" w:type="pct"/>
                  <w:tcBorders>
                    <w:top w:val="single" w:color="auto" w:sz="4" w:space="0"/>
                    <w:left w:val="single" w:color="auto" w:sz="4" w:space="0"/>
                    <w:bottom w:val="single" w:color="auto" w:sz="4" w:space="0"/>
                    <w:right w:val="single" w:color="auto" w:sz="8"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740" w:hRule="atLeast"/>
                <w:jc w:val="center"/>
              </w:trPr>
              <w:tc>
                <w:tcPr>
                  <w:tcW w:w="206" w:type="pct"/>
                  <w:tcBorders>
                    <w:top w:val="single" w:color="auto" w:sz="4" w:space="0"/>
                    <w:left w:val="single" w:color="auto" w:sz="8"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3</w:t>
                  </w:r>
                </w:p>
              </w:tc>
              <w:tc>
                <w:tcPr>
                  <w:tcW w:w="353" w:type="pct"/>
                  <w:tcBorders>
                    <w:top w:val="single" w:color="auto" w:sz="4" w:space="0"/>
                    <w:left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污染物排放管控</w:t>
                  </w:r>
                </w:p>
              </w:tc>
              <w:tc>
                <w:tcPr>
                  <w:tcW w:w="2459" w:type="pct"/>
                  <w:tcBorders>
                    <w:top w:val="single" w:color="auto" w:sz="4" w:space="0"/>
                    <w:left w:val="single" w:color="auto" w:sz="4" w:space="0"/>
                    <w:bottom w:val="single" w:color="auto" w:sz="4" w:space="0"/>
                    <w:right w:val="single" w:color="auto" w:sz="4" w:space="0"/>
                  </w:tcBorders>
                  <w:vAlign w:val="center"/>
                </w:tcPr>
                <w:p>
                  <w:pPr>
                    <w:pStyle w:val="36"/>
                    <w:spacing w:line="240" w:lineRule="auto"/>
                    <w:ind w:firstLine="0" w:firstLineChars="0"/>
                    <w:jc w:val="both"/>
                    <w:rPr>
                      <w:color w:val="auto"/>
                      <w:sz w:val="21"/>
                    </w:rPr>
                  </w:pPr>
                  <w:r>
                    <w:rPr>
                      <w:color w:val="auto"/>
                      <w:sz w:val="21"/>
                    </w:rPr>
                    <w:t>（2.1）因地制宜开展农村生活污水处理设施建设，完善</w:t>
                  </w:r>
                  <w:r>
                    <w:rPr>
                      <w:rFonts w:hint="eastAsia"/>
                      <w:color w:val="auto"/>
                      <w:sz w:val="21"/>
                    </w:rPr>
                    <w:t>“</w:t>
                  </w:r>
                  <w:r>
                    <w:rPr>
                      <w:color w:val="auto"/>
                      <w:sz w:val="21"/>
                    </w:rPr>
                    <w:t>五位一体</w:t>
                  </w:r>
                  <w:r>
                    <w:rPr>
                      <w:rFonts w:hint="eastAsia"/>
                      <w:color w:val="auto"/>
                      <w:sz w:val="21"/>
                    </w:rPr>
                    <w:t>”</w:t>
                  </w:r>
                  <w:r>
                    <w:rPr>
                      <w:color w:val="auto"/>
                      <w:sz w:val="21"/>
                    </w:rPr>
                    <w:t>的县域农村生活污水治理设施运维管理体系，建立长效的农村生活污水运行管理机制。</w:t>
                  </w:r>
                </w:p>
                <w:p>
                  <w:pPr>
                    <w:pStyle w:val="36"/>
                    <w:spacing w:line="240" w:lineRule="auto"/>
                    <w:ind w:firstLine="0" w:firstLineChars="0"/>
                    <w:jc w:val="both"/>
                    <w:rPr>
                      <w:color w:val="auto"/>
                      <w:sz w:val="21"/>
                    </w:rPr>
                  </w:pPr>
                  <w:r>
                    <w:rPr>
                      <w:color w:val="auto"/>
                      <w:sz w:val="21"/>
                    </w:rPr>
                    <w:t>（2.2）重点行业企业实施强制清洁生产审核，重点工业企业完成无组织排放治理改造；强化重点行业挥发性有机物污染治理，实行区域内VOCs排放等量或倍量削减替代，交通运输设备制造、工程机械制造和家具制造行业全面推行油性漆改水性漆。禁止露天烧烤直排，禁止垃圾露天焚烧。禁止在商住、学校、医疗、养老机构、人口密集区和公共服务设施等周边新建有色金属冶炼、化工等行业企业。</w:t>
                  </w:r>
                </w:p>
                <w:p>
                  <w:pPr>
                    <w:pStyle w:val="36"/>
                    <w:spacing w:line="240" w:lineRule="auto"/>
                    <w:ind w:firstLine="0" w:firstLineChars="0"/>
                    <w:jc w:val="both"/>
                    <w:rPr>
                      <w:color w:val="auto"/>
                      <w:sz w:val="21"/>
                    </w:rPr>
                  </w:pPr>
                  <w:r>
                    <w:rPr>
                      <w:color w:val="auto"/>
                      <w:sz w:val="21"/>
                    </w:rPr>
                    <w:t>（2.3）完善垃圾收集外运设施，建立外运处理制度，禁止在集镇、居民点及其附近任意焚烧；加强畜禽养殖污染防治。畜禽规模养殖场（小区）配套建设废弃物处理设施的比例达到85%以上。</w:t>
                  </w:r>
                </w:p>
              </w:tc>
              <w:tc>
                <w:tcPr>
                  <w:tcW w:w="1612" w:type="pct"/>
                  <w:tcBorders>
                    <w:top w:val="single" w:color="auto" w:sz="4" w:space="0"/>
                    <w:left w:val="single" w:color="auto" w:sz="4" w:space="0"/>
                    <w:right w:val="single" w:color="auto" w:sz="4" w:space="0"/>
                  </w:tcBorders>
                  <w:vAlign w:val="center"/>
                </w:tcPr>
                <w:p>
                  <w:pPr>
                    <w:autoSpaceDE w:val="0"/>
                    <w:autoSpaceDN w:val="0"/>
                    <w:adjustRightInd w:val="0"/>
                    <w:snapToGrid w:val="0"/>
                    <w:spacing w:line="240" w:lineRule="auto"/>
                    <w:ind w:firstLine="0" w:firstLineChars="0"/>
                    <w:rPr>
                      <w:color w:val="auto"/>
                      <w:sz w:val="21"/>
                      <w:szCs w:val="21"/>
                    </w:rPr>
                  </w:pPr>
                  <w:r>
                    <w:rPr>
                      <w:color w:val="auto"/>
                      <w:kern w:val="0"/>
                      <w:sz w:val="21"/>
                      <w:szCs w:val="21"/>
                    </w:rPr>
                    <w:t>（2.1）本项目</w:t>
                  </w:r>
                  <w:r>
                    <w:rPr>
                      <w:rFonts w:hint="eastAsia"/>
                      <w:color w:val="auto"/>
                      <w:kern w:val="0"/>
                      <w:sz w:val="21"/>
                      <w:szCs w:val="21"/>
                    </w:rPr>
                    <w:t>不涉及农村生活污水处理设施建设；</w:t>
                  </w:r>
                </w:p>
                <w:p>
                  <w:pPr>
                    <w:autoSpaceDE w:val="0"/>
                    <w:autoSpaceDN w:val="0"/>
                    <w:adjustRightInd w:val="0"/>
                    <w:snapToGrid w:val="0"/>
                    <w:spacing w:line="240" w:lineRule="auto"/>
                    <w:ind w:firstLine="0" w:firstLineChars="0"/>
                    <w:rPr>
                      <w:color w:val="auto"/>
                      <w:kern w:val="0"/>
                      <w:sz w:val="21"/>
                      <w:szCs w:val="21"/>
                      <w:highlight w:val="yellow"/>
                    </w:rPr>
                  </w:pPr>
                  <w:r>
                    <w:rPr>
                      <w:color w:val="auto"/>
                      <w:kern w:val="0"/>
                      <w:sz w:val="21"/>
                      <w:szCs w:val="21"/>
                    </w:rPr>
                    <w:t>（2.2）</w:t>
                  </w:r>
                  <w:r>
                    <w:rPr>
                      <w:rFonts w:hint="eastAsia"/>
                      <w:color w:val="auto"/>
                      <w:kern w:val="0"/>
                      <w:sz w:val="21"/>
                      <w:szCs w:val="21"/>
                      <w:lang w:val="en-US" w:eastAsia="zh-CN"/>
                    </w:rPr>
                    <w:t>本项目为重点工业企业，</w:t>
                  </w:r>
                  <w:r>
                    <w:rPr>
                      <w:rFonts w:hint="eastAsia"/>
                      <w:color w:val="auto"/>
                      <w:kern w:val="0"/>
                      <w:sz w:val="21"/>
                      <w:szCs w:val="21"/>
                    </w:rPr>
                    <w:t>项目沼气</w:t>
                  </w:r>
                  <w:r>
                    <w:rPr>
                      <w:rFonts w:hint="eastAsia"/>
                      <w:color w:val="auto"/>
                      <w:sz w:val="21"/>
                      <w:szCs w:val="21"/>
                    </w:rPr>
                    <w:t>经锅炉低氮燃烧后，产生的废气通过管道经15m高空排气筒排放</w:t>
                  </w:r>
                  <w:r>
                    <w:rPr>
                      <w:rFonts w:hint="eastAsia"/>
                      <w:color w:val="auto"/>
                      <w:kern w:val="0"/>
                      <w:sz w:val="21"/>
                      <w:szCs w:val="21"/>
                    </w:rPr>
                    <w:t>。本项目不涉及气体无组织排放；本项目不涉及VOC</w:t>
                  </w:r>
                  <w:r>
                    <w:rPr>
                      <w:rFonts w:hint="eastAsia"/>
                      <w:color w:val="auto"/>
                      <w:kern w:val="0"/>
                      <w:sz w:val="21"/>
                      <w:szCs w:val="21"/>
                      <w:vertAlign w:val="subscript"/>
                    </w:rPr>
                    <w:t>S</w:t>
                  </w:r>
                  <w:r>
                    <w:rPr>
                      <w:rFonts w:hint="eastAsia"/>
                      <w:color w:val="auto"/>
                      <w:kern w:val="0"/>
                      <w:sz w:val="21"/>
                      <w:szCs w:val="21"/>
                    </w:rPr>
                    <w:t>排放；</w:t>
                  </w:r>
                  <w:r>
                    <w:rPr>
                      <w:rFonts w:hint="eastAsia"/>
                      <w:color w:val="auto"/>
                      <w:kern w:val="0"/>
                      <w:sz w:val="21"/>
                      <w:szCs w:val="21"/>
                      <w:lang w:val="en-US" w:eastAsia="zh-CN"/>
                    </w:rPr>
                    <w:t>本项目不涉及</w:t>
                  </w:r>
                  <w:r>
                    <w:rPr>
                      <w:color w:val="auto"/>
                      <w:sz w:val="21"/>
                    </w:rPr>
                    <w:t>露天烧烤直排</w:t>
                  </w:r>
                  <w:r>
                    <w:rPr>
                      <w:rFonts w:hint="eastAsia"/>
                      <w:color w:val="auto"/>
                      <w:sz w:val="21"/>
                      <w:lang w:eastAsia="zh-CN"/>
                    </w:rPr>
                    <w:t>，</w:t>
                  </w:r>
                  <w:r>
                    <w:rPr>
                      <w:color w:val="auto"/>
                      <w:sz w:val="21"/>
                    </w:rPr>
                    <w:t>垃圾露天焚烧</w:t>
                  </w:r>
                  <w:r>
                    <w:rPr>
                      <w:rFonts w:hint="eastAsia"/>
                      <w:color w:val="auto"/>
                      <w:sz w:val="21"/>
                      <w:lang w:eastAsia="zh-CN"/>
                    </w:rPr>
                    <w:t>；</w:t>
                  </w:r>
                  <w:r>
                    <w:rPr>
                      <w:rFonts w:hint="eastAsia"/>
                      <w:color w:val="auto"/>
                      <w:kern w:val="0"/>
                      <w:sz w:val="21"/>
                      <w:szCs w:val="21"/>
                    </w:rPr>
                    <w:t>本项目不涉及</w:t>
                  </w:r>
                  <w:r>
                    <w:rPr>
                      <w:color w:val="auto"/>
                      <w:kern w:val="0"/>
                      <w:sz w:val="21"/>
                      <w:szCs w:val="21"/>
                    </w:rPr>
                    <w:t>金属冶炼、化工</w:t>
                  </w:r>
                  <w:r>
                    <w:rPr>
                      <w:rFonts w:hint="eastAsia"/>
                      <w:color w:val="auto"/>
                      <w:kern w:val="0"/>
                      <w:sz w:val="21"/>
                      <w:szCs w:val="21"/>
                    </w:rPr>
                    <w:t>企业。</w:t>
                  </w:r>
                </w:p>
                <w:p>
                  <w:pPr>
                    <w:pStyle w:val="10"/>
                    <w:spacing w:after="0" w:line="240" w:lineRule="auto"/>
                    <w:ind w:left="0" w:leftChars="0" w:firstLine="0" w:firstLineChars="0"/>
                    <w:rPr>
                      <w:color w:val="auto"/>
                    </w:rPr>
                  </w:pPr>
                  <w:r>
                    <w:rPr>
                      <w:color w:val="auto"/>
                      <w:sz w:val="21"/>
                      <w:szCs w:val="21"/>
                    </w:rPr>
                    <w:t>（2.</w:t>
                  </w:r>
                  <w:r>
                    <w:rPr>
                      <w:rFonts w:hint="eastAsia"/>
                      <w:color w:val="auto"/>
                      <w:sz w:val="21"/>
                      <w:szCs w:val="21"/>
                    </w:rPr>
                    <w:t>3</w:t>
                  </w:r>
                  <w:r>
                    <w:rPr>
                      <w:color w:val="auto"/>
                      <w:sz w:val="21"/>
                      <w:szCs w:val="21"/>
                    </w:rPr>
                    <w:t>）</w:t>
                  </w:r>
                  <w:r>
                    <w:rPr>
                      <w:rFonts w:hint="eastAsia"/>
                      <w:color w:val="auto"/>
                      <w:sz w:val="21"/>
                      <w:szCs w:val="21"/>
                    </w:rPr>
                    <w:t>本项目固体废物主要为纯水制备废过滤材料（含活性炭滤芯和RO膜），由厂家进行回收；本项目不涉及畜禽养殖。</w:t>
                  </w:r>
                </w:p>
              </w:tc>
              <w:tc>
                <w:tcPr>
                  <w:tcW w:w="369" w:type="pct"/>
                  <w:tcBorders>
                    <w:top w:val="single" w:color="auto" w:sz="4" w:space="0"/>
                    <w:left w:val="single" w:color="auto" w:sz="4" w:space="0"/>
                    <w:right w:val="single" w:color="auto" w:sz="8"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6" w:type="pct"/>
                  <w:tcBorders>
                    <w:top w:val="single" w:color="auto" w:sz="4" w:space="0"/>
                    <w:left w:val="single" w:color="auto" w:sz="8"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4</w:t>
                  </w:r>
                </w:p>
              </w:tc>
              <w:tc>
                <w:tcPr>
                  <w:tcW w:w="353"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环境风险防控</w:t>
                  </w:r>
                </w:p>
              </w:tc>
              <w:tc>
                <w:tcPr>
                  <w:tcW w:w="2459" w:type="pct"/>
                  <w:tcBorders>
                    <w:top w:val="single" w:color="auto" w:sz="4" w:space="0"/>
                    <w:left w:val="single" w:color="auto" w:sz="4" w:space="0"/>
                    <w:bottom w:val="single" w:color="auto" w:sz="4" w:space="0"/>
                    <w:right w:val="single" w:color="auto" w:sz="4" w:space="0"/>
                  </w:tcBorders>
                  <w:vAlign w:val="center"/>
                </w:tcPr>
                <w:p>
                  <w:pPr>
                    <w:pStyle w:val="36"/>
                    <w:spacing w:line="240" w:lineRule="auto"/>
                    <w:ind w:firstLine="0" w:firstLineChars="0"/>
                    <w:jc w:val="both"/>
                    <w:rPr>
                      <w:color w:val="auto"/>
                      <w:sz w:val="21"/>
                    </w:rPr>
                  </w:pPr>
                  <w:r>
                    <w:rPr>
                      <w:color w:val="auto"/>
                      <w:sz w:val="21"/>
                    </w:rPr>
                    <w:t>（3.1）加强生态环境保护日常监管和线下监控，健全环境风险预警防控体系，推进重点流域、重要水源地风险防控；建立生态环境风险隐患排查制度和重大生态环境风险源数据库，实行动态跟踪监控和管理；设立生态环境风险监督员，及时核查核实群众举报、舆情反映等渠道获取的问题，建立问题清单和整改清单，消除环境风险。</w:t>
                  </w:r>
                </w:p>
                <w:p>
                  <w:pPr>
                    <w:pStyle w:val="36"/>
                    <w:spacing w:line="240" w:lineRule="auto"/>
                    <w:ind w:firstLine="0" w:firstLineChars="0"/>
                    <w:jc w:val="both"/>
                    <w:rPr>
                      <w:color w:val="auto"/>
                      <w:sz w:val="21"/>
                    </w:rPr>
                  </w:pPr>
                  <w:r>
                    <w:rPr>
                      <w:color w:val="auto"/>
                      <w:sz w:val="21"/>
                    </w:rPr>
                    <w:t>（3.2）加强污染耕地环境风险控制。对已污染的耕地实施分类管理，采取农艺调控、种植业结构调整、土壤污染治理与修复等措施，确保耕地安全利用；污染严重且难以修复的耕地依法划定为农产品禁止生产区域。加强农用土地复垦风险评估管理。</w:t>
                  </w:r>
                </w:p>
              </w:tc>
              <w:tc>
                <w:tcPr>
                  <w:tcW w:w="1612"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rPr>
                      <w:color w:val="auto"/>
                      <w:kern w:val="0"/>
                      <w:sz w:val="21"/>
                      <w:szCs w:val="21"/>
                    </w:rPr>
                  </w:pPr>
                  <w:r>
                    <w:rPr>
                      <w:color w:val="auto"/>
                      <w:kern w:val="0"/>
                      <w:sz w:val="21"/>
                      <w:szCs w:val="21"/>
                    </w:rPr>
                    <w:t>（3.1）</w:t>
                  </w:r>
                  <w:r>
                    <w:rPr>
                      <w:rFonts w:hint="eastAsia"/>
                      <w:color w:val="auto"/>
                      <w:kern w:val="0"/>
                      <w:sz w:val="21"/>
                      <w:szCs w:val="21"/>
                    </w:rPr>
                    <w:t>企业已制定能源管理制度、开启绿色制造三年行动计划，加强生态环境保护日常监管和监控，健全环境风险预警防控体系，</w:t>
                  </w:r>
                  <w:r>
                    <w:rPr>
                      <w:color w:val="auto"/>
                      <w:kern w:val="0"/>
                      <w:sz w:val="21"/>
                      <w:szCs w:val="21"/>
                    </w:rPr>
                    <w:t>消除环境风险</w:t>
                  </w:r>
                  <w:r>
                    <w:rPr>
                      <w:rFonts w:hint="eastAsia"/>
                      <w:color w:val="auto"/>
                      <w:kern w:val="0"/>
                      <w:sz w:val="21"/>
                      <w:szCs w:val="21"/>
                    </w:rPr>
                    <w:t>。</w:t>
                  </w:r>
                </w:p>
                <w:p>
                  <w:pPr>
                    <w:pStyle w:val="10"/>
                    <w:spacing w:after="0" w:line="240" w:lineRule="auto"/>
                    <w:ind w:left="0" w:leftChars="0" w:firstLine="0" w:firstLineChars="0"/>
                    <w:rPr>
                      <w:color w:val="auto"/>
                    </w:rPr>
                  </w:pPr>
                  <w:r>
                    <w:rPr>
                      <w:color w:val="auto"/>
                      <w:sz w:val="21"/>
                      <w:szCs w:val="21"/>
                    </w:rPr>
                    <w:t>（3.2）</w:t>
                  </w:r>
                  <w:r>
                    <w:rPr>
                      <w:rFonts w:hint="eastAsia"/>
                      <w:color w:val="auto"/>
                      <w:sz w:val="21"/>
                      <w:szCs w:val="21"/>
                    </w:rPr>
                    <w:t>本项目不涉及污染耕地。</w:t>
                  </w:r>
                </w:p>
              </w:tc>
              <w:tc>
                <w:tcPr>
                  <w:tcW w:w="369" w:type="pct"/>
                  <w:tcBorders>
                    <w:top w:val="single" w:color="auto" w:sz="4" w:space="0"/>
                    <w:left w:val="single" w:color="auto" w:sz="4" w:space="0"/>
                    <w:bottom w:val="single" w:color="auto" w:sz="4" w:space="0"/>
                    <w:right w:val="single" w:color="auto" w:sz="8"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符合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206" w:type="pct"/>
                  <w:tcBorders>
                    <w:top w:val="single" w:color="auto" w:sz="4" w:space="0"/>
                    <w:left w:val="single" w:color="auto" w:sz="8"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5</w:t>
                  </w:r>
                </w:p>
              </w:tc>
              <w:tc>
                <w:tcPr>
                  <w:tcW w:w="353"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资源开发效率要求</w:t>
                  </w:r>
                </w:p>
              </w:tc>
              <w:tc>
                <w:tcPr>
                  <w:tcW w:w="245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color w:val="auto"/>
                      <w:sz w:val="21"/>
                      <w:szCs w:val="21"/>
                    </w:rPr>
                  </w:pPr>
                  <w:r>
                    <w:rPr>
                      <w:color w:val="auto"/>
                      <w:sz w:val="21"/>
                      <w:szCs w:val="21"/>
                    </w:rPr>
                    <w:t>（4.1）能源：鼓励企业使用清洁能源，营造全社会节能减排和保护环境的良好氛围。激发用户侧可再生能源电力需求，鼓励用户绿色出行。</w:t>
                  </w:r>
                </w:p>
                <w:p>
                  <w:pPr>
                    <w:spacing w:line="240" w:lineRule="auto"/>
                    <w:ind w:firstLine="0" w:firstLineChars="0"/>
                    <w:rPr>
                      <w:color w:val="auto"/>
                      <w:sz w:val="21"/>
                      <w:szCs w:val="21"/>
                    </w:rPr>
                  </w:pPr>
                  <w:r>
                    <w:rPr>
                      <w:color w:val="auto"/>
                      <w:sz w:val="21"/>
                      <w:szCs w:val="21"/>
                    </w:rPr>
                    <w:t>（4.2）水资源：落实水资源消耗总量和强度双控行动，推动经济社会发展布局与水资源承载能力相适应。</w:t>
                  </w:r>
                </w:p>
              </w:tc>
              <w:tc>
                <w:tcPr>
                  <w:tcW w:w="1612"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240" w:lineRule="auto"/>
                    <w:ind w:firstLine="0" w:firstLineChars="0"/>
                    <w:rPr>
                      <w:color w:val="auto"/>
                      <w:kern w:val="0"/>
                      <w:sz w:val="21"/>
                      <w:szCs w:val="21"/>
                    </w:rPr>
                  </w:pPr>
                  <w:r>
                    <w:rPr>
                      <w:color w:val="auto"/>
                      <w:sz w:val="21"/>
                      <w:szCs w:val="21"/>
                    </w:rPr>
                    <w:t>（4.1）</w:t>
                  </w:r>
                  <w:r>
                    <w:rPr>
                      <w:rFonts w:hint="eastAsia"/>
                      <w:color w:val="auto"/>
                      <w:kern w:val="0"/>
                      <w:sz w:val="21"/>
                      <w:szCs w:val="21"/>
                    </w:rPr>
                    <w:t>本</w:t>
                  </w:r>
                  <w:r>
                    <w:rPr>
                      <w:color w:val="auto"/>
                      <w:kern w:val="0"/>
                      <w:sz w:val="21"/>
                      <w:szCs w:val="21"/>
                    </w:rPr>
                    <w:t>项目使用的能源为水、电</w:t>
                  </w:r>
                  <w:r>
                    <w:rPr>
                      <w:rFonts w:hint="eastAsia"/>
                      <w:color w:val="auto"/>
                      <w:kern w:val="0"/>
                      <w:sz w:val="21"/>
                      <w:szCs w:val="21"/>
                      <w:lang w:eastAsia="zh-CN"/>
                    </w:rPr>
                    <w:t>、</w:t>
                  </w:r>
                  <w:r>
                    <w:rPr>
                      <w:rFonts w:hint="eastAsia"/>
                      <w:color w:val="auto"/>
                      <w:kern w:val="0"/>
                      <w:sz w:val="21"/>
                      <w:szCs w:val="21"/>
                      <w:lang w:val="en-US" w:eastAsia="zh-CN"/>
                    </w:rPr>
                    <w:t>沼气</w:t>
                  </w:r>
                  <w:r>
                    <w:rPr>
                      <w:color w:val="auto"/>
                      <w:kern w:val="0"/>
                      <w:sz w:val="21"/>
                      <w:szCs w:val="21"/>
                    </w:rPr>
                    <w:t>，不使用煤、高硫、中硫原煤及重油等燃料</w:t>
                  </w:r>
                </w:p>
                <w:p>
                  <w:pPr>
                    <w:autoSpaceDE w:val="0"/>
                    <w:autoSpaceDN w:val="0"/>
                    <w:adjustRightInd w:val="0"/>
                    <w:snapToGrid w:val="0"/>
                    <w:spacing w:line="240" w:lineRule="auto"/>
                    <w:ind w:firstLine="0" w:firstLineChars="0"/>
                    <w:rPr>
                      <w:color w:val="auto"/>
                      <w:kern w:val="0"/>
                      <w:sz w:val="21"/>
                      <w:szCs w:val="21"/>
                    </w:rPr>
                  </w:pPr>
                  <w:r>
                    <w:rPr>
                      <w:color w:val="auto"/>
                      <w:sz w:val="21"/>
                      <w:szCs w:val="21"/>
                    </w:rPr>
                    <w:t>（4.</w:t>
                  </w:r>
                  <w:r>
                    <w:rPr>
                      <w:rFonts w:hint="eastAsia"/>
                      <w:color w:val="auto"/>
                      <w:sz w:val="21"/>
                      <w:szCs w:val="21"/>
                    </w:rPr>
                    <w:t>2</w:t>
                  </w:r>
                  <w:r>
                    <w:rPr>
                      <w:color w:val="auto"/>
                      <w:sz w:val="21"/>
                      <w:szCs w:val="21"/>
                    </w:rPr>
                    <w:t>）</w:t>
                  </w:r>
                  <w:r>
                    <w:rPr>
                      <w:rFonts w:hint="eastAsia"/>
                      <w:color w:val="auto"/>
                      <w:sz w:val="21"/>
                      <w:szCs w:val="21"/>
                    </w:rPr>
                    <w:t>本</w:t>
                  </w:r>
                  <w:r>
                    <w:rPr>
                      <w:rFonts w:hint="eastAsia"/>
                      <w:color w:val="auto"/>
                      <w:kern w:val="0"/>
                      <w:sz w:val="21"/>
                      <w:szCs w:val="21"/>
                    </w:rPr>
                    <w:t>项目拟</w:t>
                  </w:r>
                  <w:r>
                    <w:rPr>
                      <w:color w:val="auto"/>
                      <w:sz w:val="21"/>
                      <w:szCs w:val="21"/>
                    </w:rPr>
                    <w:t>落实水资源消耗总量和强度双控行动</w:t>
                  </w:r>
                  <w:r>
                    <w:rPr>
                      <w:rFonts w:hint="eastAsia"/>
                      <w:color w:val="auto"/>
                      <w:sz w:val="21"/>
                      <w:szCs w:val="21"/>
                    </w:rPr>
                    <w:t>，</w:t>
                  </w:r>
                  <w:r>
                    <w:rPr>
                      <w:color w:val="auto"/>
                      <w:kern w:val="0"/>
                      <w:sz w:val="21"/>
                      <w:szCs w:val="21"/>
                    </w:rPr>
                    <w:t>满足资源开发效率要求</w:t>
                  </w:r>
                  <w:r>
                    <w:rPr>
                      <w:rFonts w:hint="eastAsia"/>
                      <w:color w:val="auto"/>
                      <w:kern w:val="0"/>
                      <w:sz w:val="21"/>
                      <w:szCs w:val="21"/>
                    </w:rPr>
                    <w:t>。</w:t>
                  </w:r>
                </w:p>
              </w:tc>
              <w:tc>
                <w:tcPr>
                  <w:tcW w:w="369" w:type="pct"/>
                  <w:tcBorders>
                    <w:top w:val="single" w:color="auto" w:sz="4" w:space="0"/>
                    <w:left w:val="single" w:color="auto" w:sz="4" w:space="0"/>
                    <w:bottom w:val="single" w:color="auto" w:sz="4" w:space="0"/>
                    <w:right w:val="single" w:color="auto" w:sz="8" w:space="0"/>
                  </w:tcBorders>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kern w:val="0"/>
                      <w:sz w:val="21"/>
                      <w:szCs w:val="21"/>
                    </w:rPr>
                    <w:t>符合</w:t>
                  </w:r>
                </w:p>
              </w:tc>
            </w:tr>
          </w:tbl>
          <w:p>
            <w:pPr>
              <w:ind w:firstLine="420"/>
              <w:rPr>
                <w:color w:val="auto"/>
                <w:sz w:val="21"/>
                <w:szCs w:val="21"/>
              </w:rPr>
            </w:pPr>
            <w:r>
              <w:rPr>
                <w:rFonts w:hint="eastAsia"/>
                <w:color w:val="auto"/>
                <w:sz w:val="21"/>
                <w:szCs w:val="21"/>
              </w:rPr>
              <w:t>综上所述，本项目建设符合“三线一单”的控制要求。</w:t>
            </w:r>
          </w:p>
          <w:p>
            <w:pPr>
              <w:autoSpaceDE w:val="0"/>
              <w:autoSpaceDN w:val="0"/>
              <w:adjustRightInd w:val="0"/>
              <w:snapToGrid w:val="0"/>
              <w:ind w:firstLine="0" w:firstLineChars="0"/>
              <w:rPr>
                <w:color w:val="auto"/>
                <w:kern w:val="0"/>
                <w:sz w:val="21"/>
                <w:szCs w:val="21"/>
              </w:rPr>
            </w:pPr>
            <w:r>
              <w:rPr>
                <w:rFonts w:hint="eastAsia"/>
                <w:b/>
                <w:bCs/>
                <w:color w:val="auto"/>
                <w:kern w:val="0"/>
                <w:sz w:val="21"/>
                <w:szCs w:val="21"/>
              </w:rPr>
              <w:t>4</w:t>
            </w:r>
            <w:r>
              <w:rPr>
                <w:b/>
                <w:bCs/>
                <w:color w:val="auto"/>
                <w:kern w:val="0"/>
                <w:sz w:val="21"/>
                <w:szCs w:val="21"/>
              </w:rPr>
              <w:t>、与《湖南省湘江保护条例》（2023年修订）符合性分析</w:t>
            </w:r>
          </w:p>
          <w:p>
            <w:pPr>
              <w:autoSpaceDE w:val="0"/>
              <w:autoSpaceDN w:val="0"/>
              <w:adjustRightInd w:val="0"/>
              <w:snapToGrid w:val="0"/>
              <w:ind w:firstLine="420"/>
              <w:rPr>
                <w:color w:val="auto"/>
                <w:kern w:val="0"/>
                <w:sz w:val="21"/>
                <w:szCs w:val="21"/>
              </w:rPr>
            </w:pPr>
            <w:r>
              <w:rPr>
                <w:color w:val="auto"/>
                <w:kern w:val="0"/>
                <w:sz w:val="21"/>
                <w:szCs w:val="21"/>
              </w:rPr>
              <w:t>根据《湖南省湘江保护条例》</w:t>
            </w:r>
            <w:r>
              <w:rPr>
                <w:rFonts w:hint="eastAsia"/>
                <w:color w:val="auto"/>
                <w:kern w:val="0"/>
                <w:sz w:val="21"/>
                <w:szCs w:val="21"/>
              </w:rPr>
              <w:t>（2023年修订）</w:t>
            </w:r>
            <w:r>
              <w:rPr>
                <w:color w:val="auto"/>
                <w:kern w:val="0"/>
                <w:sz w:val="21"/>
                <w:szCs w:val="21"/>
              </w:rPr>
              <w:t>，本项目与相关规定相符，具体符合性分析见</w:t>
            </w:r>
            <w:r>
              <w:rPr>
                <w:rFonts w:hint="eastAsia"/>
                <w:color w:val="auto"/>
                <w:kern w:val="0"/>
                <w:sz w:val="21"/>
                <w:szCs w:val="21"/>
              </w:rPr>
              <w:t>下表</w:t>
            </w:r>
            <w:r>
              <w:rPr>
                <w:color w:val="auto"/>
                <w:kern w:val="0"/>
                <w:sz w:val="21"/>
                <w:szCs w:val="21"/>
              </w:rPr>
              <w:t>：</w:t>
            </w:r>
          </w:p>
          <w:p>
            <w:pPr>
              <w:autoSpaceDE w:val="0"/>
              <w:autoSpaceDN w:val="0"/>
              <w:adjustRightInd w:val="0"/>
              <w:snapToGrid w:val="0"/>
              <w:spacing w:line="240" w:lineRule="auto"/>
              <w:ind w:firstLine="0" w:firstLineChars="0"/>
              <w:jc w:val="center"/>
              <w:rPr>
                <w:b/>
                <w:bCs/>
                <w:color w:val="auto"/>
                <w:kern w:val="0"/>
                <w:sz w:val="21"/>
                <w:szCs w:val="21"/>
              </w:rPr>
            </w:pPr>
            <w:r>
              <w:rPr>
                <w:b/>
                <w:bCs/>
                <w:color w:val="auto"/>
                <w:kern w:val="0"/>
                <w:sz w:val="21"/>
                <w:szCs w:val="21"/>
              </w:rPr>
              <w:t>表1-</w:t>
            </w:r>
            <w:r>
              <w:rPr>
                <w:rFonts w:hint="eastAsia"/>
                <w:b/>
                <w:bCs/>
                <w:color w:val="auto"/>
                <w:kern w:val="0"/>
                <w:sz w:val="21"/>
                <w:szCs w:val="21"/>
              </w:rPr>
              <w:t xml:space="preserve">3  </w:t>
            </w:r>
            <w:r>
              <w:rPr>
                <w:b/>
                <w:bCs/>
                <w:color w:val="auto"/>
                <w:kern w:val="0"/>
                <w:sz w:val="21"/>
                <w:szCs w:val="21"/>
              </w:rPr>
              <w:t>与《湖南省湘江保护条例》（2023年修订）相关规定符合性分析</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4267"/>
              <w:gridCol w:w="1490"/>
              <w:gridCol w:w="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236" w:type="pct"/>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批复要求</w:t>
                  </w:r>
                </w:p>
              </w:tc>
              <w:tc>
                <w:tcPr>
                  <w:tcW w:w="1130" w:type="pct"/>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本项目情况</w:t>
                  </w:r>
                </w:p>
              </w:tc>
              <w:tc>
                <w:tcPr>
                  <w:tcW w:w="632" w:type="pct"/>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236" w:type="pct"/>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sz w:val="21"/>
                      <w:szCs w:val="21"/>
                    </w:rPr>
                    <w:t>禁止在湘江流域饮用水水源一级保护区内设置排污口（渠），禁止新建、改建、扩建与供水设施和保护水源无关的建设项目；已经设置排污口（渠）、建成与供水设施和保护水源无关的建设项目，县级以上人民政府应当在省人民政府规定期限内组织拆除或者关闭。禁止在湘江流域饮用水水源一级保护区内从事网箱养殖、旅游、游泳、垂钓或者其他可能污染饮用水水体的活动。</w:t>
                  </w:r>
                </w:p>
              </w:tc>
              <w:tc>
                <w:tcPr>
                  <w:tcW w:w="1130" w:type="pct"/>
                  <w:vAlign w:val="center"/>
                </w:tcPr>
                <w:p>
                  <w:pPr>
                    <w:autoSpaceDE w:val="0"/>
                    <w:autoSpaceDN w:val="0"/>
                    <w:adjustRightInd w:val="0"/>
                    <w:snapToGrid w:val="0"/>
                    <w:spacing w:line="240" w:lineRule="auto"/>
                    <w:ind w:firstLine="0" w:firstLineChars="0"/>
                    <w:rPr>
                      <w:color w:val="auto"/>
                      <w:kern w:val="0"/>
                      <w:sz w:val="21"/>
                      <w:szCs w:val="21"/>
                    </w:rPr>
                  </w:pPr>
                  <w:r>
                    <w:rPr>
                      <w:rFonts w:hint="eastAsia"/>
                      <w:color w:val="auto"/>
                      <w:kern w:val="0"/>
                      <w:sz w:val="21"/>
                      <w:szCs w:val="21"/>
                    </w:rPr>
                    <w:t>本项目地表水环境为三渡河（农田灌溉）、湘江（III类水体（工业、渔业、景观娱乐用水区））、横江铺河，未涉及湘江</w:t>
                  </w:r>
                  <w:r>
                    <w:rPr>
                      <w:rFonts w:hint="eastAsia"/>
                      <w:color w:val="auto"/>
                      <w:sz w:val="21"/>
                      <w:szCs w:val="21"/>
                    </w:rPr>
                    <w:t>流域饮用水水源一级保护区</w:t>
                  </w:r>
                  <w:r>
                    <w:rPr>
                      <w:rFonts w:hint="eastAsia"/>
                      <w:color w:val="auto"/>
                      <w:kern w:val="0"/>
                      <w:sz w:val="21"/>
                      <w:szCs w:val="21"/>
                    </w:rPr>
                    <w:t>。</w:t>
                  </w:r>
                </w:p>
              </w:tc>
              <w:tc>
                <w:tcPr>
                  <w:tcW w:w="632" w:type="pct"/>
                  <w:vMerge w:val="restart"/>
                  <w:vAlign w:val="center"/>
                </w:tcPr>
                <w:p>
                  <w:pPr>
                    <w:autoSpaceDE w:val="0"/>
                    <w:autoSpaceDN w:val="0"/>
                    <w:adjustRightInd w:val="0"/>
                    <w:snapToGrid w:val="0"/>
                    <w:spacing w:line="240" w:lineRule="auto"/>
                    <w:ind w:firstLine="0" w:firstLineChars="0"/>
                    <w:jc w:val="center"/>
                    <w:rPr>
                      <w:color w:val="auto"/>
                      <w:kern w:val="0"/>
                      <w:sz w:val="21"/>
                      <w:szCs w:val="21"/>
                    </w:rPr>
                  </w:pPr>
                  <w:r>
                    <w:rPr>
                      <w:color w:val="auto"/>
                      <w:kern w:val="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236" w:type="pct"/>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sz w:val="21"/>
                      <w:szCs w:val="21"/>
                    </w:rPr>
                    <w:t>禁止在湘江流域饮用水水源二级保护区内设置排污口（渠），禁止新建、改建、扩建排放污染物的建设项目；已经设置排污口（渠）、建成排放污染物的建设项目，县级以上人民政府应当在省人民政府规定期限内组织拆除或者关闭。</w:t>
                  </w:r>
                </w:p>
              </w:tc>
              <w:tc>
                <w:tcPr>
                  <w:tcW w:w="1130" w:type="pct"/>
                  <w:vAlign w:val="center"/>
                </w:tcPr>
                <w:p>
                  <w:pPr>
                    <w:pStyle w:val="10"/>
                    <w:spacing w:after="0" w:line="240" w:lineRule="auto"/>
                    <w:ind w:left="0" w:leftChars="0" w:firstLine="0" w:firstLineChars="0"/>
                    <w:rPr>
                      <w:color w:val="auto"/>
                      <w:sz w:val="21"/>
                      <w:szCs w:val="21"/>
                    </w:rPr>
                  </w:pPr>
                  <w:r>
                    <w:rPr>
                      <w:rFonts w:hint="eastAsia"/>
                      <w:color w:val="auto"/>
                      <w:sz w:val="21"/>
                      <w:szCs w:val="21"/>
                    </w:rPr>
                    <w:t>本项目地表水环境为三渡河（农田灌溉）、湘江（III类水体（工业、渔业、景观娱乐用水区））、横江铺河，未涉及湘江流域饮用水水源二级保护区。</w:t>
                  </w:r>
                </w:p>
              </w:tc>
              <w:tc>
                <w:tcPr>
                  <w:tcW w:w="632" w:type="pct"/>
                  <w:vMerge w:val="continue"/>
                  <w:vAlign w:val="center"/>
                </w:tcPr>
                <w:p>
                  <w:pPr>
                    <w:autoSpaceDE w:val="0"/>
                    <w:autoSpaceDN w:val="0"/>
                    <w:adjustRightInd w:val="0"/>
                    <w:snapToGrid w:val="0"/>
                    <w:spacing w:line="240" w:lineRule="auto"/>
                    <w:ind w:firstLine="0" w:firstLineChars="0"/>
                    <w:jc w:val="center"/>
                    <w:rPr>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236" w:type="pct"/>
                  <w:vAlign w:val="center"/>
                </w:tcPr>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sz w:val="21"/>
                      <w:szCs w:val="21"/>
                    </w:rPr>
                    <w:t>禁止在湘江干流岸线一公里范围内新建、扩建化工园区和化工项目。禁止在湘江干流岸线一公里范围内新建、改建、扩建尾矿库；但是以提升安全、生态环境保护水平为目的的改建除外。</w:t>
                  </w:r>
                </w:p>
              </w:tc>
              <w:tc>
                <w:tcPr>
                  <w:tcW w:w="1130" w:type="pct"/>
                  <w:vAlign w:val="center"/>
                </w:tcPr>
                <w:p>
                  <w:pPr>
                    <w:autoSpaceDE w:val="0"/>
                    <w:autoSpaceDN w:val="0"/>
                    <w:adjustRightInd w:val="0"/>
                    <w:snapToGrid w:val="0"/>
                    <w:spacing w:line="240" w:lineRule="auto"/>
                    <w:ind w:firstLine="0" w:firstLineChars="0"/>
                    <w:jc w:val="center"/>
                    <w:rPr>
                      <w:color w:val="auto"/>
                      <w:sz w:val="21"/>
                      <w:szCs w:val="21"/>
                    </w:rPr>
                  </w:pPr>
                  <w:r>
                    <w:rPr>
                      <w:color w:val="auto"/>
                      <w:kern w:val="0"/>
                      <w:sz w:val="21"/>
                      <w:szCs w:val="21"/>
                    </w:rPr>
                    <w:t>本</w:t>
                  </w:r>
                  <w:r>
                    <w:rPr>
                      <w:rFonts w:hint="eastAsia"/>
                      <w:color w:val="auto"/>
                      <w:sz w:val="21"/>
                      <w:szCs w:val="21"/>
                    </w:rPr>
                    <w:t>项目位于湖南省衡阳市衡阳县集兵镇太栗村罗坪组，距离湘江直线距离2810 m，在出湘江干流岸线一公里范围外</w:t>
                  </w:r>
                </w:p>
                <w:p>
                  <w:pPr>
                    <w:autoSpaceDE w:val="0"/>
                    <w:autoSpaceDN w:val="0"/>
                    <w:adjustRightInd w:val="0"/>
                    <w:snapToGrid w:val="0"/>
                    <w:spacing w:line="240" w:lineRule="auto"/>
                    <w:ind w:firstLine="0" w:firstLineChars="0"/>
                    <w:jc w:val="center"/>
                    <w:rPr>
                      <w:color w:val="auto"/>
                      <w:kern w:val="0"/>
                      <w:sz w:val="21"/>
                      <w:szCs w:val="21"/>
                    </w:rPr>
                  </w:pPr>
                  <w:r>
                    <w:rPr>
                      <w:rFonts w:hint="eastAsia"/>
                      <w:color w:val="auto"/>
                      <w:sz w:val="21"/>
                      <w:szCs w:val="21"/>
                    </w:rPr>
                    <w:t>；本项目不涉及尾矿库建设。</w:t>
                  </w:r>
                </w:p>
              </w:tc>
              <w:tc>
                <w:tcPr>
                  <w:tcW w:w="632" w:type="pct"/>
                  <w:vMerge w:val="continue"/>
                  <w:vAlign w:val="center"/>
                </w:tcPr>
                <w:p>
                  <w:pPr>
                    <w:autoSpaceDE w:val="0"/>
                    <w:autoSpaceDN w:val="0"/>
                    <w:adjustRightInd w:val="0"/>
                    <w:snapToGrid w:val="0"/>
                    <w:spacing w:line="240" w:lineRule="auto"/>
                    <w:ind w:firstLine="0" w:firstLineChars="0"/>
                    <w:jc w:val="center"/>
                    <w:rPr>
                      <w:color w:val="auto"/>
                      <w:kern w:val="0"/>
                      <w:sz w:val="21"/>
                      <w:szCs w:val="21"/>
                    </w:rPr>
                  </w:pPr>
                </w:p>
              </w:tc>
            </w:tr>
          </w:tbl>
          <w:p>
            <w:pPr>
              <w:ind w:firstLine="0" w:firstLineChars="0"/>
              <w:rPr>
                <w:b/>
                <w:bCs/>
                <w:color w:val="auto"/>
                <w:sz w:val="21"/>
                <w:szCs w:val="21"/>
              </w:rPr>
            </w:pPr>
            <w:r>
              <w:rPr>
                <w:rFonts w:hint="eastAsia"/>
                <w:b/>
                <w:bCs/>
                <w:color w:val="auto"/>
                <w:sz w:val="21"/>
                <w:szCs w:val="21"/>
              </w:rPr>
              <w:t>5、与《湖南省“十四五”生态环境保护规划》的符合性分析</w:t>
            </w:r>
          </w:p>
          <w:p>
            <w:pPr>
              <w:ind w:firstLine="420"/>
              <w:rPr>
                <w:color w:val="auto"/>
                <w:sz w:val="21"/>
                <w:szCs w:val="21"/>
              </w:rPr>
            </w:pPr>
            <w:r>
              <w:rPr>
                <w:rFonts w:hint="eastAsia"/>
                <w:color w:val="auto"/>
                <w:sz w:val="21"/>
                <w:szCs w:val="21"/>
              </w:rPr>
              <w:t>本项目与《湖南省“十四五”生态环境保护规划》相关要求的符合性分析详见表1-4。</w:t>
            </w:r>
          </w:p>
          <w:p>
            <w:pPr>
              <w:pStyle w:val="32"/>
              <w:rPr>
                <w:color w:val="auto"/>
              </w:rPr>
            </w:pPr>
            <w:r>
              <w:rPr>
                <w:rFonts w:hint="eastAsia"/>
                <w:color w:val="auto"/>
              </w:rPr>
              <w:t>表1-4  与《湖南省“十四五”生态环境保护规划》符合性分析表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77"/>
              <w:gridCol w:w="2615"/>
              <w:gridCol w:w="3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82" w:type="dxa"/>
                  <w:vAlign w:val="center"/>
                </w:tcPr>
                <w:p>
                  <w:pPr>
                    <w:spacing w:line="240" w:lineRule="auto"/>
                    <w:ind w:firstLine="0" w:firstLineChars="0"/>
                    <w:jc w:val="center"/>
                    <w:rPr>
                      <w:color w:val="auto"/>
                      <w:sz w:val="21"/>
                      <w:szCs w:val="21"/>
                    </w:rPr>
                  </w:pPr>
                  <w:r>
                    <w:rPr>
                      <w:rFonts w:hint="eastAsia"/>
                      <w:color w:val="auto"/>
                      <w:sz w:val="21"/>
                      <w:szCs w:val="21"/>
                    </w:rPr>
                    <w:t>规划要求</w:t>
                  </w:r>
                </w:p>
              </w:tc>
              <w:tc>
                <w:tcPr>
                  <w:tcW w:w="2326" w:type="dxa"/>
                  <w:vAlign w:val="center"/>
                </w:tcPr>
                <w:p>
                  <w:pPr>
                    <w:spacing w:line="240" w:lineRule="auto"/>
                    <w:ind w:firstLine="0" w:firstLineChars="0"/>
                    <w:jc w:val="center"/>
                    <w:rPr>
                      <w:color w:val="auto"/>
                      <w:sz w:val="21"/>
                      <w:szCs w:val="21"/>
                    </w:rPr>
                  </w:pPr>
                  <w:r>
                    <w:rPr>
                      <w:rFonts w:hint="eastAsia"/>
                      <w:color w:val="auto"/>
                      <w:sz w:val="21"/>
                      <w:szCs w:val="21"/>
                    </w:rPr>
                    <w:t>本项目情况</w:t>
                  </w:r>
                </w:p>
              </w:tc>
              <w:tc>
                <w:tcPr>
                  <w:tcW w:w="354" w:type="dxa"/>
                  <w:vAlign w:val="center"/>
                </w:tcPr>
                <w:p>
                  <w:pPr>
                    <w:spacing w:line="240" w:lineRule="auto"/>
                    <w:ind w:firstLine="0" w:firstLineChars="0"/>
                    <w:jc w:val="center"/>
                    <w:rPr>
                      <w:color w:val="auto"/>
                      <w:sz w:val="21"/>
                      <w:szCs w:val="21"/>
                    </w:rPr>
                  </w:pPr>
                  <w:r>
                    <w:rPr>
                      <w:rFonts w:hint="eastAsia"/>
                      <w:color w:val="auto"/>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82" w:type="dxa"/>
                  <w:vAlign w:val="center"/>
                </w:tcPr>
                <w:p>
                  <w:pPr>
                    <w:pStyle w:val="31"/>
                    <w:jc w:val="both"/>
                    <w:rPr>
                      <w:color w:val="auto"/>
                      <w:szCs w:val="21"/>
                    </w:rPr>
                  </w:pPr>
                  <w:r>
                    <w:rPr>
                      <w:rFonts w:hint="eastAsia"/>
                      <w:b/>
                      <w:color w:val="auto"/>
                      <w:szCs w:val="21"/>
                    </w:rPr>
                    <w:t>推动能源结构持续优化。</w:t>
                  </w:r>
                  <w:r>
                    <w:rPr>
                      <w:rFonts w:hint="eastAsia"/>
                      <w:bCs w:val="0"/>
                      <w:color w:val="auto"/>
                      <w:szCs w:val="21"/>
                    </w:rPr>
                    <w:t>优化能源结构，构建清洁低碳、安全高效的现代能源体系，控制化石能源消费总量，合理控制煤炭消费总量，提升煤炭清洁化利用率，“十四五”期间煤炭消费基本达峰，形成以非石化能源为能源消费增量主体的能源结构。加快推进以风电、光伏发电为主的新能源发展，统筹发展水能、氢能、地热、生物质等优质清洁能源。</w:t>
                  </w:r>
                </w:p>
              </w:tc>
              <w:tc>
                <w:tcPr>
                  <w:tcW w:w="2326" w:type="dxa"/>
                  <w:vAlign w:val="center"/>
                </w:tcPr>
                <w:p>
                  <w:pPr>
                    <w:pStyle w:val="31"/>
                    <w:rPr>
                      <w:color w:val="auto"/>
                      <w:szCs w:val="21"/>
                    </w:rPr>
                  </w:pPr>
                  <w:r>
                    <w:rPr>
                      <w:rFonts w:hint="eastAsia"/>
                      <w:color w:val="auto"/>
                      <w:szCs w:val="21"/>
                    </w:rPr>
                    <w:t>本项目使用能源为电能和沼气，均为清洁能源</w:t>
                  </w:r>
                  <w:r>
                    <w:rPr>
                      <w:color w:val="auto"/>
                      <w:szCs w:val="21"/>
                    </w:rPr>
                    <w:t>。</w:t>
                  </w:r>
                </w:p>
              </w:tc>
              <w:tc>
                <w:tcPr>
                  <w:tcW w:w="354" w:type="dxa"/>
                  <w:vAlign w:val="center"/>
                </w:tcPr>
                <w:p>
                  <w:pPr>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82" w:type="dxa"/>
                  <w:vAlign w:val="center"/>
                </w:tcPr>
                <w:p>
                  <w:pPr>
                    <w:pStyle w:val="31"/>
                    <w:jc w:val="both"/>
                    <w:rPr>
                      <w:color w:val="auto"/>
                      <w:szCs w:val="21"/>
                    </w:rPr>
                  </w:pPr>
                  <w:r>
                    <w:rPr>
                      <w:rFonts w:hint="eastAsia"/>
                      <w:b/>
                      <w:color w:val="auto"/>
                      <w:szCs w:val="21"/>
                    </w:rPr>
                    <w:t>深入打好碧水保卫战。</w:t>
                  </w:r>
                  <w:r>
                    <w:rPr>
                      <w:rFonts w:hint="eastAsia"/>
                      <w:bCs w:val="0"/>
                      <w:color w:val="auto"/>
                      <w:szCs w:val="21"/>
                    </w:rPr>
                    <w:t>深化重点领域水污染治理。补齐城乡污水收集和处理设施短板，加强生活源污染治理，完善城市污水管网建设，实现建成区污水管网全覆盖，改造老旧破损管网及检查井，系统解决管网漏损问题。以企业和工业聚集区为重点，推进工业园区污水处理设施分类管理、分期升级改造，实施省级及以上工业园区专项整治行动，实现省级及以上工业园区污水管网全覆盖、污水全收集、污水集中处理设施稳定达标运行、进出水水质在线监控并联网正常，规范设置园区集中污水处理设施排污口，建立园区水环境管理“一园一档”。</w:t>
                  </w:r>
                </w:p>
              </w:tc>
              <w:tc>
                <w:tcPr>
                  <w:tcW w:w="2326" w:type="dxa"/>
                  <w:vAlign w:val="center"/>
                </w:tcPr>
                <w:p>
                  <w:pPr>
                    <w:pStyle w:val="31"/>
                    <w:rPr>
                      <w:color w:val="auto"/>
                      <w:szCs w:val="21"/>
                    </w:rPr>
                  </w:pPr>
                  <w:r>
                    <w:rPr>
                      <w:color w:val="auto"/>
                      <w:szCs w:val="21"/>
                    </w:rPr>
                    <w:t>本项目</w:t>
                  </w:r>
                  <w:r>
                    <w:rPr>
                      <w:rFonts w:hint="eastAsia"/>
                      <w:color w:val="auto"/>
                      <w:szCs w:val="21"/>
                    </w:rPr>
                    <w:t>拟改扩建的</w:t>
                  </w:r>
                  <w:r>
                    <w:rPr>
                      <w:color w:val="auto"/>
                      <w:szCs w:val="21"/>
                    </w:rPr>
                    <w:t>锅炉</w:t>
                  </w:r>
                  <w:r>
                    <w:rPr>
                      <w:rFonts w:hint="eastAsia"/>
                      <w:color w:val="auto"/>
                      <w:szCs w:val="21"/>
                    </w:rPr>
                    <w:t>，包含离子交换树脂再生废水、纯水制备废水及锅炉排水，其</w:t>
                  </w:r>
                  <w:r>
                    <w:rPr>
                      <w:color w:val="auto"/>
                      <w:szCs w:val="21"/>
                    </w:rPr>
                    <w:t>废水属于清洁废水，</w:t>
                  </w:r>
                  <w:r>
                    <w:rPr>
                      <w:rFonts w:hint="eastAsia"/>
                      <w:color w:val="auto"/>
                      <w:szCs w:val="21"/>
                    </w:rPr>
                    <w:t>依托厂区污水处理系统处理，达到《污水综合排放标准》</w:t>
                  </w:r>
                  <w:r>
                    <w:rPr>
                      <w:rFonts w:hint="eastAsia"/>
                      <w:color w:val="auto"/>
                      <w:szCs w:val="21"/>
                      <w:lang w:eastAsia="zh-CN"/>
                    </w:rPr>
                    <w:t>（</w:t>
                  </w:r>
                  <w:r>
                    <w:rPr>
                      <w:rFonts w:hint="eastAsia"/>
                      <w:color w:val="auto"/>
                      <w:szCs w:val="21"/>
                    </w:rPr>
                    <w:t>GB8978-1996</w:t>
                  </w:r>
                  <w:r>
                    <w:rPr>
                      <w:rFonts w:hint="eastAsia"/>
                      <w:color w:val="auto"/>
                      <w:szCs w:val="21"/>
                      <w:lang w:eastAsia="zh-CN"/>
                    </w:rPr>
                    <w:t>）</w:t>
                  </w:r>
                  <w:r>
                    <w:rPr>
                      <w:rFonts w:hint="eastAsia"/>
                      <w:color w:val="auto"/>
                      <w:szCs w:val="21"/>
                    </w:rPr>
                    <w:t>表4中三级标准后，进入衡阳第二生活垃圾填埋场渗滤液污水处理站进行深化处理。</w:t>
                  </w:r>
                </w:p>
              </w:tc>
              <w:tc>
                <w:tcPr>
                  <w:tcW w:w="354" w:type="dxa"/>
                  <w:vAlign w:val="center"/>
                </w:tcPr>
                <w:p>
                  <w:pPr>
                    <w:spacing w:line="240" w:lineRule="auto"/>
                    <w:ind w:firstLine="0" w:firstLineChars="0"/>
                    <w:jc w:val="center"/>
                    <w:rPr>
                      <w:color w:val="auto"/>
                      <w:sz w:val="21"/>
                      <w:szCs w:val="21"/>
                    </w:rPr>
                  </w:pPr>
                  <w:r>
                    <w:rPr>
                      <w:rFonts w:hint="eastAsia"/>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82" w:type="dxa"/>
                  <w:vAlign w:val="center"/>
                </w:tcPr>
                <w:p>
                  <w:pPr>
                    <w:pStyle w:val="31"/>
                    <w:jc w:val="both"/>
                    <w:rPr>
                      <w:bCs w:val="0"/>
                      <w:color w:val="auto"/>
                      <w:szCs w:val="21"/>
                    </w:rPr>
                  </w:pPr>
                  <w:r>
                    <w:rPr>
                      <w:rFonts w:hint="eastAsia"/>
                      <w:b/>
                      <w:color w:val="auto"/>
                      <w:szCs w:val="21"/>
                    </w:rPr>
                    <w:t>深入打好蓝天保卫战。</w:t>
                  </w:r>
                </w:p>
                <w:p>
                  <w:pPr>
                    <w:pStyle w:val="31"/>
                    <w:jc w:val="both"/>
                    <w:rPr>
                      <w:bCs w:val="0"/>
                      <w:color w:val="auto"/>
                      <w:szCs w:val="21"/>
                    </w:rPr>
                  </w:pPr>
                  <w:r>
                    <w:rPr>
                      <w:rFonts w:hint="eastAsia"/>
                      <w:bCs w:val="0"/>
                      <w:color w:val="auto"/>
                      <w:szCs w:val="21"/>
                    </w:rPr>
                    <w:t>强化重点行业VOCs科学治理。以工业涂装、石化、化工、包装印刷、油品储运销等行业为重点，实施企业VOCs原料替代、排放全过程控制。按照“分业施策、一行一策”的原则，加大低VOCs含量原辅材料的推广使用力度，从源头减少VOCs产生。推进使用先进生产工艺设备，减少无组织排放。实行重点排放源排放浓度与去除效率双重控制。加强汽修行业VOCs综合治理，加大餐饮油烟污染治理力度，推进县级以上城市餐饮油烟治理全覆盖。</w:t>
                  </w:r>
                </w:p>
                <w:p>
                  <w:pPr>
                    <w:pStyle w:val="31"/>
                    <w:jc w:val="both"/>
                    <w:rPr>
                      <w:bCs w:val="0"/>
                      <w:color w:val="auto"/>
                      <w:szCs w:val="21"/>
                    </w:rPr>
                  </w:pPr>
                  <w:r>
                    <w:rPr>
                      <w:rFonts w:hint="eastAsia"/>
                      <w:bCs w:val="0"/>
                      <w:color w:val="auto"/>
                      <w:szCs w:val="21"/>
                    </w:rPr>
                    <w:t>强化扬尘污染精准科学管控。县级以上城市建成区内房屋建筑和市政基础设施工程施工工地严格落实扬尘防控“六个100%”，全面推行绿色施工，将绿色施工纳入企业资质评价、信用评价。</w:t>
                  </w:r>
                </w:p>
                <w:p>
                  <w:pPr>
                    <w:pStyle w:val="31"/>
                    <w:jc w:val="both"/>
                    <w:rPr>
                      <w:color w:val="auto"/>
                      <w:szCs w:val="21"/>
                    </w:rPr>
                  </w:pPr>
                  <w:r>
                    <w:rPr>
                      <w:rFonts w:hint="eastAsia"/>
                      <w:bCs w:val="0"/>
                      <w:color w:val="auto"/>
                      <w:szCs w:val="21"/>
                    </w:rPr>
                    <w:t>开展细颗粒物达标行动。持续降低环境空气细颗粒物水平，巩固改善大气环境质量。</w:t>
                  </w:r>
                </w:p>
              </w:tc>
              <w:tc>
                <w:tcPr>
                  <w:tcW w:w="2326" w:type="dxa"/>
                  <w:vAlign w:val="center"/>
                </w:tcPr>
                <w:p>
                  <w:pPr>
                    <w:pStyle w:val="31"/>
                    <w:rPr>
                      <w:color w:val="auto"/>
                      <w:szCs w:val="21"/>
                    </w:rPr>
                  </w:pPr>
                  <w:r>
                    <w:rPr>
                      <w:rFonts w:hint="eastAsia"/>
                      <w:color w:val="auto"/>
                      <w:szCs w:val="21"/>
                    </w:rPr>
                    <w:t>本项目仅为沼气锅炉改造，不涉及</w:t>
                  </w:r>
                  <w:r>
                    <w:rPr>
                      <w:rFonts w:hint="eastAsia"/>
                      <w:bCs w:val="0"/>
                      <w:color w:val="auto"/>
                      <w:szCs w:val="21"/>
                    </w:rPr>
                    <w:t>VOCs的产生和处理。</w:t>
                  </w:r>
                </w:p>
              </w:tc>
              <w:tc>
                <w:tcPr>
                  <w:tcW w:w="354" w:type="dxa"/>
                  <w:vAlign w:val="center"/>
                </w:tcPr>
                <w:p>
                  <w:pPr>
                    <w:spacing w:line="240" w:lineRule="auto"/>
                    <w:ind w:firstLine="0" w:firstLineChars="0"/>
                    <w:jc w:val="center"/>
                    <w:rPr>
                      <w:color w:val="auto"/>
                      <w:sz w:val="21"/>
                      <w:szCs w:val="21"/>
                    </w:rPr>
                  </w:pPr>
                  <w:r>
                    <w:rPr>
                      <w:rFonts w:hint="eastAsia"/>
                      <w:color w:val="auto"/>
                      <w:sz w:val="21"/>
                      <w:szCs w:val="21"/>
                    </w:rPr>
                    <w:t>符合</w:t>
                  </w:r>
                </w:p>
              </w:tc>
            </w:tr>
          </w:tbl>
          <w:p>
            <w:pPr>
              <w:ind w:firstLine="420"/>
              <w:rPr>
                <w:color w:val="auto"/>
                <w:sz w:val="21"/>
                <w:szCs w:val="21"/>
              </w:rPr>
            </w:pPr>
            <w:r>
              <w:rPr>
                <w:rFonts w:hint="eastAsia"/>
                <w:color w:val="auto"/>
                <w:sz w:val="21"/>
                <w:szCs w:val="21"/>
              </w:rPr>
              <w:t>综上，本项目的建设符合《湖南省“十四五”生态环境保护规划》的相关要求。</w:t>
            </w:r>
          </w:p>
          <w:p>
            <w:pPr>
              <w:ind w:firstLine="0" w:firstLineChars="0"/>
              <w:rPr>
                <w:b/>
                <w:bCs/>
                <w:color w:val="auto"/>
                <w:sz w:val="21"/>
                <w:szCs w:val="21"/>
              </w:rPr>
            </w:pPr>
            <w:r>
              <w:rPr>
                <w:rFonts w:hint="eastAsia"/>
                <w:b/>
                <w:bCs/>
                <w:color w:val="auto"/>
                <w:sz w:val="21"/>
                <w:szCs w:val="21"/>
              </w:rPr>
              <w:t>6、与《湖南省空气质量持续改善行动计划实施方案》（湘政办发〔2024〕33号）的符合性分析</w:t>
            </w:r>
          </w:p>
          <w:p>
            <w:pPr>
              <w:ind w:firstLine="420"/>
              <w:rPr>
                <w:color w:val="auto"/>
                <w:sz w:val="21"/>
                <w:szCs w:val="21"/>
              </w:rPr>
            </w:pPr>
            <w:r>
              <w:rPr>
                <w:rFonts w:hint="eastAsia"/>
                <w:color w:val="auto"/>
                <w:sz w:val="21"/>
                <w:szCs w:val="21"/>
              </w:rPr>
              <w:t>本项目与《湖南省空气质量持续改善行动计划实施方案》（湘发改规划〔2018〕373号）的具体</w:t>
            </w:r>
            <w:r>
              <w:rPr>
                <w:color w:val="auto"/>
                <w:sz w:val="21"/>
                <w:szCs w:val="21"/>
              </w:rPr>
              <w:t>符合性分析</w:t>
            </w:r>
            <w:r>
              <w:rPr>
                <w:rFonts w:hint="eastAsia"/>
                <w:color w:val="auto"/>
                <w:sz w:val="21"/>
                <w:szCs w:val="21"/>
              </w:rPr>
              <w:t>情况见表1-5</w:t>
            </w:r>
            <w:r>
              <w:rPr>
                <w:color w:val="auto"/>
                <w:sz w:val="21"/>
                <w:szCs w:val="21"/>
              </w:rPr>
              <w:t>。</w:t>
            </w:r>
          </w:p>
          <w:p>
            <w:pPr>
              <w:pStyle w:val="32"/>
              <w:rPr>
                <w:color w:val="auto"/>
              </w:rPr>
            </w:pPr>
            <w:r>
              <w:rPr>
                <w:rFonts w:hint="eastAsia"/>
                <w:color w:val="auto"/>
              </w:rPr>
              <w:t>表1-5  项目与《湖南省空气质量持续改善行动计划实施方案》的符合性分析表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59"/>
              <w:gridCol w:w="2581"/>
              <w:gridCol w:w="5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3077" w:type="dxa"/>
                  <w:vAlign w:val="center"/>
                </w:tcPr>
                <w:p>
                  <w:pPr>
                    <w:pStyle w:val="31"/>
                    <w:rPr>
                      <w:color w:val="auto"/>
                      <w:szCs w:val="21"/>
                    </w:rPr>
                  </w:pPr>
                  <w:r>
                    <w:rPr>
                      <w:rFonts w:hint="eastAsia"/>
                      <w:color w:val="auto"/>
                      <w:szCs w:val="21"/>
                    </w:rPr>
                    <w:t>《湖南省空气质量持续改善行动计划实施方案》文件要求</w:t>
                  </w:r>
                </w:p>
              </w:tc>
              <w:tc>
                <w:tcPr>
                  <w:tcW w:w="2296" w:type="dxa"/>
                  <w:vAlign w:val="center"/>
                </w:tcPr>
                <w:p>
                  <w:pPr>
                    <w:pStyle w:val="31"/>
                    <w:rPr>
                      <w:color w:val="auto"/>
                      <w:szCs w:val="21"/>
                    </w:rPr>
                  </w:pPr>
                  <w:r>
                    <w:rPr>
                      <w:rFonts w:hint="eastAsia"/>
                      <w:color w:val="auto"/>
                      <w:szCs w:val="21"/>
                    </w:rPr>
                    <w:t>本项目情况</w:t>
                  </w:r>
                </w:p>
              </w:tc>
              <w:tc>
                <w:tcPr>
                  <w:tcW w:w="489" w:type="dxa"/>
                  <w:vAlign w:val="center"/>
                </w:tcPr>
                <w:p>
                  <w:pPr>
                    <w:pStyle w:val="31"/>
                    <w:rPr>
                      <w:color w:val="auto"/>
                      <w:szCs w:val="21"/>
                    </w:rPr>
                  </w:pPr>
                  <w:r>
                    <w:rPr>
                      <w:rFonts w:hint="eastAsia"/>
                      <w:color w:val="auto"/>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3077" w:type="dxa"/>
                  <w:vAlign w:val="center"/>
                </w:tcPr>
                <w:p>
                  <w:pPr>
                    <w:pStyle w:val="31"/>
                    <w:jc w:val="both"/>
                    <w:rPr>
                      <w:b/>
                      <w:bCs w:val="0"/>
                      <w:color w:val="auto"/>
                      <w:szCs w:val="21"/>
                    </w:rPr>
                  </w:pPr>
                  <w:r>
                    <w:rPr>
                      <w:rFonts w:hint="eastAsia"/>
                      <w:b/>
                      <w:bCs w:val="0"/>
                      <w:color w:val="auto"/>
                      <w:szCs w:val="21"/>
                    </w:rPr>
                    <w:t>推动低VOCs含量原辅材料和产品源头替代。</w:t>
                  </w:r>
                </w:p>
                <w:p>
                  <w:pPr>
                    <w:pStyle w:val="31"/>
                    <w:jc w:val="both"/>
                    <w:rPr>
                      <w:color w:val="auto"/>
                      <w:szCs w:val="21"/>
                    </w:rPr>
                  </w:pPr>
                  <w:r>
                    <w:rPr>
                      <w:rFonts w:hint="eastAsia"/>
                      <w:color w:val="auto"/>
                      <w:szCs w:val="21"/>
                    </w:rPr>
                    <w:t>严格执行VOCs含量限值标准，严格控制生产和使用高VOCs含量原辅材料建设项目。以工业涂装、包装印刷、家具制造和电子行业等为重点，指导企业制定低（无）VOCs含量原辅材料替代计划，大力推动“应替尽替”。室外构筑物防护和城市道路交通标志推广使用低（无）VOCs含量涂料。</w:t>
                  </w:r>
                </w:p>
              </w:tc>
              <w:tc>
                <w:tcPr>
                  <w:tcW w:w="2296" w:type="dxa"/>
                  <w:vAlign w:val="center"/>
                </w:tcPr>
                <w:p>
                  <w:pPr>
                    <w:pStyle w:val="31"/>
                    <w:jc w:val="both"/>
                    <w:rPr>
                      <w:color w:val="auto"/>
                      <w:szCs w:val="21"/>
                    </w:rPr>
                  </w:pPr>
                  <w:r>
                    <w:rPr>
                      <w:color w:val="auto"/>
                      <w:szCs w:val="21"/>
                    </w:rPr>
                    <w:t>本</w:t>
                  </w:r>
                  <w:r>
                    <w:rPr>
                      <w:rFonts w:hint="eastAsia"/>
                      <w:color w:val="auto"/>
                      <w:szCs w:val="21"/>
                    </w:rPr>
                    <w:t>项目不涉及</w:t>
                  </w:r>
                  <w:r>
                    <w:rPr>
                      <w:rFonts w:hint="eastAsia"/>
                      <w:bCs w:val="0"/>
                      <w:color w:val="auto"/>
                      <w:szCs w:val="21"/>
                    </w:rPr>
                    <w:t>VOCs的产生和处理。</w:t>
                  </w:r>
                </w:p>
              </w:tc>
              <w:tc>
                <w:tcPr>
                  <w:tcW w:w="489" w:type="dxa"/>
                  <w:vAlign w:val="center"/>
                </w:tcPr>
                <w:p>
                  <w:pPr>
                    <w:pStyle w:val="31"/>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77" w:type="dxa"/>
                  <w:vAlign w:val="center"/>
                </w:tcPr>
                <w:p>
                  <w:pPr>
                    <w:pStyle w:val="31"/>
                    <w:jc w:val="both"/>
                    <w:rPr>
                      <w:b/>
                      <w:bCs w:val="0"/>
                      <w:color w:val="auto"/>
                      <w:szCs w:val="21"/>
                    </w:rPr>
                  </w:pPr>
                  <w:r>
                    <w:rPr>
                      <w:rFonts w:hint="eastAsia"/>
                      <w:b/>
                      <w:bCs w:val="0"/>
                      <w:color w:val="auto"/>
                      <w:szCs w:val="21"/>
                    </w:rPr>
                    <w:t>实施工业炉窑清洁能源替代。</w:t>
                  </w:r>
                </w:p>
                <w:p>
                  <w:pPr>
                    <w:pStyle w:val="31"/>
                    <w:jc w:val="both"/>
                    <w:rPr>
                      <w:color w:val="auto"/>
                      <w:szCs w:val="21"/>
                    </w:rPr>
                  </w:pPr>
                  <w:r>
                    <w:rPr>
                      <w:rFonts w:hint="eastAsia"/>
                      <w:color w:val="auto"/>
                      <w:szCs w:val="21"/>
                    </w:rPr>
                    <w:t>以使用高污染燃料的工业炉窑为重点，大力推进电能、天然气替代。新改扩建加热炉、热处理炉、干燥炉、熔化炉原则上采用清洁低碳能源。全省原则上不再新增燃料类煤气发生炉，逐步淘汰固定床间歇式煤气发生炉</w:t>
                  </w:r>
                </w:p>
              </w:tc>
              <w:tc>
                <w:tcPr>
                  <w:tcW w:w="2296" w:type="dxa"/>
                  <w:vAlign w:val="center"/>
                </w:tcPr>
                <w:p>
                  <w:pPr>
                    <w:pStyle w:val="31"/>
                    <w:jc w:val="both"/>
                    <w:rPr>
                      <w:color w:val="auto"/>
                      <w:szCs w:val="21"/>
                    </w:rPr>
                  </w:pPr>
                  <w:r>
                    <w:rPr>
                      <w:rFonts w:hint="eastAsia"/>
                      <w:color w:val="auto"/>
                      <w:szCs w:val="21"/>
                    </w:rPr>
                    <w:t>本项目燃气锅炉采用沼气为燃料，为清洁能源，不使用燃煤</w:t>
                  </w:r>
                  <w:r>
                    <w:rPr>
                      <w:color w:val="auto"/>
                      <w:szCs w:val="21"/>
                    </w:rPr>
                    <w:t>。</w:t>
                  </w:r>
                </w:p>
              </w:tc>
              <w:tc>
                <w:tcPr>
                  <w:tcW w:w="489" w:type="dxa"/>
                  <w:vAlign w:val="center"/>
                </w:tcPr>
                <w:p>
                  <w:pPr>
                    <w:pStyle w:val="31"/>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77" w:type="dxa"/>
                  <w:vAlign w:val="center"/>
                </w:tcPr>
                <w:p>
                  <w:pPr>
                    <w:pStyle w:val="31"/>
                    <w:jc w:val="both"/>
                    <w:rPr>
                      <w:bCs w:val="0"/>
                      <w:color w:val="auto"/>
                      <w:szCs w:val="21"/>
                    </w:rPr>
                  </w:pPr>
                  <w:r>
                    <w:rPr>
                      <w:rFonts w:hint="eastAsia"/>
                      <w:b/>
                      <w:color w:val="auto"/>
                      <w:szCs w:val="21"/>
                    </w:rPr>
                    <w:t>深化扬尘污染综合治理</w:t>
                  </w:r>
                  <w:r>
                    <w:rPr>
                      <w:rFonts w:hint="eastAsia"/>
                      <w:bCs w:val="0"/>
                      <w:color w:val="auto"/>
                      <w:szCs w:val="21"/>
                    </w:rPr>
                    <w:t>。</w:t>
                  </w:r>
                </w:p>
                <w:p>
                  <w:pPr>
                    <w:pStyle w:val="31"/>
                    <w:jc w:val="both"/>
                    <w:rPr>
                      <w:bCs w:val="0"/>
                      <w:color w:val="auto"/>
                      <w:szCs w:val="21"/>
                    </w:rPr>
                  </w:pPr>
                  <w:r>
                    <w:rPr>
                      <w:rFonts w:hint="eastAsia"/>
                      <w:bCs w:val="0"/>
                      <w:color w:val="auto"/>
                      <w:szCs w:val="21"/>
                    </w:rPr>
                    <w:t>大力推行绿色施工，将防治扬尘污染费用纳入工程造价，推动长距离线性工程实行分段施工。推进装配式建筑发展，完善装配式建筑项目库。到2025年，全省城镇新开工装配式建筑面积占新建建筑面积的比例达到52%；地级城市建成区道路机械化清扫率保持90%以上，县级城市保持80%以上。运用综合手段排查建立城市裸露地块清单，采取绿化、遮盖等措施及时整治扬尘。</w:t>
                  </w:r>
                </w:p>
              </w:tc>
              <w:tc>
                <w:tcPr>
                  <w:tcW w:w="2296" w:type="dxa"/>
                  <w:vAlign w:val="center"/>
                </w:tcPr>
                <w:p>
                  <w:pPr>
                    <w:pStyle w:val="31"/>
                    <w:jc w:val="both"/>
                    <w:rPr>
                      <w:color w:val="auto"/>
                      <w:szCs w:val="21"/>
                    </w:rPr>
                  </w:pPr>
                  <w:r>
                    <w:rPr>
                      <w:color w:val="auto"/>
                      <w:szCs w:val="21"/>
                    </w:rPr>
                    <w:t>本项目施工期</w:t>
                  </w:r>
                  <w:r>
                    <w:rPr>
                      <w:color w:val="auto"/>
                      <w:szCs w:val="21"/>
                    </w:rPr>
                    <w:t>主要进行设备安装和配套设施建设，</w:t>
                  </w:r>
                  <w:r>
                    <w:rPr>
                      <w:rFonts w:hint="eastAsia"/>
                      <w:color w:val="auto"/>
                      <w:szCs w:val="21"/>
                    </w:rPr>
                    <w:t>施工期只需进行简单的锅炉设备安装，没有土建和其他施工。因此施工活动影响很小，施工期短，对周边环境影响不大；项目运营期产生的污染物主要有颗粒物、二氧化硫和氮氧化物，主要来源于燃料燃烧，即沼气的燃烧，经锅炉低氮燃烧后，产生的废气通过集气管道收集后经15m高空排气筒排放。</w:t>
                  </w:r>
                </w:p>
              </w:tc>
              <w:tc>
                <w:tcPr>
                  <w:tcW w:w="489" w:type="dxa"/>
                  <w:vAlign w:val="center"/>
                </w:tcPr>
                <w:p>
                  <w:pPr>
                    <w:pStyle w:val="31"/>
                    <w:rPr>
                      <w:color w:val="auto"/>
                      <w:szCs w:val="21"/>
                    </w:rPr>
                  </w:pPr>
                  <w:r>
                    <w:rPr>
                      <w:rFonts w:hint="eastAsia"/>
                      <w:color w:val="auto"/>
                      <w:szCs w:val="21"/>
                    </w:rPr>
                    <w:t>符合</w:t>
                  </w:r>
                </w:p>
              </w:tc>
            </w:tr>
          </w:tbl>
          <w:p>
            <w:pPr>
              <w:ind w:firstLine="420"/>
              <w:rPr>
                <w:b/>
                <w:bCs/>
                <w:color w:val="auto"/>
                <w:sz w:val="21"/>
                <w:szCs w:val="21"/>
              </w:rPr>
            </w:pPr>
            <w:r>
              <w:rPr>
                <w:rFonts w:hint="eastAsia"/>
                <w:color w:val="auto"/>
                <w:sz w:val="21"/>
                <w:szCs w:val="21"/>
              </w:rPr>
              <w:t>综上所述，</w:t>
            </w:r>
            <w:r>
              <w:rPr>
                <w:color w:val="auto"/>
                <w:sz w:val="21"/>
                <w:szCs w:val="21"/>
              </w:rPr>
              <w:t>本项目的建设符合</w:t>
            </w:r>
            <w:r>
              <w:rPr>
                <w:rFonts w:hint="eastAsia"/>
                <w:color w:val="auto"/>
                <w:sz w:val="21"/>
                <w:szCs w:val="21"/>
              </w:rPr>
              <w:t>《湖南省空气质量持续改善行动计划实施方案》（湘政办发〔2024〕33号）</w:t>
            </w:r>
            <w:r>
              <w:rPr>
                <w:color w:val="auto"/>
                <w:sz w:val="21"/>
                <w:szCs w:val="21"/>
              </w:rPr>
              <w:t>的相关要求。</w:t>
            </w:r>
          </w:p>
          <w:p>
            <w:pPr>
              <w:ind w:firstLine="0" w:firstLineChars="0"/>
              <w:rPr>
                <w:color w:val="auto"/>
                <w:sz w:val="21"/>
                <w:szCs w:val="21"/>
              </w:rPr>
            </w:pPr>
            <w:r>
              <w:rPr>
                <w:rFonts w:hint="eastAsia"/>
                <w:b/>
                <w:bCs/>
                <w:color w:val="auto"/>
                <w:sz w:val="21"/>
                <w:szCs w:val="21"/>
              </w:rPr>
              <w:t>7、与《衡阳市“十四五”生态环境保护规划》的符合性分析</w:t>
            </w:r>
          </w:p>
          <w:p>
            <w:pPr>
              <w:autoSpaceDE w:val="0"/>
              <w:autoSpaceDN w:val="0"/>
              <w:adjustRightInd w:val="0"/>
              <w:snapToGrid w:val="0"/>
              <w:ind w:firstLine="420"/>
              <w:rPr>
                <w:color w:val="auto"/>
                <w:kern w:val="0"/>
                <w:sz w:val="21"/>
                <w:szCs w:val="21"/>
              </w:rPr>
            </w:pPr>
            <w:r>
              <w:rPr>
                <w:rFonts w:hint="eastAsia" w:ascii="宋体" w:hAnsi="宋体" w:cs="宋体"/>
                <w:color w:val="auto"/>
                <w:kern w:val="0"/>
                <w:sz w:val="21"/>
                <w:szCs w:val="21"/>
              </w:rPr>
              <w:t>根据规划主要指标要求，“十四五”期间共</w:t>
            </w:r>
            <w:r>
              <w:rPr>
                <w:color w:val="auto"/>
                <w:kern w:val="0"/>
                <w:sz w:val="21"/>
                <w:szCs w:val="21"/>
              </w:rPr>
              <w:t>设置生态环境保护主要指标26项，其中约束性指标12项，预期性指标14项，涵盖绿色低碳、环境治理、生态保护、风险防控四大领域。</w:t>
            </w:r>
          </w:p>
          <w:p>
            <w:pPr>
              <w:autoSpaceDE w:val="0"/>
              <w:autoSpaceDN w:val="0"/>
              <w:adjustRightInd w:val="0"/>
              <w:snapToGrid w:val="0"/>
              <w:ind w:firstLine="420"/>
              <w:rPr>
                <w:color w:val="auto"/>
                <w:kern w:val="0"/>
                <w:sz w:val="21"/>
                <w:szCs w:val="21"/>
              </w:rPr>
            </w:pPr>
            <w:r>
              <w:rPr>
                <w:color w:val="auto"/>
                <w:kern w:val="0"/>
                <w:sz w:val="21"/>
                <w:szCs w:val="21"/>
              </w:rPr>
              <w:t>根据衡阳市生态环境局发布的《衡阳市2024年12月及1-12月环境质量状况》，202</w:t>
            </w:r>
            <w:r>
              <w:rPr>
                <w:rFonts w:hint="eastAsia"/>
                <w:color w:val="auto"/>
                <w:kern w:val="0"/>
                <w:sz w:val="21"/>
                <w:szCs w:val="21"/>
              </w:rPr>
              <w:t>4</w:t>
            </w:r>
            <w:r>
              <w:rPr>
                <w:color w:val="auto"/>
                <w:kern w:val="0"/>
                <w:sz w:val="21"/>
                <w:szCs w:val="21"/>
              </w:rPr>
              <w:t>年</w:t>
            </w:r>
            <w:r>
              <w:rPr>
                <w:rFonts w:hint="eastAsia"/>
                <w:color w:val="auto"/>
                <w:kern w:val="0"/>
                <w:sz w:val="21"/>
                <w:szCs w:val="21"/>
              </w:rPr>
              <w:t>衡阳县</w:t>
            </w:r>
            <w:r>
              <w:rPr>
                <w:color w:val="auto"/>
                <w:kern w:val="0"/>
                <w:sz w:val="21"/>
                <w:szCs w:val="21"/>
              </w:rPr>
              <w:t>为环境空气质量达标区，距离本项目所在区域最近的地表水监测断面</w:t>
            </w:r>
            <w:r>
              <w:rPr>
                <w:rFonts w:hint="eastAsia"/>
                <w:color w:val="auto"/>
                <w:kern w:val="0"/>
                <w:sz w:val="21"/>
                <w:szCs w:val="21"/>
              </w:rPr>
              <w:t>为</w:t>
            </w:r>
            <w:r>
              <w:rPr>
                <w:color w:val="auto"/>
                <w:kern w:val="0"/>
                <w:sz w:val="21"/>
                <w:szCs w:val="21"/>
              </w:rPr>
              <w:t>鱼石村断面</w:t>
            </w:r>
            <w:r>
              <w:rPr>
                <w:rFonts w:hint="eastAsia"/>
                <w:color w:val="auto"/>
                <w:kern w:val="0"/>
                <w:sz w:val="21"/>
                <w:szCs w:val="21"/>
              </w:rPr>
              <w:t>，</w:t>
            </w:r>
            <w:r>
              <w:rPr>
                <w:color w:val="auto"/>
                <w:kern w:val="0"/>
                <w:sz w:val="21"/>
                <w:szCs w:val="21"/>
              </w:rPr>
              <w:t>为达标断面，环境质量较好。本项目在落实好本环评报告提出的污染防治措施后，运营期对区域环境影响较小，符合《衡阳市</w:t>
            </w:r>
            <w:r>
              <w:rPr>
                <w:rFonts w:hint="eastAsia" w:ascii="宋体" w:hAnsi="宋体" w:cs="宋体"/>
                <w:color w:val="auto"/>
                <w:kern w:val="0"/>
                <w:sz w:val="21"/>
                <w:szCs w:val="21"/>
              </w:rPr>
              <w:t>“十四五”生态</w:t>
            </w:r>
            <w:r>
              <w:rPr>
                <w:color w:val="auto"/>
                <w:kern w:val="0"/>
                <w:sz w:val="21"/>
                <w:szCs w:val="21"/>
              </w:rPr>
              <w:t>环境保护规划》的相关要求</w:t>
            </w:r>
            <w:r>
              <w:rPr>
                <w:rFonts w:hint="eastAsia"/>
                <w:color w:val="auto"/>
                <w:kern w:val="0"/>
                <w:sz w:val="21"/>
                <w:szCs w:val="21"/>
              </w:rPr>
              <w:t>。</w:t>
            </w:r>
          </w:p>
          <w:p>
            <w:pPr>
              <w:ind w:firstLine="0" w:firstLineChars="0"/>
              <w:rPr>
                <w:color w:val="auto"/>
                <w:sz w:val="21"/>
                <w:szCs w:val="21"/>
              </w:rPr>
            </w:pPr>
            <w:r>
              <w:rPr>
                <w:rFonts w:hint="eastAsia"/>
                <w:b/>
                <w:bCs/>
                <w:color w:val="auto"/>
                <w:sz w:val="21"/>
                <w:szCs w:val="21"/>
              </w:rPr>
              <w:t>8、与《衡阳市“十四五”空气质量改善规划》的符合性分析</w:t>
            </w:r>
          </w:p>
          <w:p>
            <w:pPr>
              <w:ind w:firstLine="420" w:firstLineChars="200"/>
              <w:rPr>
                <w:color w:val="auto"/>
                <w:sz w:val="21"/>
                <w:szCs w:val="21"/>
              </w:rPr>
            </w:pPr>
            <w:r>
              <w:rPr>
                <w:rFonts w:hint="eastAsia"/>
                <w:color w:val="auto"/>
                <w:sz w:val="21"/>
                <w:szCs w:val="21"/>
              </w:rPr>
              <w:t>本项目与《衡阳市“十四五”空气质量改善规划》相关要求的符合性分析详见表1-6。</w:t>
            </w:r>
          </w:p>
          <w:p>
            <w:pPr>
              <w:pStyle w:val="32"/>
              <w:rPr>
                <w:color w:val="auto"/>
              </w:rPr>
            </w:pPr>
            <w:r>
              <w:rPr>
                <w:rFonts w:hint="eastAsia"/>
                <w:color w:val="auto"/>
              </w:rPr>
              <w:t>表1-6  与《衡阳市“十四五”空气质量改善规划》的符合性分析</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6"/>
              <w:gridCol w:w="2184"/>
              <w:gridCol w:w="8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454" w:type="dxa"/>
                  <w:vAlign w:val="center"/>
                </w:tcPr>
                <w:p>
                  <w:pPr>
                    <w:pStyle w:val="31"/>
                    <w:rPr>
                      <w:color w:val="auto"/>
                      <w:szCs w:val="21"/>
                    </w:rPr>
                  </w:pPr>
                  <w:r>
                    <w:rPr>
                      <w:rFonts w:hint="eastAsia"/>
                      <w:color w:val="auto"/>
                      <w:szCs w:val="21"/>
                    </w:rPr>
                    <w:t>规划要求</w:t>
                  </w:r>
                </w:p>
              </w:tc>
              <w:tc>
                <w:tcPr>
                  <w:tcW w:w="2145" w:type="dxa"/>
                  <w:vAlign w:val="center"/>
                </w:tcPr>
                <w:p>
                  <w:pPr>
                    <w:pStyle w:val="31"/>
                    <w:rPr>
                      <w:color w:val="auto"/>
                      <w:szCs w:val="21"/>
                    </w:rPr>
                  </w:pPr>
                  <w:r>
                    <w:rPr>
                      <w:rFonts w:hint="eastAsia"/>
                      <w:color w:val="auto"/>
                      <w:szCs w:val="21"/>
                    </w:rPr>
                    <w:t>本项目情况</w:t>
                  </w:r>
                </w:p>
              </w:tc>
              <w:tc>
                <w:tcPr>
                  <w:tcW w:w="874" w:type="dxa"/>
                  <w:vAlign w:val="center"/>
                </w:tcPr>
                <w:p>
                  <w:pPr>
                    <w:pStyle w:val="31"/>
                    <w:rPr>
                      <w:color w:val="auto"/>
                      <w:szCs w:val="21"/>
                    </w:rPr>
                  </w:pPr>
                  <w:r>
                    <w:rPr>
                      <w:rFonts w:hint="eastAsia"/>
                      <w:color w:val="auto"/>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54" w:type="dxa"/>
                  <w:vAlign w:val="center"/>
                </w:tcPr>
                <w:p>
                  <w:pPr>
                    <w:pStyle w:val="31"/>
                    <w:jc w:val="both"/>
                    <w:rPr>
                      <w:b/>
                      <w:bCs w:val="0"/>
                      <w:color w:val="auto"/>
                      <w:szCs w:val="21"/>
                    </w:rPr>
                  </w:pPr>
                  <w:r>
                    <w:rPr>
                      <w:rFonts w:hint="eastAsia"/>
                      <w:b/>
                      <w:bCs w:val="0"/>
                      <w:color w:val="auto"/>
                      <w:szCs w:val="21"/>
                    </w:rPr>
                    <w:t>优化能源结构，加快能源清洁低碳高效发展</w:t>
                  </w:r>
                </w:p>
                <w:p>
                  <w:pPr>
                    <w:pStyle w:val="31"/>
                    <w:jc w:val="both"/>
                    <w:rPr>
                      <w:color w:val="auto"/>
                      <w:szCs w:val="21"/>
                    </w:rPr>
                  </w:pPr>
                  <w:r>
                    <w:rPr>
                      <w:rFonts w:hint="eastAsia"/>
                      <w:color w:val="auto"/>
                      <w:szCs w:val="21"/>
                    </w:rPr>
                    <w:t>推进能源结构优化，大力发展清洁能源。优化能源结构，提升供给侧非化石能源比重，提高消费侧电力比重，增加天然气供应量，降低煤炭消费比重。积极发展太阳能光伏、风申、生物质能等清洁能源，推进非化石能源规模化利用。大力推进电能替代煤炭，积极稳妥推进以气代煤，因地制宜推进生物质等能源代煤，开展氢能源代煤示范。推进热电联产、集中供热和工业余热利用，关停热电联产集中供热管网覆盖区域内的燃煤锅炉、工业窑炉。</w:t>
                  </w:r>
                </w:p>
              </w:tc>
              <w:tc>
                <w:tcPr>
                  <w:tcW w:w="2145" w:type="dxa"/>
                  <w:vAlign w:val="center"/>
                </w:tcPr>
                <w:p>
                  <w:pPr>
                    <w:pStyle w:val="31"/>
                    <w:rPr>
                      <w:color w:val="auto"/>
                      <w:szCs w:val="21"/>
                    </w:rPr>
                  </w:pPr>
                  <w:r>
                    <w:rPr>
                      <w:rFonts w:hint="eastAsia"/>
                      <w:color w:val="auto"/>
                      <w:szCs w:val="21"/>
                    </w:rPr>
                    <w:t>本项目燃气锅炉采用沼气为燃料，为清洁能源，符合规划相关要求</w:t>
                  </w:r>
                  <w:r>
                    <w:rPr>
                      <w:color w:val="auto"/>
                      <w:szCs w:val="21"/>
                    </w:rPr>
                    <w:t>。</w:t>
                  </w:r>
                </w:p>
              </w:tc>
              <w:tc>
                <w:tcPr>
                  <w:tcW w:w="874" w:type="dxa"/>
                  <w:vAlign w:val="center"/>
                </w:tcPr>
                <w:p>
                  <w:pPr>
                    <w:pStyle w:val="31"/>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54" w:type="dxa"/>
                  <w:vAlign w:val="center"/>
                </w:tcPr>
                <w:p>
                  <w:pPr>
                    <w:pStyle w:val="31"/>
                    <w:jc w:val="both"/>
                    <w:rPr>
                      <w:b/>
                      <w:bCs w:val="0"/>
                      <w:color w:val="auto"/>
                      <w:szCs w:val="21"/>
                    </w:rPr>
                  </w:pPr>
                  <w:r>
                    <w:rPr>
                      <w:rFonts w:hint="eastAsia"/>
                      <w:b/>
                      <w:bCs w:val="0"/>
                      <w:color w:val="auto"/>
                      <w:szCs w:val="21"/>
                    </w:rPr>
                    <w:t>强化VOCs全过程综合治理</w:t>
                  </w:r>
                </w:p>
                <w:p>
                  <w:pPr>
                    <w:pStyle w:val="31"/>
                    <w:jc w:val="both"/>
                    <w:rPr>
                      <w:color w:val="auto"/>
                      <w:szCs w:val="21"/>
                    </w:rPr>
                  </w:pPr>
                  <w:r>
                    <w:rPr>
                      <w:rFonts w:hint="eastAsia"/>
                      <w:color w:val="auto"/>
                      <w:szCs w:val="21"/>
                    </w:rPr>
                    <w:t>优化含VOCs原辅材料和产品结构。严格控制生产和使用高VOCs含量溶剂型涂料、油墨、胶粘剂、清洗剂等建设项目，现有高VOCs含量产品生产企业要加快产品升级转型，提高水性高固体分、无溶剂、粉末等低VOCs含量产品的比重。</w:t>
                  </w:r>
                </w:p>
              </w:tc>
              <w:tc>
                <w:tcPr>
                  <w:tcW w:w="2145" w:type="dxa"/>
                  <w:vAlign w:val="center"/>
                </w:tcPr>
                <w:p>
                  <w:pPr>
                    <w:pStyle w:val="31"/>
                    <w:rPr>
                      <w:color w:val="auto"/>
                      <w:szCs w:val="21"/>
                    </w:rPr>
                  </w:pPr>
                  <w:r>
                    <w:rPr>
                      <w:color w:val="auto"/>
                      <w:szCs w:val="21"/>
                    </w:rPr>
                    <w:t>本</w:t>
                  </w:r>
                  <w:r>
                    <w:rPr>
                      <w:rFonts w:hint="eastAsia"/>
                      <w:color w:val="auto"/>
                      <w:szCs w:val="21"/>
                    </w:rPr>
                    <w:t>项目不涉及</w:t>
                  </w:r>
                  <w:r>
                    <w:rPr>
                      <w:rFonts w:hint="eastAsia"/>
                      <w:bCs w:val="0"/>
                      <w:color w:val="auto"/>
                      <w:szCs w:val="21"/>
                    </w:rPr>
                    <w:t>VOCs的产生和处理。</w:t>
                  </w:r>
                </w:p>
              </w:tc>
              <w:tc>
                <w:tcPr>
                  <w:tcW w:w="874" w:type="dxa"/>
                  <w:vAlign w:val="center"/>
                </w:tcPr>
                <w:p>
                  <w:pPr>
                    <w:pStyle w:val="31"/>
                    <w:rPr>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54" w:type="dxa"/>
                  <w:vAlign w:val="center"/>
                </w:tcPr>
                <w:p>
                  <w:pPr>
                    <w:pStyle w:val="31"/>
                    <w:jc w:val="both"/>
                    <w:rPr>
                      <w:b/>
                      <w:bCs w:val="0"/>
                      <w:color w:val="auto"/>
                      <w:szCs w:val="21"/>
                    </w:rPr>
                  </w:pPr>
                  <w:r>
                    <w:rPr>
                      <w:rFonts w:hint="eastAsia"/>
                      <w:b/>
                      <w:bCs w:val="0"/>
                      <w:color w:val="auto"/>
                      <w:szCs w:val="21"/>
                    </w:rPr>
                    <w:t>深化扬尘污染综合治理</w:t>
                  </w:r>
                </w:p>
                <w:p>
                  <w:pPr>
                    <w:pStyle w:val="31"/>
                    <w:jc w:val="both"/>
                    <w:rPr>
                      <w:color w:val="auto"/>
                      <w:szCs w:val="21"/>
                    </w:rPr>
                  </w:pPr>
                  <w:r>
                    <w:rPr>
                      <w:rFonts w:hint="eastAsia"/>
                      <w:color w:val="auto"/>
                      <w:szCs w:val="21"/>
                    </w:rPr>
                    <w:t>全面推行绿色施工。按照衡阳市《建筑工地扬尘防治“十严禁”》和《关于进一步加强全市建筑工地扬尘污染防治工作》的规范要求，严格执行“六个百分之百”。</w:t>
                  </w:r>
                </w:p>
                <w:p>
                  <w:pPr>
                    <w:pStyle w:val="31"/>
                    <w:jc w:val="both"/>
                    <w:rPr>
                      <w:color w:val="auto"/>
                      <w:szCs w:val="21"/>
                    </w:rPr>
                  </w:pPr>
                  <w:r>
                    <w:rPr>
                      <w:rFonts w:hint="eastAsia"/>
                      <w:color w:val="auto"/>
                      <w:szCs w:val="21"/>
                    </w:rPr>
                    <w:t>加强堆场扬尘治理。加强建筑工地沙石、建筑垃圾等堆场管理，必须采取洒水、覆盖、绿化等有效的防尘措施，减少扬尘污染。加强码头作业扬尘控制，大型煤炭、矿石等干散货码头物料堆场全面完成抑尘设施建设和物料输送系统封闭改造。</w:t>
                  </w:r>
                </w:p>
              </w:tc>
              <w:tc>
                <w:tcPr>
                  <w:tcW w:w="2145" w:type="dxa"/>
                  <w:vAlign w:val="center"/>
                </w:tcPr>
                <w:p>
                  <w:pPr>
                    <w:pStyle w:val="31"/>
                    <w:rPr>
                      <w:color w:val="auto"/>
                      <w:szCs w:val="21"/>
                    </w:rPr>
                  </w:pPr>
                  <w:r>
                    <w:rPr>
                      <w:color w:val="auto"/>
                      <w:szCs w:val="21"/>
                    </w:rPr>
                    <w:t>本项目施工期主要进行设备安装和配套设施建设，</w:t>
                  </w:r>
                  <w:r>
                    <w:rPr>
                      <w:rFonts w:hint="eastAsia"/>
                      <w:color w:val="auto"/>
                      <w:szCs w:val="21"/>
                    </w:rPr>
                    <w:t>施工期只需进行简单的锅炉设备安装，没有土建和其他施工。因此施工活动影响很小，施工期短，对周边环境影响不大</w:t>
                  </w:r>
                  <w:r>
                    <w:rPr>
                      <w:color w:val="auto"/>
                      <w:szCs w:val="21"/>
                    </w:rPr>
                    <w:t>；项目运营期产生的污染物主要有颗粒物、二氧化硫和氮氧化物，主要来源于燃料燃烧，即沼气的燃烧，经锅炉低氮燃烧后，产生的废气通过</w:t>
                  </w:r>
                  <w:r>
                    <w:rPr>
                      <w:rFonts w:hint="eastAsia"/>
                      <w:color w:val="auto"/>
                      <w:szCs w:val="21"/>
                    </w:rPr>
                    <w:t>集气</w:t>
                  </w:r>
                  <w:r>
                    <w:rPr>
                      <w:color w:val="auto"/>
                      <w:szCs w:val="21"/>
                    </w:rPr>
                    <w:t>管道</w:t>
                  </w:r>
                  <w:r>
                    <w:rPr>
                      <w:rFonts w:hint="eastAsia"/>
                      <w:color w:val="auto"/>
                      <w:szCs w:val="21"/>
                    </w:rPr>
                    <w:t>收集后</w:t>
                  </w:r>
                  <w:r>
                    <w:rPr>
                      <w:color w:val="auto"/>
                      <w:szCs w:val="21"/>
                    </w:rPr>
                    <w:t>经15m高空排气筒排放。</w:t>
                  </w:r>
                </w:p>
              </w:tc>
              <w:tc>
                <w:tcPr>
                  <w:tcW w:w="874" w:type="dxa"/>
                  <w:vAlign w:val="center"/>
                </w:tcPr>
                <w:p>
                  <w:pPr>
                    <w:pStyle w:val="31"/>
                    <w:rPr>
                      <w:color w:val="auto"/>
                      <w:szCs w:val="21"/>
                    </w:rPr>
                  </w:pPr>
                  <w:r>
                    <w:rPr>
                      <w:rFonts w:hint="eastAsia"/>
                      <w:color w:val="auto"/>
                      <w:szCs w:val="21"/>
                    </w:rPr>
                    <w:t>符合</w:t>
                  </w:r>
                </w:p>
              </w:tc>
            </w:tr>
          </w:tbl>
          <w:p>
            <w:pPr>
              <w:spacing w:line="240" w:lineRule="auto"/>
              <w:ind w:firstLine="420"/>
              <w:rPr>
                <w:color w:val="auto"/>
                <w:sz w:val="21"/>
                <w:szCs w:val="21"/>
              </w:rPr>
            </w:pPr>
            <w:r>
              <w:rPr>
                <w:rFonts w:hint="eastAsia"/>
                <w:color w:val="auto"/>
                <w:sz w:val="21"/>
                <w:szCs w:val="21"/>
              </w:rPr>
              <w:t>综上，本项目的建设符合《衡阳市“十四五”空气质量改善规划》的相关要求。</w:t>
            </w:r>
          </w:p>
        </w:tc>
      </w:tr>
    </w:tbl>
    <w:p>
      <w:pPr>
        <w:ind w:firstLine="600"/>
        <w:rPr>
          <w:rFonts w:hint="eastAsia" w:ascii="黑体" w:hAnsi="黑体" w:eastAsia="黑体" w:cs="黑体"/>
          <w:color w:val="auto"/>
          <w:sz w:val="30"/>
          <w:szCs w:val="30"/>
        </w:rPr>
      </w:pPr>
      <w:r>
        <w:rPr>
          <w:rFonts w:hint="eastAsia" w:ascii="黑体" w:hAnsi="黑体" w:eastAsia="黑体" w:cs="黑体"/>
          <w:color w:val="auto"/>
          <w:sz w:val="30"/>
          <w:szCs w:val="30"/>
        </w:rPr>
        <w:br w:type="page"/>
      </w:r>
    </w:p>
    <w:p>
      <w:pPr>
        <w:pStyle w:val="4"/>
        <w:rPr>
          <w:color w:val="auto"/>
        </w:rPr>
      </w:pPr>
      <w:bookmarkStart w:id="3" w:name="_Toc213108121"/>
      <w:r>
        <w:rPr>
          <w:rFonts w:hint="eastAsia"/>
          <w:color w:val="auto"/>
        </w:rPr>
        <w:t>二、建设项目工程分析</w:t>
      </w:r>
      <w:bookmarkEnd w:id="3"/>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703" w:type="dxa"/>
            <w:vAlign w:val="center"/>
          </w:tcPr>
          <w:p>
            <w:pPr>
              <w:ind w:firstLine="0" w:firstLineChars="0"/>
              <w:jc w:val="center"/>
              <w:rPr>
                <w:color w:val="auto"/>
              </w:rPr>
            </w:pPr>
            <w:r>
              <w:rPr>
                <w:rFonts w:hint="eastAsia"/>
                <w:color w:val="auto"/>
              </w:rPr>
              <w:t>建设内容</w:t>
            </w:r>
          </w:p>
        </w:tc>
        <w:tc>
          <w:tcPr>
            <w:tcW w:w="7819" w:type="dxa"/>
          </w:tcPr>
          <w:p>
            <w:pPr>
              <w:ind w:firstLine="0" w:firstLineChars="0"/>
              <w:rPr>
                <w:b/>
                <w:bCs/>
                <w:color w:val="auto"/>
                <w:sz w:val="28"/>
                <w:szCs w:val="28"/>
              </w:rPr>
            </w:pPr>
            <w:r>
              <w:rPr>
                <w:rFonts w:hint="eastAsia"/>
                <w:b/>
                <w:bCs/>
                <w:color w:val="auto"/>
              </w:rPr>
              <w:t>1、项目由来</w:t>
            </w:r>
          </w:p>
          <w:p>
            <w:pPr>
              <w:pStyle w:val="9"/>
              <w:ind w:firstLine="480"/>
              <w:rPr>
                <w:color w:val="auto"/>
              </w:rPr>
            </w:pPr>
            <w:r>
              <w:rPr>
                <w:rFonts w:hint="eastAsia"/>
                <w:color w:val="auto"/>
              </w:rPr>
              <w:t>衡阳桑德凯天再生资源科技有限公司目前拥有一座餐厨垃圾处理站，厂区占地面积8554.40m</w:t>
            </w:r>
            <w:r>
              <w:rPr>
                <w:rFonts w:hint="eastAsia"/>
                <w:color w:val="auto"/>
                <w:vertAlign w:val="superscript"/>
              </w:rPr>
              <w:t>2</w:t>
            </w:r>
            <w:r>
              <w:rPr>
                <w:rFonts w:hint="eastAsia"/>
                <w:color w:val="auto"/>
              </w:rPr>
              <w:t>，总建筑面积为5447.40m</w:t>
            </w:r>
            <w:r>
              <w:rPr>
                <w:rFonts w:hint="eastAsia"/>
                <w:color w:val="auto"/>
                <w:vertAlign w:val="superscript"/>
              </w:rPr>
              <w:t>2</w:t>
            </w:r>
            <w:r>
              <w:rPr>
                <w:rFonts w:hint="eastAsia"/>
                <w:color w:val="auto"/>
              </w:rPr>
              <w:t>，已建设餐厨废弃物日处理规模为260t/d的规模，共分为两期，其中一期规模为120t/d，二期规模为140t/d。企业委托衡阳市环境科学研究所于2010年5月完成《衡阳市吉兴垃圾综合处理有限公司衡阳市餐厨废弃物资源化利用和无害化处理工程环境影响报告书》的编制，并于同年7月取得批复（衡环发[2010]118号）。衡阳市餐厨废弃物资源化利用和无害化处理项目于2015年8月筹建，于2017年4月建成两期规模，实际运营为120t/d（一期规模）。</w:t>
            </w:r>
          </w:p>
          <w:p>
            <w:pPr>
              <w:pStyle w:val="9"/>
              <w:ind w:firstLine="480"/>
              <w:rPr>
                <w:color w:val="auto"/>
              </w:rPr>
            </w:pPr>
            <w:r>
              <w:rPr>
                <w:rFonts w:hint="eastAsia"/>
                <w:color w:val="auto"/>
              </w:rPr>
              <w:t>因建设地点与产品方案的变更，企业已委托衡阳市环境科学研究所编制了《衡阳市餐厨废弃物资源化利用和无害化处理项目环境影响变更情况说明》，于2015年7月取得相关批复（衡环发[2015]120号）。企业于2018年8月委托湖南省亿美有害物质检测有限公司编制了《衡阳市餐厨废弃物资源化利用和无害化处理项目（一期项目）（水和气）验收监测报告表》，并通过竣工环境保护验收。因废水处理工艺和固废处置去向的变更，企业已委托湖南瑜楚环保科技有限公司编制了《衡阳市餐厨废弃物资源化利用和无害化处理项目环境影响变更情况影响说明》，其内容包含于2020年5月取得相关批复（蒸环评函[2020]13号），已完成变更内容的验收。企业于2024年委托湖南诚泰环境工程有限公司编制《衡阳桑德餐厨沼气发电项目环境影响报告表》，并于同年3月取得相关批复（衡环发[2024]70号），项目已完成验收。</w:t>
            </w:r>
          </w:p>
          <w:p>
            <w:pPr>
              <w:pStyle w:val="9"/>
              <w:ind w:firstLine="480"/>
              <w:rPr>
                <w:color w:val="auto"/>
              </w:rPr>
            </w:pPr>
            <w:r>
              <w:rPr>
                <w:rFonts w:hint="eastAsia"/>
                <w:color w:val="auto"/>
              </w:rPr>
              <w:t>衡阳桑德凯天再生资源科技有限公司现有两台2t/a的沼气锅炉，一用一备，用于供暖和餐厨垃圾的高温蒸煮工序，</w:t>
            </w:r>
            <w:r>
              <w:rPr>
                <w:color w:val="auto"/>
              </w:rPr>
              <w:t>本着节约资源，实现沼气利用价值最大化</w:t>
            </w:r>
            <w:r>
              <w:rPr>
                <w:rFonts w:hint="eastAsia"/>
                <w:color w:val="auto"/>
              </w:rPr>
              <w:t>，项目需对使用的锅炉进行扩建，即现有一台规格为2t/h沼气锅炉扩建为3t/h沼气锅炉，新增相应锅炉配套设备；另外保留现有2t/h备用沼气锅炉。本项目依托现有沼气锅炉房，其建筑面积为207.06m</w:t>
            </w:r>
            <w:r>
              <w:rPr>
                <w:rFonts w:hint="eastAsia"/>
                <w:color w:val="auto"/>
                <w:vertAlign w:val="superscript"/>
              </w:rPr>
              <w:t>2</w:t>
            </w:r>
            <w:r>
              <w:rPr>
                <w:rFonts w:hint="eastAsia"/>
                <w:color w:val="auto"/>
              </w:rPr>
              <w:t>，占地面积为195.50m</w:t>
            </w:r>
            <w:r>
              <w:rPr>
                <w:rFonts w:hint="eastAsia"/>
                <w:color w:val="auto"/>
                <w:vertAlign w:val="superscript"/>
              </w:rPr>
              <w:t>2</w:t>
            </w:r>
            <w:r>
              <w:rPr>
                <w:rFonts w:hint="eastAsia"/>
                <w:color w:val="auto"/>
              </w:rPr>
              <w:t>。</w:t>
            </w:r>
            <w:r>
              <w:rPr>
                <w:color w:val="auto"/>
              </w:rPr>
              <w:t>项目用地在</w:t>
            </w:r>
            <w:r>
              <w:rPr>
                <w:rFonts w:hint="eastAsia"/>
                <w:color w:val="auto"/>
              </w:rPr>
              <w:t>衡阳桑德凯天再生资源科技有限公司</w:t>
            </w:r>
            <w:r>
              <w:rPr>
                <w:color w:val="auto"/>
              </w:rPr>
              <w:t>餐厨垃圾处置厂内，不新增用地，符合</w:t>
            </w:r>
            <w:r>
              <w:rPr>
                <w:rFonts w:hint="eastAsia"/>
                <w:color w:val="auto"/>
              </w:rPr>
              <w:t>衡阳</w:t>
            </w:r>
            <w:r>
              <w:rPr>
                <w:color w:val="auto"/>
              </w:rPr>
              <w:t>市城市用地规划要求。</w:t>
            </w:r>
          </w:p>
          <w:p>
            <w:pPr>
              <w:ind w:firstLine="480"/>
              <w:rPr>
                <w:color w:val="auto"/>
              </w:rPr>
            </w:pPr>
            <w:r>
              <w:rPr>
                <w:color w:val="auto"/>
              </w:rPr>
              <w:t>根据《中华人民共和国环境保护法》、《中华人民共和国环境影响评价法》和国务院令第682号《国务院关于修改《建设项目环境保护管理条例的决定》的要求，应开展环境影响评价工作。根据《建设项目环境影响评价分类管理名录》</w:t>
            </w:r>
            <w:r>
              <w:rPr>
                <w:rFonts w:hint="eastAsia"/>
                <w:color w:val="auto"/>
              </w:rPr>
              <w:t>（</w:t>
            </w:r>
            <w:r>
              <w:rPr>
                <w:color w:val="auto"/>
              </w:rPr>
              <w:t>2021年版</w:t>
            </w:r>
            <w:r>
              <w:rPr>
                <w:rFonts w:hint="eastAsia"/>
                <w:color w:val="auto"/>
              </w:rPr>
              <w:t>），</w:t>
            </w:r>
            <w:r>
              <w:rPr>
                <w:color w:val="auto"/>
              </w:rPr>
              <w:t>本项目属于</w:t>
            </w:r>
            <w:r>
              <w:rPr>
                <w:rFonts w:hint="eastAsia"/>
                <w:color w:val="auto"/>
              </w:rPr>
              <w:t>“</w:t>
            </w:r>
            <w:r>
              <w:rPr>
                <w:rFonts w:ascii="宋体" w:hAnsi="宋体" w:cs="宋体"/>
                <w:color w:val="auto"/>
              </w:rPr>
              <w:t>四十一、电力、热力生产和供应业</w:t>
            </w:r>
            <w:r>
              <w:rPr>
                <w:color w:val="auto"/>
              </w:rPr>
              <w:t xml:space="preserve"> 91</w:t>
            </w:r>
            <w:r>
              <w:rPr>
                <w:rFonts w:ascii="宋体" w:hAnsi="宋体" w:cs="宋体"/>
                <w:color w:val="auto"/>
              </w:rPr>
              <w:t>热力生产和供应工程 （包括建设单位自建 自用的供热工程）</w:t>
            </w:r>
            <w:r>
              <w:rPr>
                <w:rFonts w:hint="eastAsia"/>
                <w:color w:val="auto"/>
              </w:rPr>
              <w:t>”，</w:t>
            </w:r>
            <w:r>
              <w:rPr>
                <w:color w:val="auto"/>
              </w:rPr>
              <w:t>为环境影响报告表。因此，</w:t>
            </w:r>
            <w:r>
              <w:rPr>
                <w:rFonts w:hint="eastAsia"/>
                <w:color w:val="auto"/>
              </w:rPr>
              <w:t>衡阳桑德凯天再生资源科技有限公司</w:t>
            </w:r>
            <w:r>
              <w:rPr>
                <w:color w:val="auto"/>
              </w:rPr>
              <w:t>委托我公司承担该项目的环境影响评价工作。在接受委托后，我单位派专业技术人员对项目现场进行实地踏勘、资料收集和工程分析的基础上，根据</w:t>
            </w:r>
            <w:r>
              <w:rPr>
                <w:rFonts w:hint="eastAsia"/>
                <w:color w:val="auto"/>
                <w:lang w:eastAsia="zh-CN"/>
              </w:rPr>
              <w:t>《</w:t>
            </w:r>
            <w:r>
              <w:rPr>
                <w:color w:val="auto"/>
              </w:rPr>
              <w:t>建设项目环境影响报告表编制技术指南</w:t>
            </w:r>
            <w:r>
              <w:rPr>
                <w:rFonts w:hint="eastAsia"/>
                <w:color w:val="auto"/>
              </w:rPr>
              <w:t>（</w:t>
            </w:r>
            <w:r>
              <w:rPr>
                <w:color w:val="auto"/>
              </w:rPr>
              <w:t>污染影响类</w:t>
            </w:r>
            <w:r>
              <w:rPr>
                <w:rFonts w:hint="eastAsia"/>
                <w:color w:val="auto"/>
              </w:rPr>
              <w:t>）（</w:t>
            </w:r>
            <w:r>
              <w:rPr>
                <w:color w:val="auto"/>
              </w:rPr>
              <w:t>试行</w:t>
            </w:r>
            <w:r>
              <w:rPr>
                <w:rFonts w:hint="eastAsia"/>
                <w:color w:val="auto"/>
              </w:rPr>
              <w:t>）</w:t>
            </w:r>
            <w:r>
              <w:rPr>
                <w:rFonts w:hint="eastAsia"/>
                <w:color w:val="auto"/>
                <w:lang w:eastAsia="zh-CN"/>
              </w:rPr>
              <w:t>》</w:t>
            </w:r>
            <w:r>
              <w:rPr>
                <w:color w:val="auto"/>
              </w:rPr>
              <w:t>、有关技术导则、有关法律法规、技术规范等要求，编制了《</w:t>
            </w:r>
            <w:r>
              <w:rPr>
                <w:rFonts w:hint="eastAsia"/>
                <w:color w:val="auto"/>
                <w:lang w:eastAsia="zh-CN"/>
              </w:rPr>
              <w:t>衡阳桑德凯天再生资源科技有限公司3t/h沼气锅炉改扩建项目</w:t>
            </w:r>
            <w:r>
              <w:rPr>
                <w:rFonts w:hint="eastAsia"/>
                <w:color w:val="auto"/>
              </w:rPr>
              <w:t>环境影响报告表</w:t>
            </w:r>
            <w:r>
              <w:rPr>
                <w:color w:val="auto"/>
              </w:rPr>
              <w:t>》。</w:t>
            </w:r>
          </w:p>
          <w:p>
            <w:pPr>
              <w:ind w:firstLine="0" w:firstLineChars="0"/>
              <w:rPr>
                <w:b/>
                <w:bCs/>
                <w:color w:val="auto"/>
              </w:rPr>
            </w:pPr>
            <w:r>
              <w:rPr>
                <w:rFonts w:hint="eastAsia"/>
                <w:b/>
                <w:bCs/>
                <w:color w:val="auto"/>
              </w:rPr>
              <w:t>2、项目基本概况</w:t>
            </w:r>
          </w:p>
          <w:p>
            <w:pPr>
              <w:ind w:firstLine="480"/>
              <w:rPr>
                <w:rFonts w:hint="eastAsia" w:eastAsia="宋体"/>
                <w:color w:val="auto"/>
                <w:lang w:eastAsia="zh-CN"/>
              </w:rPr>
            </w:pPr>
            <w:r>
              <w:rPr>
                <w:color w:val="auto"/>
              </w:rPr>
              <w:t>（1）项目名称：</w:t>
            </w:r>
            <w:r>
              <w:rPr>
                <w:rFonts w:hint="eastAsia"/>
                <w:color w:val="auto"/>
                <w:lang w:eastAsia="zh-CN"/>
              </w:rPr>
              <w:t>衡阳桑德凯天再生资源科技有限公司3t/h沼气锅炉改扩建项目</w:t>
            </w:r>
          </w:p>
          <w:p>
            <w:pPr>
              <w:ind w:firstLine="480"/>
              <w:rPr>
                <w:color w:val="auto"/>
              </w:rPr>
            </w:pPr>
            <w:r>
              <w:rPr>
                <w:color w:val="auto"/>
              </w:rPr>
              <w:t>（2）建设单位：</w:t>
            </w:r>
            <w:r>
              <w:rPr>
                <w:rFonts w:hint="eastAsia"/>
                <w:color w:val="auto"/>
              </w:rPr>
              <w:t>衡阳桑德凯天再生资源科技有限公司</w:t>
            </w:r>
          </w:p>
          <w:p>
            <w:pPr>
              <w:ind w:firstLine="480"/>
              <w:rPr>
                <w:color w:val="auto"/>
              </w:rPr>
            </w:pPr>
            <w:r>
              <w:rPr>
                <w:color w:val="auto"/>
              </w:rPr>
              <w:t>（3）建设地点：湖南省衡阳市衡阳县集兵镇太栗村，地理坐标：东经</w:t>
            </w:r>
            <w:r>
              <w:rPr>
                <w:rFonts w:hint="eastAsia"/>
                <w:color w:val="auto"/>
              </w:rPr>
              <w:t>112</w:t>
            </w:r>
            <w:r>
              <w:rPr>
                <w:color w:val="auto"/>
              </w:rPr>
              <w:t>度</w:t>
            </w:r>
            <w:r>
              <w:rPr>
                <w:rFonts w:hint="eastAsia"/>
                <w:color w:val="auto"/>
              </w:rPr>
              <w:t>37</w:t>
            </w:r>
            <w:r>
              <w:rPr>
                <w:color w:val="auto"/>
              </w:rPr>
              <w:t>分</w:t>
            </w:r>
            <w:r>
              <w:rPr>
                <w:rFonts w:hint="eastAsia"/>
                <w:color w:val="auto"/>
              </w:rPr>
              <w:t>7.17</w:t>
            </w:r>
            <w:r>
              <w:rPr>
                <w:color w:val="auto"/>
              </w:rPr>
              <w:t>秒，北纬</w:t>
            </w:r>
            <w:r>
              <w:rPr>
                <w:rFonts w:hint="eastAsia"/>
                <w:color w:val="auto"/>
              </w:rPr>
              <w:t>27</w:t>
            </w:r>
            <w:r>
              <w:rPr>
                <w:color w:val="auto"/>
              </w:rPr>
              <w:t>度</w:t>
            </w:r>
            <w:r>
              <w:rPr>
                <w:rFonts w:hint="eastAsia"/>
                <w:color w:val="auto"/>
              </w:rPr>
              <w:t>01</w:t>
            </w:r>
            <w:r>
              <w:rPr>
                <w:color w:val="auto"/>
              </w:rPr>
              <w:t>分</w:t>
            </w:r>
            <w:r>
              <w:rPr>
                <w:rFonts w:hint="eastAsia"/>
                <w:color w:val="auto"/>
              </w:rPr>
              <w:t>39.94</w:t>
            </w:r>
            <w:r>
              <w:rPr>
                <w:color w:val="auto"/>
              </w:rPr>
              <w:t>秒</w:t>
            </w:r>
            <w:r>
              <w:rPr>
                <w:rFonts w:hint="eastAsia"/>
                <w:color w:val="auto"/>
              </w:rPr>
              <w:t>。</w:t>
            </w:r>
          </w:p>
          <w:p>
            <w:pPr>
              <w:ind w:firstLine="480"/>
              <w:rPr>
                <w:color w:val="auto"/>
              </w:rPr>
            </w:pPr>
            <w:r>
              <w:rPr>
                <w:color w:val="auto"/>
              </w:rPr>
              <w:t>（4）建设性质：</w:t>
            </w:r>
            <w:r>
              <w:rPr>
                <w:rFonts w:hint="eastAsia"/>
                <w:color w:val="auto"/>
              </w:rPr>
              <w:t>改扩建</w:t>
            </w:r>
          </w:p>
          <w:p>
            <w:pPr>
              <w:ind w:firstLine="480"/>
              <w:rPr>
                <w:color w:val="auto"/>
              </w:rPr>
            </w:pPr>
            <w:r>
              <w:rPr>
                <w:color w:val="auto"/>
              </w:rPr>
              <w:t>（5）总投资：</w:t>
            </w:r>
            <w:r>
              <w:rPr>
                <w:rFonts w:hint="eastAsia"/>
                <w:color w:val="auto"/>
              </w:rPr>
              <w:t>213</w:t>
            </w:r>
            <w:r>
              <w:rPr>
                <w:color w:val="auto"/>
              </w:rPr>
              <w:t>万元；其中环保投资</w:t>
            </w:r>
            <w:r>
              <w:rPr>
                <w:rFonts w:hint="eastAsia"/>
                <w:color w:val="auto"/>
              </w:rPr>
              <w:t>7.6</w:t>
            </w:r>
            <w:r>
              <w:rPr>
                <w:color w:val="auto"/>
              </w:rPr>
              <w:t>万元</w:t>
            </w:r>
          </w:p>
          <w:p>
            <w:pPr>
              <w:ind w:firstLine="480"/>
              <w:rPr>
                <w:color w:val="auto"/>
              </w:rPr>
            </w:pPr>
            <w:r>
              <w:rPr>
                <w:color w:val="auto"/>
              </w:rPr>
              <w:t>（6）生产规模：</w:t>
            </w:r>
            <w:r>
              <w:rPr>
                <w:rFonts w:hint="eastAsia"/>
                <w:color w:val="auto"/>
              </w:rPr>
              <w:t>3t/h沼气锅炉</w:t>
            </w:r>
            <w:r>
              <w:rPr>
                <w:color w:val="auto"/>
              </w:rPr>
              <w:t>处理沼气量约</w:t>
            </w:r>
            <w:r>
              <w:rPr>
                <w:rFonts w:hint="eastAsia"/>
                <w:color w:val="auto"/>
              </w:rPr>
              <w:t>138.699</w:t>
            </w:r>
            <w:r>
              <w:rPr>
                <w:color w:val="auto"/>
              </w:rPr>
              <w:t>万m</w:t>
            </w:r>
            <w:r>
              <w:rPr>
                <w:rFonts w:hint="eastAsia"/>
                <w:color w:val="auto"/>
                <w:vertAlign w:val="superscript"/>
              </w:rPr>
              <w:t>3</w:t>
            </w:r>
            <w:r>
              <w:rPr>
                <w:color w:val="auto"/>
              </w:rPr>
              <w:t>。</w:t>
            </w:r>
          </w:p>
          <w:p>
            <w:pPr>
              <w:ind w:firstLine="480"/>
              <w:rPr>
                <w:color w:val="auto"/>
              </w:rPr>
            </w:pPr>
            <w:r>
              <w:rPr>
                <w:color w:val="auto"/>
              </w:rPr>
              <w:t>（7）职工人数：本次改扩建项目不新增员工</w:t>
            </w:r>
          </w:p>
          <w:p>
            <w:pPr>
              <w:ind w:firstLine="480"/>
              <w:rPr>
                <w:color w:val="auto"/>
              </w:rPr>
            </w:pPr>
            <w:r>
              <w:rPr>
                <w:rFonts w:hint="eastAsia"/>
                <w:color w:val="auto"/>
              </w:rPr>
              <w:t>（8）工作制度：</w:t>
            </w:r>
            <w:r>
              <w:rPr>
                <w:rFonts w:hint="eastAsia"/>
                <w:b w:val="0"/>
                <w:bCs w:val="0"/>
                <w:color w:val="auto"/>
                <w:lang w:val="en-US" w:eastAsia="zh-CN"/>
              </w:rPr>
              <w:t>采用三班工作制，全年工作日330天，每班工作8h</w:t>
            </w:r>
            <w:r>
              <w:rPr>
                <w:rFonts w:hint="eastAsia"/>
                <w:color w:val="auto"/>
              </w:rPr>
              <w:t>，总工作时间为</w:t>
            </w:r>
            <w:r>
              <w:rPr>
                <w:rFonts w:hint="eastAsia"/>
                <w:color w:val="auto"/>
                <w:lang w:val="en-US" w:eastAsia="zh-CN"/>
              </w:rPr>
              <w:t>7920</w:t>
            </w:r>
            <w:r>
              <w:rPr>
                <w:rFonts w:hint="eastAsia"/>
                <w:color w:val="auto"/>
              </w:rPr>
              <w:t>天</w:t>
            </w:r>
            <w:r>
              <w:rPr>
                <w:rFonts w:hint="eastAsia"/>
                <w:color w:val="auto"/>
              </w:rPr>
              <w:t>。</w:t>
            </w:r>
          </w:p>
          <w:p>
            <w:pPr>
              <w:ind w:firstLine="0" w:firstLineChars="0"/>
              <w:rPr>
                <w:b/>
                <w:bCs/>
                <w:color w:val="auto"/>
              </w:rPr>
            </w:pPr>
            <w:r>
              <w:rPr>
                <w:rFonts w:hint="eastAsia"/>
                <w:b/>
                <w:bCs/>
                <w:color w:val="auto"/>
              </w:rPr>
              <w:t>3、项目组成情况</w:t>
            </w:r>
          </w:p>
          <w:p>
            <w:pPr>
              <w:ind w:firstLine="480"/>
              <w:rPr>
                <w:color w:val="auto"/>
              </w:rPr>
            </w:pPr>
            <w:r>
              <w:rPr>
                <w:rFonts w:hint="eastAsia"/>
                <w:color w:val="auto"/>
              </w:rPr>
              <w:t>衡阳桑德凯天再生资源科技有限公司</w:t>
            </w:r>
            <w:r>
              <w:rPr>
                <w:rFonts w:hint="eastAsia"/>
                <w:bCs/>
                <w:color w:val="auto"/>
                <w:szCs w:val="21"/>
              </w:rPr>
              <w:t>位于</w:t>
            </w:r>
            <w:r>
              <w:rPr>
                <w:color w:val="auto"/>
              </w:rPr>
              <w:t>湖南省衡阳市衡阳县集兵镇太栗村</w:t>
            </w:r>
            <w:r>
              <w:rPr>
                <w:rFonts w:hint="eastAsia"/>
                <w:bCs/>
                <w:color w:val="auto"/>
                <w:szCs w:val="21"/>
              </w:rPr>
              <w:t>，</w:t>
            </w:r>
            <w:r>
              <w:rPr>
                <w:rFonts w:hint="eastAsia"/>
                <w:color w:val="auto"/>
              </w:rPr>
              <w:t>本项目为</w:t>
            </w:r>
            <w:r>
              <w:rPr>
                <w:rFonts w:hint="eastAsia"/>
                <w:color w:val="auto"/>
                <w:lang w:eastAsia="zh-CN"/>
              </w:rPr>
              <w:t>衡阳桑德凯天再生资源科技有限公司3t/h沼气锅炉改扩建项目</w:t>
            </w:r>
            <w:r>
              <w:rPr>
                <w:rFonts w:hint="eastAsia"/>
                <w:color w:val="auto"/>
              </w:rPr>
              <w:t>，</w:t>
            </w:r>
            <w:r>
              <w:rPr>
                <w:rFonts w:hint="eastAsia"/>
                <w:bCs/>
                <w:color w:val="auto"/>
                <w:szCs w:val="21"/>
              </w:rPr>
              <w:t>项目现有工程总占地面积为30831.75</w:t>
            </w:r>
            <w:r>
              <w:rPr>
                <w:bCs/>
                <w:color w:val="auto"/>
              </w:rPr>
              <w:t>m</w:t>
            </w:r>
            <w:r>
              <w:rPr>
                <w:bCs/>
                <w:color w:val="auto"/>
                <w:vertAlign w:val="superscript"/>
              </w:rPr>
              <w:t>2</w:t>
            </w:r>
            <w:r>
              <w:rPr>
                <w:rFonts w:hint="eastAsia"/>
                <w:bCs/>
                <w:color w:val="auto"/>
              </w:rPr>
              <w:t>，总建筑面积为9442.62</w:t>
            </w:r>
            <w:r>
              <w:rPr>
                <w:bCs/>
                <w:color w:val="auto"/>
              </w:rPr>
              <w:t>m</w:t>
            </w:r>
            <w:r>
              <w:rPr>
                <w:bCs/>
                <w:color w:val="auto"/>
                <w:vertAlign w:val="superscript"/>
              </w:rPr>
              <w:t>2</w:t>
            </w:r>
            <w:r>
              <w:rPr>
                <w:rFonts w:hint="eastAsia"/>
                <w:bCs/>
                <w:color w:val="auto"/>
              </w:rPr>
              <w:t>，其中</w:t>
            </w:r>
            <w:r>
              <w:rPr>
                <w:rFonts w:hint="eastAsia"/>
                <w:bCs/>
                <w:color w:val="auto"/>
                <w:szCs w:val="21"/>
              </w:rPr>
              <w:t>锅炉房</w:t>
            </w:r>
            <w:r>
              <w:rPr>
                <w:rFonts w:hint="eastAsia"/>
                <w:color w:val="auto"/>
              </w:rPr>
              <w:t>总</w:t>
            </w:r>
            <w:r>
              <w:rPr>
                <w:rFonts w:hint="eastAsia"/>
                <w:bCs/>
                <w:color w:val="auto"/>
              </w:rPr>
              <w:t>占地面积</w:t>
            </w:r>
            <w:r>
              <w:rPr>
                <w:rFonts w:hint="eastAsia"/>
                <w:bCs/>
                <w:color w:val="auto"/>
                <w:szCs w:val="21"/>
              </w:rPr>
              <w:t>195.50</w:t>
            </w:r>
            <w:r>
              <w:rPr>
                <w:bCs/>
                <w:color w:val="auto"/>
              </w:rPr>
              <w:t>m</w:t>
            </w:r>
            <w:r>
              <w:rPr>
                <w:bCs/>
                <w:color w:val="auto"/>
                <w:vertAlign w:val="superscript"/>
              </w:rPr>
              <w:t>2</w:t>
            </w:r>
            <w:r>
              <w:rPr>
                <w:rFonts w:hint="eastAsia"/>
                <w:bCs/>
                <w:color w:val="auto"/>
              </w:rPr>
              <w:t>、</w:t>
            </w:r>
            <w:r>
              <w:rPr>
                <w:bCs/>
                <w:color w:val="auto"/>
              </w:rPr>
              <w:t>总建筑面积</w:t>
            </w:r>
            <w:r>
              <w:rPr>
                <w:rFonts w:hint="eastAsia"/>
                <w:bCs/>
                <w:color w:val="auto"/>
              </w:rPr>
              <w:t>207.06</w:t>
            </w:r>
            <w:r>
              <w:rPr>
                <w:bCs/>
                <w:color w:val="auto"/>
              </w:rPr>
              <w:t>m</w:t>
            </w:r>
            <w:r>
              <w:rPr>
                <w:bCs/>
                <w:color w:val="auto"/>
                <w:vertAlign w:val="superscript"/>
              </w:rPr>
              <w:t>2</w:t>
            </w:r>
            <w:r>
              <w:rPr>
                <w:rFonts w:hint="eastAsia"/>
                <w:bCs/>
                <w:color w:val="auto"/>
              </w:rPr>
              <w:t>，</w:t>
            </w:r>
            <w:r>
              <w:rPr>
                <w:rFonts w:hint="eastAsia"/>
                <w:color w:val="auto"/>
              </w:rPr>
              <w:t>位于衡阳桑德凯天再生资源科技有限公司</w:t>
            </w:r>
            <w:r>
              <w:rPr>
                <w:color w:val="auto"/>
              </w:rPr>
              <w:t>现有项目场地红线内</w:t>
            </w:r>
            <w:r>
              <w:rPr>
                <w:rFonts w:hint="eastAsia"/>
                <w:color w:val="auto"/>
              </w:rPr>
              <w:t>，不新增用地</w:t>
            </w:r>
            <w:r>
              <w:rPr>
                <w:rFonts w:hint="eastAsia"/>
                <w:bCs/>
                <w:color w:val="auto"/>
              </w:rPr>
              <w:t>。</w:t>
            </w:r>
            <w:r>
              <w:rPr>
                <w:rFonts w:hint="eastAsia"/>
                <w:color w:val="auto"/>
              </w:rPr>
              <w:t>本项目</w:t>
            </w:r>
            <w:r>
              <w:rPr>
                <w:color w:val="auto"/>
              </w:rPr>
              <w:t>主要由主体工程</w:t>
            </w:r>
            <w:r>
              <w:rPr>
                <w:rFonts w:hint="eastAsia"/>
                <w:color w:val="auto"/>
              </w:rPr>
              <w:t>、</w:t>
            </w:r>
            <w:r>
              <w:rPr>
                <w:color w:val="auto"/>
              </w:rPr>
              <w:t>公用工程、</w:t>
            </w:r>
            <w:r>
              <w:rPr>
                <w:rFonts w:hint="eastAsia"/>
                <w:color w:val="auto"/>
              </w:rPr>
              <w:t>辅助工程</w:t>
            </w:r>
            <w:r>
              <w:rPr>
                <w:color w:val="auto"/>
              </w:rPr>
              <w:t>及环保工程组成，主要工程内容为：</w:t>
            </w:r>
            <w:r>
              <w:rPr>
                <w:rFonts w:hint="eastAsia"/>
                <w:color w:val="auto"/>
              </w:rPr>
              <w:t>沼气锅炉房及配套设备</w:t>
            </w:r>
            <w:r>
              <w:rPr>
                <w:color w:val="auto"/>
              </w:rPr>
              <w:t>等</w:t>
            </w:r>
            <w:r>
              <w:rPr>
                <w:rFonts w:hint="eastAsia"/>
                <w:color w:val="auto"/>
              </w:rPr>
              <w:t>，</w:t>
            </w:r>
            <w:r>
              <w:rPr>
                <w:color w:val="auto"/>
              </w:rPr>
              <w:t>拟</w:t>
            </w:r>
            <w:r>
              <w:rPr>
                <w:rFonts w:hint="eastAsia"/>
                <w:color w:val="auto"/>
              </w:rPr>
              <w:t>调整现有沼气锅炉供热方案，现有2台2t/h沼气锅炉，一备一用，将使用的现有2t/h沼气锅炉改扩建为3t/h沼气锅炉，另外继续保留现有2t/h备用沼气锅炉。</w:t>
            </w:r>
          </w:p>
          <w:p>
            <w:pPr>
              <w:ind w:firstLine="480"/>
              <w:rPr>
                <w:b/>
                <w:bCs/>
                <w:color w:val="auto"/>
              </w:rPr>
            </w:pPr>
            <w:r>
              <w:rPr>
                <w:rFonts w:hint="eastAsia"/>
                <w:color w:val="auto"/>
              </w:rPr>
              <w:t>本</w:t>
            </w:r>
            <w:r>
              <w:rPr>
                <w:color w:val="auto"/>
              </w:rPr>
              <w:t>项目主要建设内容详见表2-</w:t>
            </w:r>
            <w:r>
              <w:rPr>
                <w:rFonts w:hint="eastAsia"/>
                <w:color w:val="auto"/>
              </w:rPr>
              <w:t>1</w:t>
            </w:r>
            <w:r>
              <w:rPr>
                <w:color w:val="auto"/>
              </w:rPr>
              <w:t>。</w:t>
            </w:r>
          </w:p>
          <w:p>
            <w:pPr>
              <w:spacing w:line="240" w:lineRule="auto"/>
              <w:ind w:firstLine="0" w:firstLineChars="0"/>
              <w:jc w:val="center"/>
              <w:rPr>
                <w:b/>
                <w:bCs/>
                <w:color w:val="auto"/>
                <w:sz w:val="21"/>
                <w:szCs w:val="21"/>
              </w:rPr>
            </w:pPr>
            <w:r>
              <w:rPr>
                <w:b/>
                <w:bCs/>
                <w:color w:val="auto"/>
                <w:sz w:val="21"/>
                <w:szCs w:val="21"/>
              </w:rPr>
              <w:t>表2-</w:t>
            </w:r>
            <w:r>
              <w:rPr>
                <w:rFonts w:hint="eastAsia"/>
                <w:b/>
                <w:bCs/>
                <w:color w:val="auto"/>
                <w:sz w:val="21"/>
                <w:szCs w:val="21"/>
              </w:rPr>
              <w:t>1</w:t>
            </w:r>
            <w:r>
              <w:rPr>
                <w:b/>
                <w:bCs/>
                <w:color w:val="auto"/>
                <w:sz w:val="21"/>
                <w:szCs w:val="21"/>
              </w:rPr>
              <w:t xml:space="preserve"> </w:t>
            </w:r>
            <w:r>
              <w:rPr>
                <w:rFonts w:hint="eastAsia"/>
                <w:b/>
                <w:bCs/>
                <w:color w:val="auto"/>
                <w:sz w:val="21"/>
                <w:szCs w:val="21"/>
              </w:rPr>
              <w:t xml:space="preserve"> 本</w:t>
            </w:r>
            <w:r>
              <w:rPr>
                <w:b/>
                <w:bCs/>
                <w:color w:val="auto"/>
                <w:sz w:val="21"/>
                <w:szCs w:val="21"/>
              </w:rPr>
              <w:t>项目建设内容一览表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1694"/>
              <w:gridCol w:w="4134"/>
              <w:gridCol w:w="1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Align w:val="center"/>
                </w:tcPr>
                <w:p>
                  <w:pPr>
                    <w:pStyle w:val="31"/>
                    <w:rPr>
                      <w:color w:val="auto"/>
                    </w:rPr>
                  </w:pPr>
                  <w:r>
                    <w:rPr>
                      <w:rFonts w:hint="eastAsia"/>
                      <w:color w:val="auto"/>
                    </w:rPr>
                    <w:t>工程</w:t>
                  </w:r>
                </w:p>
                <w:p>
                  <w:pPr>
                    <w:pStyle w:val="31"/>
                    <w:rPr>
                      <w:color w:val="auto"/>
                    </w:rPr>
                  </w:pPr>
                  <w:r>
                    <w:rPr>
                      <w:rFonts w:hint="eastAsia"/>
                      <w:color w:val="auto"/>
                    </w:rPr>
                    <w:t>类别</w:t>
                  </w:r>
                </w:p>
              </w:tc>
              <w:tc>
                <w:tcPr>
                  <w:tcW w:w="1694" w:type="dxa"/>
                  <w:vAlign w:val="center"/>
                </w:tcPr>
                <w:p>
                  <w:pPr>
                    <w:pStyle w:val="31"/>
                    <w:rPr>
                      <w:color w:val="auto"/>
                    </w:rPr>
                  </w:pPr>
                  <w:r>
                    <w:rPr>
                      <w:rFonts w:hint="eastAsia"/>
                      <w:color w:val="auto"/>
                    </w:rPr>
                    <w:t>单项工程名称</w:t>
                  </w:r>
                </w:p>
              </w:tc>
              <w:tc>
                <w:tcPr>
                  <w:tcW w:w="4134" w:type="dxa"/>
                  <w:vAlign w:val="center"/>
                </w:tcPr>
                <w:p>
                  <w:pPr>
                    <w:pStyle w:val="31"/>
                    <w:rPr>
                      <w:color w:val="auto"/>
                    </w:rPr>
                  </w:pPr>
                  <w:r>
                    <w:rPr>
                      <w:rFonts w:hint="eastAsia"/>
                      <w:color w:val="auto"/>
                    </w:rPr>
                    <w:t>工程建设内容</w:t>
                  </w:r>
                </w:p>
              </w:tc>
              <w:tc>
                <w:tcPr>
                  <w:tcW w:w="1034" w:type="dxa"/>
                  <w:vAlign w:val="center"/>
                </w:tcPr>
                <w:p>
                  <w:pPr>
                    <w:pStyle w:val="31"/>
                    <w:rPr>
                      <w:color w:val="auto"/>
                    </w:rPr>
                  </w:pPr>
                  <w:r>
                    <w:rPr>
                      <w:rFonts w:hint="eastAsia"/>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731" w:type="dxa"/>
                  <w:vAlign w:val="center"/>
                </w:tcPr>
                <w:p>
                  <w:pPr>
                    <w:pStyle w:val="31"/>
                    <w:rPr>
                      <w:color w:val="auto"/>
                    </w:rPr>
                  </w:pPr>
                  <w:r>
                    <w:rPr>
                      <w:bCs w:val="0"/>
                      <w:color w:val="auto"/>
                    </w:rPr>
                    <w:t>主体工程</w:t>
                  </w:r>
                </w:p>
              </w:tc>
              <w:tc>
                <w:tcPr>
                  <w:tcW w:w="1694" w:type="dxa"/>
                  <w:vAlign w:val="center"/>
                </w:tcPr>
                <w:p>
                  <w:pPr>
                    <w:pStyle w:val="31"/>
                    <w:rPr>
                      <w:color w:val="auto"/>
                    </w:rPr>
                  </w:pPr>
                  <w:r>
                    <w:rPr>
                      <w:rFonts w:hint="eastAsia"/>
                      <w:color w:val="auto"/>
                    </w:rPr>
                    <w:t>沼气锅炉房</w:t>
                  </w:r>
                </w:p>
              </w:tc>
              <w:tc>
                <w:tcPr>
                  <w:tcW w:w="4134" w:type="dxa"/>
                  <w:vAlign w:val="center"/>
                </w:tcPr>
                <w:p>
                  <w:pPr>
                    <w:pStyle w:val="31"/>
                    <w:rPr>
                      <w:color w:val="auto"/>
                    </w:rPr>
                  </w:pPr>
                  <w:r>
                    <w:rPr>
                      <w:rFonts w:hint="eastAsia"/>
                      <w:color w:val="auto"/>
                    </w:rPr>
                    <w:t>拆除现有</w:t>
                  </w:r>
                  <w:r>
                    <w:rPr>
                      <w:rFonts w:hint="eastAsia"/>
                      <w:color w:val="auto"/>
                      <w:lang w:val="en-US" w:eastAsia="zh-CN"/>
                    </w:rPr>
                    <w:t>使用的</w:t>
                  </w:r>
                  <w:r>
                    <w:rPr>
                      <w:rFonts w:hint="eastAsia"/>
                      <w:color w:val="auto"/>
                    </w:rPr>
                    <w:t>1台2t/h沼气锅炉，变更为1台3t/h沼气锅炉，</w:t>
                  </w:r>
                  <w:r>
                    <w:rPr>
                      <w:rFonts w:hint="eastAsia"/>
                      <w:color w:val="auto"/>
                    </w:rPr>
                    <w:t>保留</w:t>
                  </w:r>
                  <w:r>
                    <w:rPr>
                      <w:rFonts w:hint="eastAsia"/>
                      <w:color w:val="auto"/>
                      <w:lang w:val="en-US" w:eastAsia="zh-CN"/>
                    </w:rPr>
                    <w:t>另外</w:t>
                  </w:r>
                  <w:r>
                    <w:rPr>
                      <w:rFonts w:hint="eastAsia"/>
                      <w:color w:val="auto"/>
                    </w:rPr>
                    <w:t>现有2t/h沼气锅炉作为备用。</w:t>
                  </w:r>
                </w:p>
              </w:tc>
              <w:tc>
                <w:tcPr>
                  <w:tcW w:w="1034" w:type="dxa"/>
                  <w:vAlign w:val="center"/>
                </w:tcPr>
                <w:p>
                  <w:pPr>
                    <w:pStyle w:val="31"/>
                    <w:rPr>
                      <w:color w:val="auto"/>
                    </w:rPr>
                  </w:pPr>
                  <w:r>
                    <w:rPr>
                      <w:rFonts w:hint="eastAsia"/>
                      <w:color w:val="auto"/>
                    </w:rPr>
                    <w:t>扩建为3t/a沼气锅炉，其余依托现有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731" w:type="dxa"/>
                  <w:vMerge w:val="restart"/>
                  <w:vAlign w:val="center"/>
                </w:tcPr>
                <w:p>
                  <w:pPr>
                    <w:pStyle w:val="31"/>
                    <w:rPr>
                      <w:color w:val="auto"/>
                    </w:rPr>
                  </w:pPr>
                  <w:r>
                    <w:rPr>
                      <w:rFonts w:hint="eastAsia"/>
                      <w:color w:val="auto"/>
                    </w:rPr>
                    <w:t>辅助工程</w:t>
                  </w:r>
                </w:p>
              </w:tc>
              <w:tc>
                <w:tcPr>
                  <w:tcW w:w="1694" w:type="dxa"/>
                  <w:vAlign w:val="center"/>
                </w:tcPr>
                <w:p>
                  <w:pPr>
                    <w:pStyle w:val="31"/>
                    <w:rPr>
                      <w:color w:val="auto"/>
                    </w:rPr>
                  </w:pPr>
                  <w:r>
                    <w:rPr>
                      <w:rFonts w:hint="eastAsia"/>
                      <w:color w:val="auto"/>
                    </w:rPr>
                    <w:t>锅炉配套工程</w:t>
                  </w:r>
                </w:p>
              </w:tc>
              <w:tc>
                <w:tcPr>
                  <w:tcW w:w="4134" w:type="dxa"/>
                  <w:vAlign w:val="center"/>
                </w:tcPr>
                <w:p>
                  <w:pPr>
                    <w:pStyle w:val="31"/>
                    <w:rPr>
                      <w:color w:val="auto"/>
                    </w:rPr>
                  </w:pPr>
                  <w:r>
                    <w:rPr>
                      <w:rFonts w:hint="eastAsia"/>
                      <w:color w:val="auto"/>
                    </w:rPr>
                    <w:t>1套纯水制备系统、1台燃烧机、1套给水泵</w:t>
                  </w:r>
                </w:p>
              </w:tc>
              <w:tc>
                <w:tcPr>
                  <w:tcW w:w="1034" w:type="dxa"/>
                  <w:vAlign w:val="center"/>
                </w:tcPr>
                <w:p>
                  <w:pPr>
                    <w:pStyle w:val="31"/>
                    <w:rPr>
                      <w:color w:val="auto"/>
                    </w:rPr>
                  </w:pPr>
                  <w:r>
                    <w:rPr>
                      <w:rFonts w:hint="eastAsia"/>
                      <w:color w:val="auto"/>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731" w:type="dxa"/>
                  <w:vMerge w:val="continue"/>
                  <w:vAlign w:val="center"/>
                </w:tcPr>
                <w:p>
                  <w:pPr>
                    <w:pStyle w:val="31"/>
                    <w:rPr>
                      <w:color w:val="auto"/>
                    </w:rPr>
                  </w:pPr>
                </w:p>
              </w:tc>
              <w:tc>
                <w:tcPr>
                  <w:tcW w:w="1694" w:type="dxa"/>
                  <w:vAlign w:val="center"/>
                </w:tcPr>
                <w:p>
                  <w:pPr>
                    <w:pStyle w:val="30"/>
                    <w:rPr>
                      <w:color w:val="auto"/>
                    </w:rPr>
                  </w:pPr>
                  <w:r>
                    <w:rPr>
                      <w:color w:val="auto"/>
                    </w:rPr>
                    <w:t>配电装置</w:t>
                  </w:r>
                </w:p>
              </w:tc>
              <w:tc>
                <w:tcPr>
                  <w:tcW w:w="4134" w:type="dxa"/>
                  <w:vAlign w:val="center"/>
                </w:tcPr>
                <w:p>
                  <w:pPr>
                    <w:pStyle w:val="30"/>
                    <w:rPr>
                      <w:color w:val="auto"/>
                    </w:rPr>
                  </w:pPr>
                  <w:r>
                    <w:rPr>
                      <w:color w:val="auto"/>
                    </w:rPr>
                    <w:t>配电机房1个，设置低压开关柜1台，硅整流启动电源柜1台，站用配电柜1台</w:t>
                  </w:r>
                </w:p>
              </w:tc>
              <w:tc>
                <w:tcPr>
                  <w:tcW w:w="1034" w:type="dxa"/>
                  <w:vAlign w:val="center"/>
                </w:tcPr>
                <w:p>
                  <w:pPr>
                    <w:pStyle w:val="31"/>
                    <w:rPr>
                      <w:color w:val="auto"/>
                    </w:rPr>
                  </w:pPr>
                  <w:r>
                    <w:rPr>
                      <w:rFonts w:hint="eastAsia"/>
                      <w:color w:val="auto"/>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1" w:type="dxa"/>
                  <w:vMerge w:val="restart"/>
                  <w:vAlign w:val="center"/>
                </w:tcPr>
                <w:p>
                  <w:pPr>
                    <w:pStyle w:val="31"/>
                    <w:rPr>
                      <w:color w:val="auto"/>
                    </w:rPr>
                  </w:pPr>
                  <w:r>
                    <w:rPr>
                      <w:rFonts w:hint="eastAsia"/>
                      <w:color w:val="auto"/>
                    </w:rPr>
                    <w:t>公用工程</w:t>
                  </w:r>
                </w:p>
              </w:tc>
              <w:tc>
                <w:tcPr>
                  <w:tcW w:w="1694" w:type="dxa"/>
                  <w:vAlign w:val="center"/>
                </w:tcPr>
                <w:p>
                  <w:pPr>
                    <w:pStyle w:val="31"/>
                    <w:rPr>
                      <w:color w:val="auto"/>
                    </w:rPr>
                  </w:pPr>
                  <w:r>
                    <w:rPr>
                      <w:rFonts w:hint="eastAsia"/>
                      <w:color w:val="auto"/>
                    </w:rPr>
                    <w:t>给水</w:t>
                  </w:r>
                </w:p>
              </w:tc>
              <w:tc>
                <w:tcPr>
                  <w:tcW w:w="4134" w:type="dxa"/>
                  <w:vAlign w:val="center"/>
                </w:tcPr>
                <w:p>
                  <w:pPr>
                    <w:pStyle w:val="31"/>
                    <w:rPr>
                      <w:color w:val="auto"/>
                    </w:rPr>
                  </w:pPr>
                  <w:r>
                    <w:rPr>
                      <w:color w:val="auto"/>
                    </w:rPr>
                    <w:t>由市政供水管网供应。</w:t>
                  </w:r>
                </w:p>
              </w:tc>
              <w:tc>
                <w:tcPr>
                  <w:tcW w:w="1034" w:type="dxa"/>
                  <w:vAlign w:val="center"/>
                </w:tcPr>
                <w:p>
                  <w:pPr>
                    <w:pStyle w:val="31"/>
                    <w:rPr>
                      <w:color w:val="auto"/>
                    </w:rPr>
                  </w:pPr>
                  <w:r>
                    <w:rPr>
                      <w:rFonts w:hint="eastAsia"/>
                      <w:color w:val="auto"/>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731" w:type="dxa"/>
                  <w:vMerge w:val="continue"/>
                  <w:vAlign w:val="center"/>
                </w:tcPr>
                <w:p>
                  <w:pPr>
                    <w:pStyle w:val="31"/>
                    <w:rPr>
                      <w:color w:val="auto"/>
                    </w:rPr>
                  </w:pPr>
                </w:p>
              </w:tc>
              <w:tc>
                <w:tcPr>
                  <w:tcW w:w="1694" w:type="dxa"/>
                  <w:vAlign w:val="center"/>
                </w:tcPr>
                <w:p>
                  <w:pPr>
                    <w:pStyle w:val="31"/>
                    <w:rPr>
                      <w:color w:val="auto"/>
                    </w:rPr>
                  </w:pPr>
                  <w:r>
                    <w:rPr>
                      <w:rFonts w:hint="eastAsia"/>
                      <w:color w:val="auto"/>
                    </w:rPr>
                    <w:t>排水</w:t>
                  </w:r>
                </w:p>
              </w:tc>
              <w:tc>
                <w:tcPr>
                  <w:tcW w:w="4134" w:type="dxa"/>
                  <w:vAlign w:val="center"/>
                </w:tcPr>
                <w:p>
                  <w:pPr>
                    <w:pStyle w:val="31"/>
                    <w:rPr>
                      <w:color w:val="auto"/>
                    </w:rPr>
                  </w:pPr>
                  <w:r>
                    <w:rPr>
                      <w:rStyle w:val="34"/>
                      <w:rFonts w:hint="eastAsia"/>
                      <w:color w:val="auto"/>
                    </w:rPr>
                    <w:t>本项目雨污分流，生产废水主要为纯水制备废水、锅炉排水、离子交换树脂再生废水，</w:t>
                  </w:r>
                  <w:r>
                    <w:rPr>
                      <w:rFonts w:hint="eastAsia"/>
                      <w:color w:val="auto"/>
                      <w:szCs w:val="21"/>
                    </w:rPr>
                    <w:t>依托厂区污水处理系统处理，达到《污水综合排放标准》</w:t>
                  </w:r>
                  <w:r>
                    <w:rPr>
                      <w:rFonts w:hint="eastAsia"/>
                      <w:color w:val="auto"/>
                      <w:szCs w:val="21"/>
                      <w:lang w:eastAsia="zh-CN"/>
                    </w:rPr>
                    <w:t>（</w:t>
                  </w:r>
                  <w:r>
                    <w:rPr>
                      <w:rFonts w:hint="eastAsia"/>
                      <w:color w:val="auto"/>
                      <w:szCs w:val="21"/>
                    </w:rPr>
                    <w:t>GB8978-1996</w:t>
                  </w:r>
                  <w:r>
                    <w:rPr>
                      <w:rFonts w:hint="eastAsia"/>
                      <w:color w:val="auto"/>
                      <w:szCs w:val="21"/>
                      <w:lang w:eastAsia="zh-CN"/>
                    </w:rPr>
                    <w:t>）</w:t>
                  </w:r>
                  <w:r>
                    <w:rPr>
                      <w:rFonts w:hint="eastAsia"/>
                      <w:color w:val="auto"/>
                      <w:szCs w:val="21"/>
                    </w:rPr>
                    <w:t>表4中三级标准后，进入衡阳第二生活垃圾填埋场渗滤液污水处理站进行深化处理</w:t>
                  </w:r>
                  <w:r>
                    <w:rPr>
                      <w:rFonts w:hint="eastAsia"/>
                      <w:color w:val="auto"/>
                    </w:rPr>
                    <w:t>。</w:t>
                  </w:r>
                </w:p>
              </w:tc>
              <w:tc>
                <w:tcPr>
                  <w:tcW w:w="1034" w:type="dxa"/>
                  <w:vAlign w:val="center"/>
                </w:tcPr>
                <w:p>
                  <w:pPr>
                    <w:pStyle w:val="31"/>
                    <w:rPr>
                      <w:color w:val="auto"/>
                    </w:rPr>
                  </w:pPr>
                  <w:r>
                    <w:rPr>
                      <w:rFonts w:hint="eastAsia"/>
                      <w:color w:val="auto"/>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1" w:type="dxa"/>
                  <w:vMerge w:val="continue"/>
                  <w:vAlign w:val="center"/>
                </w:tcPr>
                <w:p>
                  <w:pPr>
                    <w:pStyle w:val="31"/>
                    <w:rPr>
                      <w:color w:val="auto"/>
                    </w:rPr>
                  </w:pPr>
                </w:p>
              </w:tc>
              <w:tc>
                <w:tcPr>
                  <w:tcW w:w="1694" w:type="dxa"/>
                  <w:vAlign w:val="center"/>
                </w:tcPr>
                <w:p>
                  <w:pPr>
                    <w:pStyle w:val="31"/>
                    <w:rPr>
                      <w:color w:val="auto"/>
                    </w:rPr>
                  </w:pPr>
                  <w:r>
                    <w:rPr>
                      <w:rFonts w:hint="eastAsia"/>
                      <w:color w:val="auto"/>
                    </w:rPr>
                    <w:t>供电</w:t>
                  </w:r>
                </w:p>
              </w:tc>
              <w:tc>
                <w:tcPr>
                  <w:tcW w:w="4134" w:type="dxa"/>
                  <w:vAlign w:val="center"/>
                </w:tcPr>
                <w:p>
                  <w:pPr>
                    <w:pStyle w:val="31"/>
                    <w:rPr>
                      <w:color w:val="auto"/>
                    </w:rPr>
                  </w:pPr>
                  <w:r>
                    <w:rPr>
                      <w:color w:val="auto"/>
                    </w:rPr>
                    <w:t>由</w:t>
                  </w:r>
                  <w:r>
                    <w:rPr>
                      <w:rFonts w:hint="eastAsia"/>
                      <w:color w:val="auto"/>
                    </w:rPr>
                    <w:t>衡阳桑德凯天再生资源科技有限公司</w:t>
                  </w:r>
                  <w:r>
                    <w:rPr>
                      <w:color w:val="auto"/>
                    </w:rPr>
                    <w:t>供电网直接接入供给</w:t>
                  </w:r>
                </w:p>
              </w:tc>
              <w:tc>
                <w:tcPr>
                  <w:tcW w:w="1034" w:type="dxa"/>
                  <w:vAlign w:val="center"/>
                </w:tcPr>
                <w:p>
                  <w:pPr>
                    <w:pStyle w:val="31"/>
                    <w:rPr>
                      <w:color w:val="auto"/>
                    </w:rPr>
                  </w:pPr>
                  <w:r>
                    <w:rPr>
                      <w:rFonts w:hint="eastAsia"/>
                      <w:color w:val="auto"/>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731" w:type="dxa"/>
                  <w:vMerge w:val="restart"/>
                  <w:vAlign w:val="center"/>
                </w:tcPr>
                <w:p>
                  <w:pPr>
                    <w:pStyle w:val="31"/>
                    <w:rPr>
                      <w:color w:val="auto"/>
                    </w:rPr>
                  </w:pPr>
                  <w:r>
                    <w:rPr>
                      <w:rFonts w:hint="eastAsia"/>
                      <w:color w:val="auto"/>
                    </w:rPr>
                    <w:t>环保工程</w:t>
                  </w:r>
                </w:p>
              </w:tc>
              <w:tc>
                <w:tcPr>
                  <w:tcW w:w="1694" w:type="dxa"/>
                  <w:vAlign w:val="center"/>
                </w:tcPr>
                <w:p>
                  <w:pPr>
                    <w:pStyle w:val="31"/>
                    <w:rPr>
                      <w:color w:val="auto"/>
                    </w:rPr>
                  </w:pPr>
                  <w:r>
                    <w:rPr>
                      <w:rFonts w:hint="eastAsia"/>
                      <w:color w:val="auto"/>
                    </w:rPr>
                    <w:t>废气</w:t>
                  </w:r>
                </w:p>
              </w:tc>
              <w:tc>
                <w:tcPr>
                  <w:tcW w:w="4134" w:type="dxa"/>
                  <w:vAlign w:val="center"/>
                </w:tcPr>
                <w:p>
                  <w:pPr>
                    <w:pStyle w:val="31"/>
                    <w:rPr>
                      <w:color w:val="auto"/>
                    </w:rPr>
                  </w:pPr>
                  <w:r>
                    <w:rPr>
                      <w:rFonts w:hint="eastAsia"/>
                      <w:color w:val="auto"/>
                    </w:rPr>
                    <w:t>锅炉的</w:t>
                  </w:r>
                  <w:r>
                    <w:rPr>
                      <w:color w:val="auto"/>
                    </w:rPr>
                    <w:t>燃烧废气</w:t>
                  </w:r>
                  <w:r>
                    <w:rPr>
                      <w:rFonts w:hint="eastAsia"/>
                      <w:color w:val="auto"/>
                    </w:rPr>
                    <w:t>，</w:t>
                  </w:r>
                  <w:r>
                    <w:rPr>
                      <w:rFonts w:hint="eastAsia"/>
                      <w:color w:val="auto"/>
                      <w:lang w:val="en-US" w:eastAsia="zh-CN"/>
                    </w:rPr>
                    <w:t>经低氮燃烧后，通过集气管道收集由</w:t>
                  </w:r>
                  <w:r>
                    <w:rPr>
                      <w:color w:val="auto"/>
                    </w:rPr>
                    <w:t>排气筒DA001（15m）排放</w:t>
                  </w:r>
                  <w:r>
                    <w:rPr>
                      <w:rFonts w:hint="eastAsia"/>
                      <w:color w:val="auto"/>
                    </w:rPr>
                    <w:t>。</w:t>
                  </w:r>
                </w:p>
              </w:tc>
              <w:tc>
                <w:tcPr>
                  <w:tcW w:w="1034" w:type="dxa"/>
                  <w:vAlign w:val="center"/>
                </w:tcPr>
                <w:p>
                  <w:pPr>
                    <w:pStyle w:val="31"/>
                    <w:rPr>
                      <w:color w:val="auto"/>
                    </w:rPr>
                  </w:pPr>
                  <w:r>
                    <w:rPr>
                      <w:rFonts w:hint="eastAsia"/>
                      <w:color w:val="auto"/>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31" w:type="dxa"/>
                  <w:vMerge w:val="continue"/>
                  <w:vAlign w:val="center"/>
                </w:tcPr>
                <w:p>
                  <w:pPr>
                    <w:pStyle w:val="31"/>
                    <w:rPr>
                      <w:color w:val="auto"/>
                    </w:rPr>
                  </w:pPr>
                </w:p>
              </w:tc>
              <w:tc>
                <w:tcPr>
                  <w:tcW w:w="1694" w:type="dxa"/>
                  <w:vAlign w:val="center"/>
                </w:tcPr>
                <w:p>
                  <w:pPr>
                    <w:pStyle w:val="31"/>
                    <w:rPr>
                      <w:color w:val="auto"/>
                    </w:rPr>
                  </w:pPr>
                  <w:r>
                    <w:rPr>
                      <w:rFonts w:hint="eastAsia"/>
                      <w:color w:val="auto"/>
                    </w:rPr>
                    <w:t>废水</w:t>
                  </w:r>
                </w:p>
              </w:tc>
              <w:tc>
                <w:tcPr>
                  <w:tcW w:w="4134" w:type="dxa"/>
                  <w:vAlign w:val="center"/>
                </w:tcPr>
                <w:p>
                  <w:pPr>
                    <w:pStyle w:val="31"/>
                    <w:rPr>
                      <w:color w:val="auto"/>
                    </w:rPr>
                  </w:pPr>
                  <w:r>
                    <w:rPr>
                      <w:rStyle w:val="34"/>
                      <w:rFonts w:hint="eastAsia"/>
                      <w:color w:val="auto"/>
                    </w:rPr>
                    <w:t>本项目雨污分流，生产废水主要为离子交换树脂再生废水、纯水制备废水、锅炉排水，</w:t>
                  </w:r>
                  <w:r>
                    <w:rPr>
                      <w:rFonts w:hint="eastAsia"/>
                      <w:color w:val="auto"/>
                      <w:szCs w:val="21"/>
                    </w:rPr>
                    <w:t>依托厂区污水处理系统处理，达到《污水综合排放标准》</w:t>
                  </w:r>
                  <w:r>
                    <w:rPr>
                      <w:rFonts w:hint="eastAsia"/>
                      <w:color w:val="auto"/>
                      <w:szCs w:val="21"/>
                      <w:lang w:eastAsia="zh-CN"/>
                    </w:rPr>
                    <w:t>（</w:t>
                  </w:r>
                  <w:r>
                    <w:rPr>
                      <w:rFonts w:hint="eastAsia"/>
                      <w:color w:val="auto"/>
                      <w:szCs w:val="21"/>
                    </w:rPr>
                    <w:t>GB8978-1996</w:t>
                  </w:r>
                  <w:r>
                    <w:rPr>
                      <w:rFonts w:hint="eastAsia"/>
                      <w:color w:val="auto"/>
                      <w:szCs w:val="21"/>
                      <w:lang w:eastAsia="zh-CN"/>
                    </w:rPr>
                    <w:t>）</w:t>
                  </w:r>
                  <w:r>
                    <w:rPr>
                      <w:rFonts w:hint="eastAsia"/>
                      <w:color w:val="auto"/>
                      <w:szCs w:val="21"/>
                    </w:rPr>
                    <w:t>表4中三级标准后，进入衡阳第二生活垃圾填埋场渗滤液污水处理站进行深化处理</w:t>
                  </w:r>
                  <w:r>
                    <w:rPr>
                      <w:rFonts w:hint="eastAsia"/>
                      <w:color w:val="auto"/>
                    </w:rPr>
                    <w:t>。</w:t>
                  </w:r>
                </w:p>
              </w:tc>
              <w:tc>
                <w:tcPr>
                  <w:tcW w:w="1034" w:type="dxa"/>
                  <w:vAlign w:val="center"/>
                </w:tcPr>
                <w:p>
                  <w:pPr>
                    <w:pStyle w:val="31"/>
                    <w:rPr>
                      <w:color w:val="auto"/>
                    </w:rPr>
                  </w:pPr>
                  <w:r>
                    <w:rPr>
                      <w:rFonts w:hint="eastAsia"/>
                      <w:color w:val="auto"/>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31" w:type="dxa"/>
                  <w:vMerge w:val="continue"/>
                  <w:vAlign w:val="center"/>
                </w:tcPr>
                <w:p>
                  <w:pPr>
                    <w:pStyle w:val="31"/>
                    <w:rPr>
                      <w:color w:val="auto"/>
                    </w:rPr>
                  </w:pPr>
                </w:p>
              </w:tc>
              <w:tc>
                <w:tcPr>
                  <w:tcW w:w="1694" w:type="dxa"/>
                  <w:vAlign w:val="center"/>
                </w:tcPr>
                <w:p>
                  <w:pPr>
                    <w:pStyle w:val="31"/>
                    <w:rPr>
                      <w:color w:val="auto"/>
                    </w:rPr>
                  </w:pPr>
                  <w:r>
                    <w:rPr>
                      <w:rFonts w:hint="eastAsia"/>
                      <w:color w:val="auto"/>
                    </w:rPr>
                    <w:t>噪声</w:t>
                  </w:r>
                </w:p>
              </w:tc>
              <w:tc>
                <w:tcPr>
                  <w:tcW w:w="4134" w:type="dxa"/>
                  <w:vAlign w:val="center"/>
                </w:tcPr>
                <w:p>
                  <w:pPr>
                    <w:pStyle w:val="31"/>
                    <w:rPr>
                      <w:color w:val="auto"/>
                    </w:rPr>
                  </w:pPr>
                  <w:r>
                    <w:rPr>
                      <w:color w:val="auto"/>
                    </w:rPr>
                    <w:t>墙体隔声，消声器；加强设备维修管理，合理布局。</w:t>
                  </w:r>
                </w:p>
              </w:tc>
              <w:tc>
                <w:tcPr>
                  <w:tcW w:w="1034" w:type="dxa"/>
                  <w:vAlign w:val="center"/>
                </w:tcPr>
                <w:p>
                  <w:pPr>
                    <w:pStyle w:val="31"/>
                    <w:rPr>
                      <w:color w:val="auto"/>
                    </w:rPr>
                  </w:pPr>
                  <w:r>
                    <w:rPr>
                      <w:rFonts w:hint="eastAsia"/>
                      <w:color w:val="auto"/>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731" w:type="dxa"/>
                  <w:vMerge w:val="continue"/>
                  <w:vAlign w:val="center"/>
                </w:tcPr>
                <w:p>
                  <w:pPr>
                    <w:pStyle w:val="31"/>
                    <w:rPr>
                      <w:color w:val="auto"/>
                    </w:rPr>
                  </w:pPr>
                </w:p>
              </w:tc>
              <w:tc>
                <w:tcPr>
                  <w:tcW w:w="1694" w:type="dxa"/>
                  <w:vAlign w:val="center"/>
                </w:tcPr>
                <w:p>
                  <w:pPr>
                    <w:pStyle w:val="31"/>
                    <w:rPr>
                      <w:color w:val="auto"/>
                    </w:rPr>
                  </w:pPr>
                  <w:r>
                    <w:rPr>
                      <w:rFonts w:hint="eastAsia"/>
                      <w:color w:val="auto"/>
                    </w:rPr>
                    <w:t>固废</w:t>
                  </w:r>
                </w:p>
              </w:tc>
              <w:tc>
                <w:tcPr>
                  <w:tcW w:w="4134" w:type="dxa"/>
                  <w:vAlign w:val="center"/>
                </w:tcPr>
                <w:p>
                  <w:pPr>
                    <w:pStyle w:val="31"/>
                    <w:rPr>
                      <w:color w:val="auto"/>
                    </w:rPr>
                  </w:pPr>
                  <w:r>
                    <w:rPr>
                      <w:rFonts w:hint="eastAsia"/>
                      <w:color w:val="auto"/>
                    </w:rPr>
                    <w:t>纯水制备废过滤材料（含活性炭滤芯和RO膜）</w:t>
                  </w:r>
                </w:p>
              </w:tc>
              <w:tc>
                <w:tcPr>
                  <w:tcW w:w="1034" w:type="dxa"/>
                  <w:vAlign w:val="center"/>
                </w:tcPr>
                <w:p>
                  <w:pPr>
                    <w:pStyle w:val="31"/>
                    <w:rPr>
                      <w:color w:val="auto"/>
                    </w:rPr>
                  </w:pPr>
                  <w:r>
                    <w:rPr>
                      <w:rFonts w:hint="eastAsia"/>
                      <w:color w:val="auto"/>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731" w:type="dxa"/>
                  <w:vMerge w:val="continue"/>
                  <w:vAlign w:val="center"/>
                </w:tcPr>
                <w:p>
                  <w:pPr>
                    <w:pStyle w:val="31"/>
                    <w:rPr>
                      <w:color w:val="auto"/>
                    </w:rPr>
                  </w:pPr>
                </w:p>
              </w:tc>
              <w:tc>
                <w:tcPr>
                  <w:tcW w:w="1694" w:type="dxa"/>
                  <w:vAlign w:val="center"/>
                </w:tcPr>
                <w:p>
                  <w:pPr>
                    <w:pStyle w:val="30"/>
                    <w:rPr>
                      <w:color w:val="auto"/>
                    </w:rPr>
                  </w:pPr>
                  <w:r>
                    <w:rPr>
                      <w:color w:val="auto"/>
                    </w:rPr>
                    <w:t>环境风险</w:t>
                  </w:r>
                </w:p>
              </w:tc>
              <w:tc>
                <w:tcPr>
                  <w:tcW w:w="4134" w:type="dxa"/>
                  <w:vAlign w:val="center"/>
                </w:tcPr>
                <w:p>
                  <w:pPr>
                    <w:pStyle w:val="30"/>
                    <w:rPr>
                      <w:color w:val="auto"/>
                    </w:rPr>
                  </w:pPr>
                  <w:r>
                    <w:rPr>
                      <w:color w:val="auto"/>
                    </w:rPr>
                    <w:t>加强环境风险管理，依托现有的应急措施，消防水池建筑面积500m</w:t>
                  </w:r>
                  <w:r>
                    <w:rPr>
                      <w:rFonts w:hint="eastAsia"/>
                      <w:color w:val="auto"/>
                      <w:vertAlign w:val="superscript"/>
                    </w:rPr>
                    <w:t>3</w:t>
                  </w:r>
                  <w:r>
                    <w:rPr>
                      <w:color w:val="auto"/>
                    </w:rPr>
                    <w:t>，事故（消防）水池500m</w:t>
                  </w:r>
                  <w:r>
                    <w:rPr>
                      <w:rFonts w:hint="eastAsia"/>
                      <w:color w:val="auto"/>
                      <w:vertAlign w:val="superscript"/>
                    </w:rPr>
                    <w:t>3</w:t>
                  </w:r>
                  <w:r>
                    <w:rPr>
                      <w:color w:val="auto"/>
                    </w:rPr>
                    <w:t>；罐区围堰和防火墙2000m</w:t>
                  </w:r>
                  <w:r>
                    <w:rPr>
                      <w:rFonts w:hint="eastAsia"/>
                      <w:color w:val="auto"/>
                      <w:vertAlign w:val="superscript"/>
                    </w:rPr>
                    <w:t>3</w:t>
                  </w:r>
                  <w:r>
                    <w:rPr>
                      <w:color w:val="auto"/>
                    </w:rPr>
                    <w:t>。</w:t>
                  </w:r>
                </w:p>
              </w:tc>
              <w:tc>
                <w:tcPr>
                  <w:tcW w:w="1034" w:type="dxa"/>
                  <w:vAlign w:val="center"/>
                </w:tcPr>
                <w:p>
                  <w:pPr>
                    <w:pStyle w:val="30"/>
                    <w:rPr>
                      <w:color w:val="auto"/>
                    </w:rPr>
                  </w:pPr>
                  <w:r>
                    <w:rPr>
                      <w:color w:val="auto"/>
                    </w:rPr>
                    <w:t>依托</w:t>
                  </w:r>
                  <w:r>
                    <w:rPr>
                      <w:rFonts w:hint="eastAsia"/>
                      <w:color w:val="auto"/>
                    </w:rPr>
                    <w:t>现有</w:t>
                  </w:r>
                </w:p>
              </w:tc>
            </w:tr>
          </w:tbl>
          <w:p>
            <w:pPr>
              <w:pStyle w:val="31"/>
              <w:rPr>
                <w:color w:val="auto"/>
              </w:rPr>
            </w:pPr>
          </w:p>
          <w:p>
            <w:pPr>
              <w:ind w:firstLine="0" w:firstLineChars="0"/>
              <w:rPr>
                <w:b/>
                <w:bCs/>
                <w:color w:val="auto"/>
              </w:rPr>
            </w:pPr>
            <w:r>
              <w:rPr>
                <w:rFonts w:hint="eastAsia"/>
                <w:b/>
                <w:bCs/>
                <w:color w:val="auto"/>
              </w:rPr>
              <w:t>4、产品方案</w:t>
            </w:r>
          </w:p>
          <w:p>
            <w:pPr>
              <w:pStyle w:val="10"/>
              <w:ind w:left="0" w:leftChars="0" w:firstLine="480"/>
              <w:rPr>
                <w:color w:val="auto"/>
              </w:rPr>
            </w:pPr>
            <w:r>
              <w:rPr>
                <w:rFonts w:hint="eastAsia"/>
                <w:color w:val="auto"/>
              </w:rPr>
              <w:t>项目蒸汽用于供暖和餐厨垃圾的高温蒸煮工序，蒸汽温度约160℃。</w:t>
            </w:r>
          </w:p>
          <w:p>
            <w:pPr>
              <w:spacing w:line="240" w:lineRule="auto"/>
              <w:ind w:firstLine="0" w:firstLineChars="0"/>
              <w:jc w:val="center"/>
              <w:rPr>
                <w:color w:val="auto"/>
              </w:rPr>
            </w:pPr>
            <w:r>
              <w:rPr>
                <w:b/>
                <w:bCs/>
                <w:color w:val="auto"/>
                <w:sz w:val="21"/>
                <w:szCs w:val="21"/>
              </w:rPr>
              <w:t>表2-</w:t>
            </w:r>
            <w:r>
              <w:rPr>
                <w:rFonts w:hint="eastAsia"/>
                <w:b/>
                <w:bCs/>
                <w:color w:val="auto"/>
                <w:sz w:val="21"/>
                <w:szCs w:val="21"/>
              </w:rPr>
              <w:t>2  本项目依托环保设施可行性分析</w:t>
            </w:r>
            <w:r>
              <w:rPr>
                <w:b/>
                <w:bCs/>
                <w:color w:val="auto"/>
                <w:sz w:val="21"/>
                <w:szCs w:val="21"/>
              </w:rPr>
              <w:t>一览表</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056"/>
              <w:gridCol w:w="2147"/>
              <w:gridCol w:w="2415"/>
              <w:gridCol w:w="203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pPr>
                    <w:widowControl/>
                    <w:spacing w:line="240" w:lineRule="auto"/>
                    <w:ind w:firstLine="0" w:firstLineChars="0"/>
                    <w:jc w:val="center"/>
                    <w:textAlignment w:val="center"/>
                    <w:rPr>
                      <w:color w:val="auto"/>
                      <w:kern w:val="0"/>
                      <w:sz w:val="21"/>
                      <w:szCs w:val="21"/>
                      <w:lang w:bidi="ar"/>
                    </w:rPr>
                  </w:pPr>
                  <w:r>
                    <w:rPr>
                      <w:color w:val="auto"/>
                      <w:kern w:val="0"/>
                      <w:sz w:val="21"/>
                      <w:szCs w:val="21"/>
                      <w:lang w:bidi="ar"/>
                    </w:rPr>
                    <w:t>产品名称</w:t>
                  </w:r>
                </w:p>
              </w:tc>
              <w:tc>
                <w:tcPr>
                  <w:tcW w:w="2147" w:type="dxa"/>
                  <w:tcBorders>
                    <w:tl2br w:val="nil"/>
                    <w:tr2bl w:val="nil"/>
                  </w:tcBorders>
                  <w:vAlign w:val="center"/>
                </w:tcPr>
                <w:p>
                  <w:pPr>
                    <w:widowControl/>
                    <w:spacing w:line="240" w:lineRule="auto"/>
                    <w:ind w:firstLine="0" w:firstLineChars="0"/>
                    <w:jc w:val="center"/>
                    <w:textAlignment w:val="center"/>
                    <w:rPr>
                      <w:color w:val="auto"/>
                      <w:kern w:val="0"/>
                      <w:sz w:val="21"/>
                      <w:szCs w:val="21"/>
                      <w:lang w:bidi="ar"/>
                    </w:rPr>
                  </w:pPr>
                  <w:r>
                    <w:rPr>
                      <w:color w:val="auto"/>
                      <w:kern w:val="0"/>
                      <w:sz w:val="21"/>
                      <w:szCs w:val="21"/>
                      <w:lang w:bidi="ar"/>
                    </w:rPr>
                    <w:t>现有生产能力</w:t>
                  </w:r>
                  <w:r>
                    <w:rPr>
                      <w:rFonts w:hint="eastAsia"/>
                      <w:color w:val="auto"/>
                      <w:kern w:val="0"/>
                      <w:sz w:val="21"/>
                      <w:szCs w:val="21"/>
                      <w:lang w:bidi="ar"/>
                    </w:rPr>
                    <w:t>（</w:t>
                  </w:r>
                  <w:r>
                    <w:rPr>
                      <w:rFonts w:hint="eastAsia"/>
                      <w:color w:val="auto"/>
                      <w:kern w:val="0"/>
                      <w:sz w:val="21"/>
                      <w:szCs w:val="21"/>
                    </w:rPr>
                    <w:t>t</w:t>
                  </w:r>
                  <w:r>
                    <w:rPr>
                      <w:color w:val="auto"/>
                      <w:kern w:val="0"/>
                      <w:sz w:val="21"/>
                      <w:szCs w:val="21"/>
                    </w:rPr>
                    <w:t>/</w:t>
                  </w:r>
                  <w:r>
                    <w:rPr>
                      <w:rFonts w:hint="eastAsia"/>
                      <w:color w:val="auto"/>
                      <w:kern w:val="0"/>
                      <w:sz w:val="21"/>
                      <w:szCs w:val="21"/>
                    </w:rPr>
                    <w:t>a</w:t>
                  </w:r>
                  <w:r>
                    <w:rPr>
                      <w:rFonts w:hint="eastAsia"/>
                      <w:color w:val="auto"/>
                      <w:kern w:val="0"/>
                      <w:sz w:val="21"/>
                      <w:szCs w:val="21"/>
                      <w:lang w:bidi="ar"/>
                    </w:rPr>
                    <w:t>）</w:t>
                  </w:r>
                </w:p>
              </w:tc>
              <w:tc>
                <w:tcPr>
                  <w:tcW w:w="2415" w:type="dxa"/>
                  <w:tcBorders>
                    <w:tl2br w:val="nil"/>
                    <w:tr2bl w:val="nil"/>
                  </w:tcBorders>
                  <w:vAlign w:val="center"/>
                </w:tcPr>
                <w:p>
                  <w:pPr>
                    <w:widowControl/>
                    <w:spacing w:line="240" w:lineRule="auto"/>
                    <w:ind w:firstLine="0" w:firstLineChars="0"/>
                    <w:jc w:val="center"/>
                    <w:textAlignment w:val="center"/>
                    <w:rPr>
                      <w:color w:val="auto"/>
                      <w:kern w:val="0"/>
                      <w:sz w:val="21"/>
                      <w:szCs w:val="21"/>
                      <w:lang w:bidi="ar"/>
                    </w:rPr>
                  </w:pPr>
                  <w:r>
                    <w:rPr>
                      <w:rFonts w:hint="eastAsia"/>
                      <w:bCs/>
                      <w:color w:val="auto"/>
                      <w:sz w:val="21"/>
                      <w:szCs w:val="21"/>
                    </w:rPr>
                    <w:t>改</w:t>
                  </w:r>
                  <w:r>
                    <w:rPr>
                      <w:bCs/>
                      <w:color w:val="auto"/>
                      <w:sz w:val="21"/>
                      <w:szCs w:val="21"/>
                    </w:rPr>
                    <w:t>扩建后</w:t>
                  </w:r>
                  <w:r>
                    <w:rPr>
                      <w:color w:val="auto"/>
                      <w:kern w:val="0"/>
                      <w:sz w:val="21"/>
                      <w:szCs w:val="21"/>
                      <w:lang w:bidi="ar"/>
                    </w:rPr>
                    <w:t>生产能力</w:t>
                  </w:r>
                  <w:r>
                    <w:rPr>
                      <w:rFonts w:hint="eastAsia"/>
                      <w:color w:val="auto"/>
                      <w:kern w:val="0"/>
                      <w:sz w:val="21"/>
                      <w:szCs w:val="21"/>
                      <w:lang w:bidi="ar"/>
                    </w:rPr>
                    <w:t>（</w:t>
                  </w:r>
                  <w:r>
                    <w:rPr>
                      <w:rFonts w:hint="eastAsia"/>
                      <w:color w:val="auto"/>
                      <w:kern w:val="0"/>
                      <w:sz w:val="21"/>
                      <w:szCs w:val="21"/>
                    </w:rPr>
                    <w:t>t</w:t>
                  </w:r>
                  <w:r>
                    <w:rPr>
                      <w:color w:val="auto"/>
                      <w:kern w:val="0"/>
                      <w:sz w:val="21"/>
                      <w:szCs w:val="21"/>
                    </w:rPr>
                    <w:t>/</w:t>
                  </w:r>
                  <w:r>
                    <w:rPr>
                      <w:rFonts w:hint="eastAsia"/>
                      <w:color w:val="auto"/>
                      <w:kern w:val="0"/>
                      <w:sz w:val="21"/>
                      <w:szCs w:val="21"/>
                    </w:rPr>
                    <w:t>a</w:t>
                  </w:r>
                  <w:r>
                    <w:rPr>
                      <w:rFonts w:hint="eastAsia"/>
                      <w:color w:val="auto"/>
                      <w:kern w:val="0"/>
                      <w:sz w:val="21"/>
                      <w:szCs w:val="21"/>
                      <w:lang w:bidi="ar"/>
                    </w:rPr>
                    <w:t>）</w:t>
                  </w:r>
                </w:p>
              </w:tc>
              <w:tc>
                <w:tcPr>
                  <w:tcW w:w="2035" w:type="dxa"/>
                  <w:tcBorders>
                    <w:tl2br w:val="nil"/>
                    <w:tr2bl w:val="nil"/>
                  </w:tcBorders>
                  <w:vAlign w:val="center"/>
                </w:tcPr>
                <w:p>
                  <w:pPr>
                    <w:widowControl/>
                    <w:spacing w:line="240" w:lineRule="auto"/>
                    <w:ind w:firstLine="0" w:firstLineChars="0"/>
                    <w:jc w:val="center"/>
                    <w:textAlignment w:val="center"/>
                    <w:rPr>
                      <w:color w:val="auto"/>
                      <w:kern w:val="0"/>
                      <w:sz w:val="21"/>
                      <w:szCs w:val="21"/>
                      <w:lang w:bidi="ar"/>
                    </w:rPr>
                  </w:pPr>
                  <w:r>
                    <w:rPr>
                      <w:color w:val="auto"/>
                      <w:kern w:val="0"/>
                      <w:sz w:val="21"/>
                      <w:szCs w:val="21"/>
                      <w:lang w:bidi="ar"/>
                    </w:rPr>
                    <w:t>备注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0" w:type="auto"/>
                  <w:tcBorders>
                    <w:tl2br w:val="nil"/>
                    <w:tr2bl w:val="nil"/>
                  </w:tcBorders>
                  <w:vAlign w:val="center"/>
                </w:tcPr>
                <w:p>
                  <w:pPr>
                    <w:spacing w:line="240" w:lineRule="auto"/>
                    <w:ind w:firstLine="0" w:firstLineChars="0"/>
                    <w:jc w:val="center"/>
                    <w:rPr>
                      <w:color w:val="auto"/>
                      <w:kern w:val="0"/>
                      <w:sz w:val="21"/>
                      <w:szCs w:val="21"/>
                      <w:lang w:bidi="ar"/>
                    </w:rPr>
                  </w:pPr>
                  <w:r>
                    <w:rPr>
                      <w:rFonts w:hint="eastAsia"/>
                      <w:bCs/>
                      <w:color w:val="auto"/>
                      <w:sz w:val="21"/>
                      <w:szCs w:val="21"/>
                    </w:rPr>
                    <w:t>蒸汽</w:t>
                  </w:r>
                </w:p>
              </w:tc>
              <w:tc>
                <w:tcPr>
                  <w:tcW w:w="2147" w:type="dxa"/>
                  <w:tcBorders>
                    <w:tl2br w:val="nil"/>
                    <w:tr2bl w:val="nil"/>
                  </w:tcBorders>
                  <w:vAlign w:val="center"/>
                </w:tcPr>
                <w:p>
                  <w:pPr>
                    <w:spacing w:line="240" w:lineRule="auto"/>
                    <w:ind w:firstLine="0" w:firstLineChars="0"/>
                    <w:jc w:val="center"/>
                    <w:rPr>
                      <w:color w:val="auto"/>
                      <w:kern w:val="0"/>
                      <w:sz w:val="21"/>
                      <w:szCs w:val="21"/>
                      <w:lang w:bidi="ar"/>
                    </w:rPr>
                  </w:pPr>
                  <w:r>
                    <w:rPr>
                      <w:rFonts w:hint="eastAsia"/>
                      <w:color w:val="auto"/>
                      <w:kern w:val="0"/>
                      <w:sz w:val="21"/>
                      <w:szCs w:val="21"/>
                      <w:lang w:bidi="ar"/>
                    </w:rPr>
                    <w:t>14520</w:t>
                  </w:r>
                </w:p>
              </w:tc>
              <w:tc>
                <w:tcPr>
                  <w:tcW w:w="2415" w:type="dxa"/>
                  <w:tcBorders>
                    <w:tl2br w:val="nil"/>
                    <w:tr2bl w:val="nil"/>
                  </w:tcBorders>
                  <w:vAlign w:val="center"/>
                </w:tcPr>
                <w:p>
                  <w:pPr>
                    <w:spacing w:line="240" w:lineRule="auto"/>
                    <w:ind w:firstLine="0" w:firstLineChars="0"/>
                    <w:jc w:val="center"/>
                    <w:rPr>
                      <w:color w:val="auto"/>
                      <w:kern w:val="0"/>
                      <w:sz w:val="21"/>
                      <w:szCs w:val="21"/>
                      <w:lang w:bidi="ar"/>
                    </w:rPr>
                  </w:pPr>
                  <w:r>
                    <w:rPr>
                      <w:rFonts w:hint="eastAsia"/>
                      <w:bCs/>
                      <w:color w:val="auto"/>
                      <w:sz w:val="21"/>
                      <w:szCs w:val="18"/>
                    </w:rPr>
                    <w:t>17820</w:t>
                  </w:r>
                </w:p>
              </w:tc>
              <w:tc>
                <w:tcPr>
                  <w:tcW w:w="2035" w:type="dxa"/>
                  <w:tcBorders>
                    <w:tl2br w:val="nil"/>
                    <w:tr2bl w:val="nil"/>
                  </w:tcBorders>
                  <w:vAlign w:val="center"/>
                </w:tcPr>
                <w:p>
                  <w:pPr>
                    <w:widowControl/>
                    <w:spacing w:line="240" w:lineRule="auto"/>
                    <w:ind w:firstLine="0" w:firstLineChars="0"/>
                    <w:jc w:val="center"/>
                    <w:textAlignment w:val="center"/>
                    <w:rPr>
                      <w:color w:val="auto"/>
                      <w:kern w:val="0"/>
                      <w:sz w:val="21"/>
                      <w:szCs w:val="21"/>
                      <w:lang w:bidi="ar"/>
                    </w:rPr>
                  </w:pPr>
                  <w:r>
                    <w:rPr>
                      <w:rFonts w:hint="eastAsia"/>
                      <w:color w:val="auto"/>
                      <w:kern w:val="0"/>
                      <w:sz w:val="21"/>
                      <w:szCs w:val="21"/>
                      <w:lang w:bidi="ar"/>
                    </w:rPr>
                    <w:t>本项目将现有投入使用的2</w:t>
                  </w:r>
                  <w:r>
                    <w:rPr>
                      <w:rFonts w:hint="eastAsia"/>
                      <w:color w:val="auto"/>
                      <w:kern w:val="0"/>
                      <w:sz w:val="21"/>
                      <w:szCs w:val="21"/>
                    </w:rPr>
                    <w:t>t</w:t>
                  </w:r>
                  <w:r>
                    <w:rPr>
                      <w:color w:val="auto"/>
                      <w:kern w:val="0"/>
                      <w:sz w:val="21"/>
                      <w:szCs w:val="21"/>
                    </w:rPr>
                    <w:t>/</w:t>
                  </w:r>
                  <w:r>
                    <w:rPr>
                      <w:rFonts w:hint="eastAsia"/>
                      <w:color w:val="auto"/>
                      <w:kern w:val="0"/>
                      <w:sz w:val="21"/>
                      <w:szCs w:val="21"/>
                    </w:rPr>
                    <w:t>a沼气锅炉改扩建为3t</w:t>
                  </w:r>
                  <w:r>
                    <w:rPr>
                      <w:color w:val="auto"/>
                      <w:kern w:val="0"/>
                      <w:sz w:val="21"/>
                      <w:szCs w:val="21"/>
                    </w:rPr>
                    <w:t>/</w:t>
                  </w:r>
                  <w:r>
                    <w:rPr>
                      <w:rFonts w:hint="eastAsia"/>
                      <w:color w:val="auto"/>
                      <w:kern w:val="0"/>
                      <w:sz w:val="21"/>
                      <w:szCs w:val="21"/>
                    </w:rPr>
                    <w:t>a的沼气锅炉。</w:t>
                  </w:r>
                </w:p>
              </w:tc>
            </w:tr>
          </w:tbl>
          <w:p>
            <w:pPr>
              <w:ind w:firstLine="0" w:firstLineChars="0"/>
              <w:rPr>
                <w:b/>
                <w:bCs/>
                <w:color w:val="auto"/>
              </w:rPr>
            </w:pPr>
            <w:r>
              <w:rPr>
                <w:rFonts w:hint="eastAsia"/>
                <w:b/>
                <w:bCs/>
                <w:color w:val="auto"/>
              </w:rPr>
              <w:t>5、项目依托厂区现有环保设施的依托可行性</w:t>
            </w:r>
          </w:p>
          <w:p>
            <w:pPr>
              <w:ind w:firstLine="480"/>
              <w:rPr>
                <w:b/>
                <w:bCs/>
                <w:color w:val="auto"/>
              </w:rPr>
            </w:pPr>
            <w:r>
              <w:rPr>
                <w:rFonts w:hint="eastAsia"/>
                <w:color w:val="auto"/>
              </w:rPr>
              <w:t>本项目环保工程主要依托厂区现有的环保设施，其依托可行性</w:t>
            </w:r>
            <w:r>
              <w:rPr>
                <w:color w:val="auto"/>
              </w:rPr>
              <w:t>详见表2-</w:t>
            </w:r>
            <w:r>
              <w:rPr>
                <w:rFonts w:hint="eastAsia"/>
                <w:color w:val="auto"/>
              </w:rPr>
              <w:t>3</w:t>
            </w:r>
            <w:r>
              <w:rPr>
                <w:color w:val="auto"/>
              </w:rPr>
              <w:t>。</w:t>
            </w:r>
          </w:p>
          <w:p>
            <w:pPr>
              <w:spacing w:line="240" w:lineRule="auto"/>
              <w:ind w:firstLine="0" w:firstLineChars="0"/>
              <w:jc w:val="center"/>
              <w:rPr>
                <w:b/>
                <w:bCs/>
                <w:color w:val="auto"/>
                <w:sz w:val="21"/>
                <w:szCs w:val="21"/>
              </w:rPr>
            </w:pPr>
            <w:r>
              <w:rPr>
                <w:b/>
                <w:bCs/>
                <w:color w:val="auto"/>
                <w:sz w:val="21"/>
                <w:szCs w:val="21"/>
              </w:rPr>
              <w:t>表2-</w:t>
            </w:r>
            <w:r>
              <w:rPr>
                <w:rFonts w:hint="eastAsia"/>
                <w:b/>
                <w:bCs/>
                <w:color w:val="auto"/>
                <w:sz w:val="21"/>
                <w:szCs w:val="21"/>
              </w:rPr>
              <w:t>3  本项目依托环保设施可行性分析</w:t>
            </w:r>
            <w:r>
              <w:rPr>
                <w:b/>
                <w:bCs/>
                <w:color w:val="auto"/>
                <w:sz w:val="21"/>
                <w:szCs w:val="21"/>
              </w:rPr>
              <w:t>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5"/>
              <w:gridCol w:w="1116"/>
              <w:gridCol w:w="5530"/>
              <w:gridCol w:w="6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515" w:type="dxa"/>
                  <w:vAlign w:val="center"/>
                </w:tcPr>
                <w:p>
                  <w:pPr>
                    <w:pStyle w:val="31"/>
                    <w:rPr>
                      <w:color w:val="auto"/>
                    </w:rPr>
                  </w:pPr>
                  <w:r>
                    <w:rPr>
                      <w:rFonts w:hint="eastAsia"/>
                      <w:color w:val="auto"/>
                    </w:rPr>
                    <w:t>类别</w:t>
                  </w:r>
                </w:p>
              </w:tc>
              <w:tc>
                <w:tcPr>
                  <w:tcW w:w="1116" w:type="dxa"/>
                  <w:vAlign w:val="center"/>
                </w:tcPr>
                <w:p>
                  <w:pPr>
                    <w:pStyle w:val="31"/>
                    <w:rPr>
                      <w:color w:val="auto"/>
                    </w:rPr>
                  </w:pPr>
                  <w:r>
                    <w:rPr>
                      <w:rFonts w:hint="eastAsia"/>
                      <w:color w:val="auto"/>
                    </w:rPr>
                    <w:t>设施名称</w:t>
                  </w:r>
                </w:p>
              </w:tc>
              <w:tc>
                <w:tcPr>
                  <w:tcW w:w="5529" w:type="dxa"/>
                  <w:vAlign w:val="center"/>
                </w:tcPr>
                <w:p>
                  <w:pPr>
                    <w:pStyle w:val="31"/>
                    <w:rPr>
                      <w:color w:val="auto"/>
                    </w:rPr>
                  </w:pPr>
                  <w:r>
                    <w:rPr>
                      <w:rFonts w:hint="eastAsia"/>
                      <w:color w:val="auto"/>
                    </w:rPr>
                    <w:t>本项目依托可行性</w:t>
                  </w:r>
                </w:p>
              </w:tc>
              <w:tc>
                <w:tcPr>
                  <w:tcW w:w="682" w:type="dxa"/>
                  <w:vAlign w:val="center"/>
                </w:tcPr>
                <w:p>
                  <w:pPr>
                    <w:pStyle w:val="31"/>
                    <w:rPr>
                      <w:color w:val="auto"/>
                    </w:rPr>
                  </w:pPr>
                  <w:r>
                    <w:rPr>
                      <w:rFonts w:hint="eastAsia"/>
                      <w:color w:val="auto"/>
                    </w:rPr>
                    <w:t>是否可行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15" w:type="dxa"/>
                  <w:vAlign w:val="center"/>
                </w:tcPr>
                <w:p>
                  <w:pPr>
                    <w:pStyle w:val="31"/>
                    <w:rPr>
                      <w:color w:val="auto"/>
                    </w:rPr>
                  </w:pPr>
                  <w:r>
                    <w:rPr>
                      <w:rFonts w:hint="eastAsia"/>
                      <w:color w:val="auto"/>
                    </w:rPr>
                    <w:t>废水</w:t>
                  </w:r>
                </w:p>
              </w:tc>
              <w:tc>
                <w:tcPr>
                  <w:tcW w:w="1116" w:type="dxa"/>
                  <w:vAlign w:val="center"/>
                </w:tcPr>
                <w:p>
                  <w:pPr>
                    <w:pStyle w:val="31"/>
                    <w:rPr>
                      <w:color w:val="auto"/>
                    </w:rPr>
                  </w:pPr>
                  <w:r>
                    <w:rPr>
                      <w:rFonts w:hint="eastAsia"/>
                      <w:bCs w:val="0"/>
                      <w:color w:val="auto"/>
                    </w:rPr>
                    <w:t>厂区自建污水处理站</w:t>
                  </w:r>
                </w:p>
              </w:tc>
              <w:tc>
                <w:tcPr>
                  <w:tcW w:w="5529" w:type="dxa"/>
                  <w:vAlign w:val="center"/>
                </w:tcPr>
                <w:p>
                  <w:pPr>
                    <w:pStyle w:val="31"/>
                    <w:rPr>
                      <w:color w:val="auto"/>
                    </w:rPr>
                  </w:pPr>
                  <w:r>
                    <w:rPr>
                      <w:rFonts w:hint="eastAsia"/>
                      <w:color w:val="auto"/>
                    </w:rPr>
                    <w:t>企业现有一座设计处理能力为260m</w:t>
                  </w:r>
                  <w:r>
                    <w:rPr>
                      <w:rFonts w:hint="eastAsia"/>
                      <w:color w:val="auto"/>
                      <w:vertAlign w:val="superscript"/>
                    </w:rPr>
                    <w:t>3</w:t>
                  </w:r>
                  <w:r>
                    <w:rPr>
                      <w:rFonts w:hint="eastAsia"/>
                      <w:color w:val="auto"/>
                    </w:rPr>
                    <w:t>/h的厂区污水处理站，本项目扩建无新增废水污染因子种类，</w:t>
                  </w:r>
                  <w:r>
                    <w:rPr>
                      <w:rFonts w:hint="eastAsia"/>
                      <w:color w:val="auto"/>
                      <w:lang w:val="en-US" w:eastAsia="zh-CN"/>
                    </w:rPr>
                    <w:t>废水量稍有增加，污染物产生量远远小于总量控制，</w:t>
                  </w:r>
                  <w:r>
                    <w:rPr>
                      <w:rFonts w:hint="eastAsia"/>
                      <w:color w:val="auto"/>
                    </w:rPr>
                    <w:t>可依</w:t>
                  </w:r>
                  <w:r>
                    <w:rPr>
                      <w:rFonts w:hint="eastAsia"/>
                      <w:color w:val="auto"/>
                    </w:rPr>
                    <w:t>托现有厂区污水处理站处理。</w:t>
                  </w:r>
                </w:p>
              </w:tc>
              <w:tc>
                <w:tcPr>
                  <w:tcW w:w="682" w:type="dxa"/>
                  <w:vAlign w:val="center"/>
                </w:tcPr>
                <w:p>
                  <w:pPr>
                    <w:pStyle w:val="31"/>
                    <w:rPr>
                      <w:color w:val="auto"/>
                    </w:rPr>
                  </w:pPr>
                  <w:r>
                    <w:rPr>
                      <w:rFonts w:hint="eastAsia"/>
                      <w:color w:val="auto"/>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5" w:type="dxa"/>
                  <w:vAlign w:val="center"/>
                </w:tcPr>
                <w:p>
                  <w:pPr>
                    <w:pStyle w:val="31"/>
                    <w:rPr>
                      <w:color w:val="auto"/>
                    </w:rPr>
                  </w:pPr>
                  <w:r>
                    <w:rPr>
                      <w:rFonts w:hint="eastAsia"/>
                      <w:color w:val="auto"/>
                    </w:rPr>
                    <w:t>废气</w:t>
                  </w:r>
                </w:p>
              </w:tc>
              <w:tc>
                <w:tcPr>
                  <w:tcW w:w="1116" w:type="dxa"/>
                  <w:vAlign w:val="center"/>
                </w:tcPr>
                <w:p>
                  <w:pPr>
                    <w:pStyle w:val="31"/>
                    <w:rPr>
                      <w:color w:val="auto"/>
                    </w:rPr>
                  </w:pPr>
                  <w:r>
                    <w:rPr>
                      <w:rFonts w:hint="eastAsia"/>
                      <w:color w:val="auto"/>
                    </w:rPr>
                    <w:t>15m排气筒</w:t>
                  </w:r>
                </w:p>
              </w:tc>
              <w:tc>
                <w:tcPr>
                  <w:tcW w:w="5529" w:type="dxa"/>
                  <w:vAlign w:val="center"/>
                </w:tcPr>
                <w:p>
                  <w:pPr>
                    <w:pStyle w:val="31"/>
                    <w:rPr>
                      <w:b/>
                      <w:bCs w:val="0"/>
                      <w:color w:val="auto"/>
                    </w:rPr>
                  </w:pPr>
                  <w:r>
                    <w:rPr>
                      <w:rFonts w:hint="eastAsia"/>
                      <w:color w:val="auto"/>
                    </w:rPr>
                    <w:t>企业现有DA001排气筒，本项目扩建无新增废气污染物种类，污染物排放量略有增加，排放浓度可达GB13271-2014排放标准，废气可依托现有15m排气筒排放。</w:t>
                  </w:r>
                </w:p>
              </w:tc>
              <w:tc>
                <w:tcPr>
                  <w:tcW w:w="682" w:type="dxa"/>
                  <w:vAlign w:val="center"/>
                </w:tcPr>
                <w:p>
                  <w:pPr>
                    <w:pStyle w:val="31"/>
                    <w:rPr>
                      <w:color w:val="auto"/>
                    </w:rPr>
                  </w:pPr>
                  <w:r>
                    <w:rPr>
                      <w:rFonts w:hint="eastAsia"/>
                      <w:color w:val="auto"/>
                    </w:rPr>
                    <w:t>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5" w:type="dxa"/>
                  <w:vAlign w:val="center"/>
                </w:tcPr>
                <w:p>
                  <w:pPr>
                    <w:pStyle w:val="31"/>
                    <w:rPr>
                      <w:color w:val="auto"/>
                    </w:rPr>
                  </w:pPr>
                  <w:r>
                    <w:rPr>
                      <w:color w:val="auto"/>
                    </w:rPr>
                    <w:t>环境风险</w:t>
                  </w:r>
                </w:p>
              </w:tc>
              <w:tc>
                <w:tcPr>
                  <w:tcW w:w="1116" w:type="dxa"/>
                  <w:vAlign w:val="center"/>
                </w:tcPr>
                <w:p>
                  <w:pPr>
                    <w:pStyle w:val="31"/>
                    <w:rPr>
                      <w:color w:val="auto"/>
                    </w:rPr>
                  </w:pPr>
                  <w:r>
                    <w:rPr>
                      <w:rFonts w:hint="eastAsia"/>
                      <w:color w:val="auto"/>
                    </w:rPr>
                    <w:t>应急设施</w:t>
                  </w:r>
                </w:p>
              </w:tc>
              <w:tc>
                <w:tcPr>
                  <w:tcW w:w="5529" w:type="dxa"/>
                  <w:vAlign w:val="center"/>
                </w:tcPr>
                <w:p>
                  <w:pPr>
                    <w:pStyle w:val="31"/>
                    <w:rPr>
                      <w:color w:val="auto"/>
                    </w:rPr>
                  </w:pPr>
                  <w:r>
                    <w:rPr>
                      <w:rFonts w:hint="eastAsia"/>
                      <w:color w:val="auto"/>
                    </w:rPr>
                    <w:t>企业现有</w:t>
                  </w:r>
                  <w:r>
                    <w:rPr>
                      <w:color w:val="auto"/>
                    </w:rPr>
                    <w:t>消防水池建筑面积500m</w:t>
                  </w:r>
                  <w:r>
                    <w:rPr>
                      <w:rFonts w:hint="eastAsia"/>
                      <w:color w:val="auto"/>
                      <w:vertAlign w:val="superscript"/>
                    </w:rPr>
                    <w:t>3</w:t>
                  </w:r>
                  <w:r>
                    <w:rPr>
                      <w:color w:val="auto"/>
                    </w:rPr>
                    <w:t>，事故（消防）水池500m</w:t>
                  </w:r>
                  <w:r>
                    <w:rPr>
                      <w:rFonts w:hint="eastAsia"/>
                      <w:color w:val="auto"/>
                      <w:vertAlign w:val="superscript"/>
                    </w:rPr>
                    <w:t>3</w:t>
                  </w:r>
                  <w:r>
                    <w:rPr>
                      <w:color w:val="auto"/>
                    </w:rPr>
                    <w:t>；罐区围堰和防火墙2000m</w:t>
                  </w:r>
                  <w:r>
                    <w:rPr>
                      <w:rFonts w:hint="eastAsia"/>
                      <w:color w:val="auto"/>
                      <w:vertAlign w:val="superscript"/>
                    </w:rPr>
                    <w:t>3</w:t>
                  </w:r>
                  <w:r>
                    <w:rPr>
                      <w:rFonts w:hint="eastAsia"/>
                      <w:color w:val="auto"/>
                    </w:rPr>
                    <w:t>。</w:t>
                  </w:r>
                </w:p>
              </w:tc>
              <w:tc>
                <w:tcPr>
                  <w:tcW w:w="682" w:type="dxa"/>
                  <w:vAlign w:val="center"/>
                </w:tcPr>
                <w:p>
                  <w:pPr>
                    <w:pStyle w:val="31"/>
                    <w:rPr>
                      <w:color w:val="auto"/>
                    </w:rPr>
                  </w:pPr>
                  <w:r>
                    <w:rPr>
                      <w:rFonts w:hint="eastAsia"/>
                      <w:color w:val="auto"/>
                    </w:rPr>
                    <w:t>可行</w:t>
                  </w:r>
                </w:p>
              </w:tc>
            </w:tr>
          </w:tbl>
          <w:p>
            <w:pPr>
              <w:pStyle w:val="31"/>
              <w:rPr>
                <w:color w:val="auto"/>
              </w:rPr>
            </w:pPr>
          </w:p>
          <w:p>
            <w:pPr>
              <w:ind w:firstLine="0" w:firstLineChars="0"/>
              <w:rPr>
                <w:b/>
                <w:bCs/>
                <w:color w:val="auto"/>
              </w:rPr>
            </w:pPr>
            <w:r>
              <w:rPr>
                <w:rFonts w:hint="eastAsia"/>
                <w:b/>
                <w:bCs/>
                <w:color w:val="auto"/>
              </w:rPr>
              <w:t>6、项目工程扩建概况</w:t>
            </w:r>
          </w:p>
          <w:p>
            <w:pPr>
              <w:ind w:firstLine="480"/>
              <w:rPr>
                <w:color w:val="auto"/>
              </w:rPr>
            </w:pPr>
            <w:r>
              <w:rPr>
                <w:rFonts w:hint="eastAsia"/>
                <w:color w:val="auto"/>
              </w:rPr>
              <w:t>根据《衡阳市吉兴垃圾综合处理有限公司衡阳市餐厨废弃物资源化利用和无害化处理工程环境影响报告书》、《衡阳市餐厨废弃物资源化利用和无害化处理项目环境影响变更情况说明》、《衡阳市餐厨废弃物资源化利用和无害化处理项目（一期项目）（水和气）验收监测报告》、《衡阳市餐厨废弃物资源化利用和无害化处理项目环境影响变更情况影响说明》、《衡阳桑德餐厨沼气发电项目环境影响报告表》，本</w:t>
            </w:r>
            <w:r>
              <w:rPr>
                <w:color w:val="auto"/>
              </w:rPr>
              <w:t>项目</w:t>
            </w:r>
            <w:r>
              <w:rPr>
                <w:rFonts w:hint="eastAsia"/>
                <w:color w:val="auto"/>
              </w:rPr>
              <w:t>改扩建前后全厂（包括在建项目）沼气锅炉的具体概况</w:t>
            </w:r>
            <w:r>
              <w:rPr>
                <w:color w:val="auto"/>
              </w:rPr>
              <w:t>详见表2</w:t>
            </w:r>
            <w:r>
              <w:rPr>
                <w:rFonts w:hint="eastAsia"/>
                <w:color w:val="auto"/>
              </w:rPr>
              <w:t>-4</w:t>
            </w:r>
            <w:r>
              <w:rPr>
                <w:color w:val="auto"/>
              </w:rPr>
              <w:t>。</w:t>
            </w:r>
          </w:p>
          <w:p>
            <w:pPr>
              <w:tabs>
                <w:tab w:val="left" w:pos="1072"/>
              </w:tabs>
              <w:spacing w:line="240" w:lineRule="auto"/>
              <w:ind w:firstLine="0" w:firstLineChars="0"/>
              <w:jc w:val="center"/>
              <w:rPr>
                <w:bCs/>
                <w:color w:val="auto"/>
              </w:rPr>
            </w:pPr>
            <w:r>
              <w:rPr>
                <w:b/>
                <w:color w:val="auto"/>
                <w:sz w:val="21"/>
                <w:szCs w:val="21"/>
              </w:rPr>
              <w:t>表</w:t>
            </w:r>
            <w:r>
              <w:rPr>
                <w:rFonts w:hint="eastAsia"/>
                <w:b/>
                <w:color w:val="auto"/>
                <w:sz w:val="21"/>
                <w:szCs w:val="21"/>
              </w:rPr>
              <w:t>2-4改</w:t>
            </w:r>
            <w:r>
              <w:rPr>
                <w:b/>
                <w:color w:val="auto"/>
                <w:sz w:val="21"/>
                <w:szCs w:val="21"/>
              </w:rPr>
              <w:t>扩建前后工程概况对比</w:t>
            </w:r>
            <w:r>
              <w:rPr>
                <w:rFonts w:hint="eastAsia"/>
                <w:b/>
                <w:color w:val="auto"/>
                <w:sz w:val="21"/>
                <w:szCs w:val="21"/>
              </w:rPr>
              <w:t>表</w:t>
            </w:r>
          </w:p>
          <w:tbl>
            <w:tblPr>
              <w:tblStyle w:val="23"/>
              <w:tblW w:w="0" w:type="auto"/>
              <w:jc w:val="center"/>
              <w:tblBorders>
                <w:top w:val="single" w:color="auto" w:sz="4" w:space="0"/>
                <w:left w:val="single" w:color="auto" w:sz="8" w:space="0"/>
                <w:bottom w:val="single" w:color="auto" w:sz="4" w:space="0"/>
                <w:right w:val="single" w:color="auto" w:sz="4" w:space="0"/>
                <w:insideH w:val="single" w:color="auto" w:sz="8" w:space="0"/>
                <w:insideV w:val="single" w:color="auto" w:sz="8" w:space="0"/>
              </w:tblBorders>
              <w:tblLayout w:type="autofit"/>
              <w:tblCellMar>
                <w:top w:w="0" w:type="dxa"/>
                <w:left w:w="108" w:type="dxa"/>
                <w:bottom w:w="0" w:type="dxa"/>
                <w:right w:w="108" w:type="dxa"/>
              </w:tblCellMar>
            </w:tblPr>
            <w:tblGrid>
              <w:gridCol w:w="821"/>
              <w:gridCol w:w="1940"/>
              <w:gridCol w:w="2015"/>
              <w:gridCol w:w="1923"/>
              <w:gridCol w:w="1139"/>
            </w:tblGrid>
            <w:tr>
              <w:tblPrEx>
                <w:tblBorders>
                  <w:top w:val="single" w:color="auto" w:sz="4" w:space="0"/>
                  <w:left w:val="single" w:color="auto" w:sz="8"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22"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主要指标</w:t>
                  </w:r>
                </w:p>
              </w:tc>
              <w:tc>
                <w:tcPr>
                  <w:tcW w:w="1942"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现有工程项目</w:t>
                  </w:r>
                </w:p>
              </w:tc>
              <w:tc>
                <w:tcPr>
                  <w:tcW w:w="2020" w:type="dxa"/>
                  <w:tcBorders>
                    <w:tl2br w:val="nil"/>
                    <w:tr2bl w:val="nil"/>
                  </w:tcBorders>
                  <w:vAlign w:val="center"/>
                </w:tcPr>
                <w:p>
                  <w:pPr>
                    <w:pStyle w:val="37"/>
                    <w:adjustRightInd/>
                    <w:spacing w:line="240" w:lineRule="auto"/>
                    <w:ind w:firstLine="0" w:firstLineChars="0"/>
                    <w:rPr>
                      <w:bCs/>
                      <w:color w:val="auto"/>
                      <w:szCs w:val="21"/>
                    </w:rPr>
                  </w:pPr>
                  <w:r>
                    <w:rPr>
                      <w:rFonts w:hint="eastAsia"/>
                      <w:bCs/>
                      <w:color w:val="auto"/>
                      <w:szCs w:val="21"/>
                    </w:rPr>
                    <w:t>改</w:t>
                  </w:r>
                  <w:r>
                    <w:rPr>
                      <w:bCs/>
                      <w:color w:val="auto"/>
                      <w:szCs w:val="21"/>
                    </w:rPr>
                    <w:t>扩建项目</w:t>
                  </w:r>
                </w:p>
              </w:tc>
              <w:tc>
                <w:tcPr>
                  <w:tcW w:w="1925" w:type="dxa"/>
                  <w:tcBorders>
                    <w:tl2br w:val="nil"/>
                    <w:tr2bl w:val="nil"/>
                  </w:tcBorders>
                  <w:vAlign w:val="center"/>
                </w:tcPr>
                <w:p>
                  <w:pPr>
                    <w:pStyle w:val="37"/>
                    <w:adjustRightInd/>
                    <w:spacing w:line="240" w:lineRule="auto"/>
                    <w:ind w:firstLine="0" w:firstLineChars="0"/>
                    <w:rPr>
                      <w:bCs/>
                      <w:color w:val="auto"/>
                      <w:szCs w:val="21"/>
                    </w:rPr>
                  </w:pPr>
                  <w:r>
                    <w:rPr>
                      <w:rFonts w:hint="eastAsia"/>
                      <w:bCs/>
                      <w:color w:val="auto"/>
                      <w:szCs w:val="21"/>
                    </w:rPr>
                    <w:t>改</w:t>
                  </w:r>
                  <w:r>
                    <w:rPr>
                      <w:bCs/>
                      <w:color w:val="auto"/>
                      <w:szCs w:val="21"/>
                    </w:rPr>
                    <w:t>扩建后项目</w:t>
                  </w:r>
                </w:p>
              </w:tc>
              <w:tc>
                <w:tcPr>
                  <w:tcW w:w="1140"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增减量</w:t>
                  </w:r>
                </w:p>
              </w:tc>
            </w:tr>
            <w:tr>
              <w:tblPrEx>
                <w:tblBorders>
                  <w:top w:val="single" w:color="auto" w:sz="4" w:space="0"/>
                  <w:left w:val="single" w:color="auto" w:sz="8"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22"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工程概况</w:t>
                  </w:r>
                </w:p>
              </w:tc>
              <w:tc>
                <w:tcPr>
                  <w:tcW w:w="1942"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占地面积</w:t>
                  </w:r>
                  <w:r>
                    <w:rPr>
                      <w:rFonts w:hint="eastAsia"/>
                      <w:bCs/>
                      <w:color w:val="auto"/>
                      <w:szCs w:val="21"/>
                    </w:rPr>
                    <w:t>195.50</w:t>
                  </w:r>
                  <w:r>
                    <w:rPr>
                      <w:bCs/>
                      <w:color w:val="auto"/>
                      <w:szCs w:val="21"/>
                    </w:rPr>
                    <w:t>m</w:t>
                  </w:r>
                  <w:r>
                    <w:rPr>
                      <w:bCs/>
                      <w:color w:val="auto"/>
                      <w:szCs w:val="21"/>
                      <w:vertAlign w:val="superscript"/>
                    </w:rPr>
                    <w:t>2</w:t>
                  </w:r>
                  <w:r>
                    <w:rPr>
                      <w:bCs/>
                      <w:color w:val="auto"/>
                      <w:szCs w:val="21"/>
                    </w:rPr>
                    <w:t>，总建筑面积</w:t>
                  </w:r>
                  <w:r>
                    <w:rPr>
                      <w:rFonts w:hint="eastAsia"/>
                      <w:bCs/>
                      <w:color w:val="auto"/>
                    </w:rPr>
                    <w:t>207.06</w:t>
                  </w:r>
                  <w:r>
                    <w:rPr>
                      <w:bCs/>
                      <w:color w:val="auto"/>
                      <w:szCs w:val="21"/>
                    </w:rPr>
                    <w:t>m</w:t>
                  </w:r>
                  <w:r>
                    <w:rPr>
                      <w:bCs/>
                      <w:color w:val="auto"/>
                      <w:szCs w:val="21"/>
                      <w:vertAlign w:val="superscript"/>
                    </w:rPr>
                    <w:t>2</w:t>
                  </w:r>
                </w:p>
              </w:tc>
              <w:tc>
                <w:tcPr>
                  <w:tcW w:w="2020"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不新增占地面积</w:t>
                  </w:r>
                  <w:r>
                    <w:rPr>
                      <w:rFonts w:hint="eastAsia"/>
                      <w:bCs/>
                      <w:color w:val="auto"/>
                      <w:szCs w:val="21"/>
                    </w:rPr>
                    <w:t>和</w:t>
                  </w:r>
                  <w:r>
                    <w:rPr>
                      <w:bCs/>
                      <w:color w:val="auto"/>
                      <w:szCs w:val="21"/>
                    </w:rPr>
                    <w:t>建筑面积</w:t>
                  </w:r>
                </w:p>
              </w:tc>
              <w:tc>
                <w:tcPr>
                  <w:tcW w:w="1925"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占地面积</w:t>
                  </w:r>
                  <w:r>
                    <w:rPr>
                      <w:rFonts w:hint="eastAsia"/>
                      <w:bCs/>
                      <w:color w:val="auto"/>
                      <w:szCs w:val="21"/>
                    </w:rPr>
                    <w:t>195.50</w:t>
                  </w:r>
                  <w:r>
                    <w:rPr>
                      <w:bCs/>
                      <w:color w:val="auto"/>
                      <w:szCs w:val="21"/>
                    </w:rPr>
                    <w:t>m</w:t>
                  </w:r>
                  <w:r>
                    <w:rPr>
                      <w:bCs/>
                      <w:color w:val="auto"/>
                      <w:szCs w:val="21"/>
                      <w:vertAlign w:val="superscript"/>
                    </w:rPr>
                    <w:t>2</w:t>
                  </w:r>
                  <w:r>
                    <w:rPr>
                      <w:bCs/>
                      <w:color w:val="auto"/>
                      <w:szCs w:val="21"/>
                    </w:rPr>
                    <w:t>，总建筑面积</w:t>
                  </w:r>
                  <w:r>
                    <w:rPr>
                      <w:rFonts w:hint="eastAsia"/>
                      <w:bCs/>
                      <w:color w:val="auto"/>
                    </w:rPr>
                    <w:t>207.06</w:t>
                  </w:r>
                  <w:r>
                    <w:rPr>
                      <w:bCs/>
                      <w:color w:val="auto"/>
                      <w:szCs w:val="21"/>
                    </w:rPr>
                    <w:t>m</w:t>
                  </w:r>
                  <w:r>
                    <w:rPr>
                      <w:bCs/>
                      <w:color w:val="auto"/>
                      <w:szCs w:val="21"/>
                      <w:vertAlign w:val="superscript"/>
                    </w:rPr>
                    <w:t>2</w:t>
                  </w:r>
                </w:p>
              </w:tc>
              <w:tc>
                <w:tcPr>
                  <w:tcW w:w="1140" w:type="dxa"/>
                  <w:tcBorders>
                    <w:tl2br w:val="nil"/>
                    <w:tr2bl w:val="nil"/>
                  </w:tcBorders>
                  <w:vAlign w:val="center"/>
                </w:tcPr>
                <w:p>
                  <w:pPr>
                    <w:pStyle w:val="37"/>
                    <w:adjustRightInd/>
                    <w:spacing w:line="240" w:lineRule="auto"/>
                    <w:ind w:firstLine="0" w:firstLineChars="0"/>
                    <w:rPr>
                      <w:bCs/>
                      <w:color w:val="auto"/>
                      <w:szCs w:val="21"/>
                    </w:rPr>
                  </w:pPr>
                  <w:r>
                    <w:rPr>
                      <w:rFonts w:hint="eastAsia"/>
                      <w:bCs/>
                      <w:color w:val="auto"/>
                      <w:szCs w:val="21"/>
                    </w:rPr>
                    <w:t>无</w:t>
                  </w:r>
                </w:p>
              </w:tc>
            </w:tr>
            <w:tr>
              <w:tblPrEx>
                <w:tblBorders>
                  <w:top w:val="single" w:color="auto" w:sz="4" w:space="0"/>
                  <w:left w:val="single" w:color="auto" w:sz="8"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22"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构筑物</w:t>
                  </w:r>
                </w:p>
              </w:tc>
              <w:tc>
                <w:tcPr>
                  <w:tcW w:w="1942"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①生产用房：</w:t>
                  </w:r>
                </w:p>
                <w:p>
                  <w:pPr>
                    <w:pStyle w:val="37"/>
                    <w:adjustRightInd/>
                    <w:spacing w:line="240" w:lineRule="auto"/>
                    <w:ind w:firstLine="0" w:firstLineChars="0"/>
                    <w:rPr>
                      <w:bCs/>
                      <w:color w:val="auto"/>
                      <w:szCs w:val="21"/>
                    </w:rPr>
                  </w:pPr>
                  <w:r>
                    <w:rPr>
                      <w:bCs/>
                      <w:color w:val="auto"/>
                      <w:szCs w:val="21"/>
                    </w:rPr>
                    <w:t>锅炉房（</w:t>
                  </w:r>
                  <w:r>
                    <w:rPr>
                      <w:rFonts w:hint="eastAsia"/>
                      <w:bCs/>
                      <w:color w:val="auto"/>
                    </w:rPr>
                    <w:t>207.06</w:t>
                  </w:r>
                  <w:r>
                    <w:rPr>
                      <w:bCs/>
                      <w:color w:val="auto"/>
                      <w:szCs w:val="21"/>
                    </w:rPr>
                    <w:t>m</w:t>
                  </w:r>
                  <w:r>
                    <w:rPr>
                      <w:bCs/>
                      <w:color w:val="auto"/>
                      <w:szCs w:val="21"/>
                      <w:vertAlign w:val="superscript"/>
                    </w:rPr>
                    <w:t>2</w:t>
                  </w:r>
                  <w:r>
                    <w:rPr>
                      <w:bCs/>
                      <w:color w:val="auto"/>
                      <w:szCs w:val="21"/>
                    </w:rPr>
                    <w:t>）</w:t>
                  </w:r>
                </w:p>
              </w:tc>
              <w:tc>
                <w:tcPr>
                  <w:tcW w:w="2020"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本次改扩建不新增</w:t>
                  </w:r>
                  <w:r>
                    <w:rPr>
                      <w:rFonts w:hint="eastAsia"/>
                      <w:bCs/>
                      <w:color w:val="auto"/>
                      <w:szCs w:val="21"/>
                    </w:rPr>
                    <w:t>构筑物</w:t>
                  </w:r>
                </w:p>
              </w:tc>
              <w:tc>
                <w:tcPr>
                  <w:tcW w:w="1925"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①生产用房：</w:t>
                  </w:r>
                </w:p>
                <w:p>
                  <w:pPr>
                    <w:pStyle w:val="37"/>
                    <w:adjustRightInd/>
                    <w:spacing w:line="240" w:lineRule="auto"/>
                    <w:ind w:firstLine="0" w:firstLineChars="0"/>
                    <w:rPr>
                      <w:bCs/>
                      <w:color w:val="auto"/>
                      <w:szCs w:val="21"/>
                    </w:rPr>
                  </w:pPr>
                  <w:r>
                    <w:rPr>
                      <w:bCs/>
                      <w:color w:val="auto"/>
                      <w:szCs w:val="21"/>
                    </w:rPr>
                    <w:t>锅炉房（</w:t>
                  </w:r>
                  <w:r>
                    <w:rPr>
                      <w:rFonts w:hint="eastAsia"/>
                      <w:bCs/>
                      <w:color w:val="auto"/>
                    </w:rPr>
                    <w:t>207.06</w:t>
                  </w:r>
                  <w:r>
                    <w:rPr>
                      <w:bCs/>
                      <w:color w:val="auto"/>
                      <w:szCs w:val="21"/>
                    </w:rPr>
                    <w:t>m</w:t>
                  </w:r>
                  <w:r>
                    <w:rPr>
                      <w:bCs/>
                      <w:color w:val="auto"/>
                      <w:szCs w:val="21"/>
                      <w:vertAlign w:val="superscript"/>
                    </w:rPr>
                    <w:t>2</w:t>
                  </w:r>
                  <w:r>
                    <w:rPr>
                      <w:bCs/>
                      <w:color w:val="auto"/>
                      <w:szCs w:val="21"/>
                    </w:rPr>
                    <w:t>）</w:t>
                  </w:r>
                </w:p>
              </w:tc>
              <w:tc>
                <w:tcPr>
                  <w:tcW w:w="1140" w:type="dxa"/>
                  <w:tcBorders>
                    <w:tl2br w:val="nil"/>
                    <w:tr2bl w:val="nil"/>
                  </w:tcBorders>
                  <w:vAlign w:val="center"/>
                </w:tcPr>
                <w:p>
                  <w:pPr>
                    <w:pStyle w:val="37"/>
                    <w:adjustRightInd/>
                    <w:spacing w:line="240" w:lineRule="auto"/>
                    <w:ind w:firstLine="0" w:firstLineChars="0"/>
                    <w:rPr>
                      <w:bCs/>
                      <w:color w:val="auto"/>
                      <w:szCs w:val="21"/>
                    </w:rPr>
                  </w:pPr>
                  <w:r>
                    <w:rPr>
                      <w:rFonts w:hint="eastAsia"/>
                      <w:bCs/>
                      <w:color w:val="auto"/>
                      <w:szCs w:val="21"/>
                    </w:rPr>
                    <w:t>无</w:t>
                  </w:r>
                </w:p>
              </w:tc>
            </w:tr>
            <w:tr>
              <w:tblPrEx>
                <w:tblBorders>
                  <w:top w:val="single" w:color="auto" w:sz="4" w:space="0"/>
                  <w:left w:val="single" w:color="auto" w:sz="8"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22"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生产线</w:t>
                  </w:r>
                </w:p>
              </w:tc>
              <w:tc>
                <w:tcPr>
                  <w:tcW w:w="1942" w:type="dxa"/>
                  <w:tcBorders>
                    <w:tl2br w:val="nil"/>
                    <w:tr2bl w:val="nil"/>
                  </w:tcBorders>
                  <w:vAlign w:val="center"/>
                </w:tcPr>
                <w:p>
                  <w:pPr>
                    <w:pStyle w:val="37"/>
                    <w:adjustRightInd/>
                    <w:spacing w:line="240" w:lineRule="auto"/>
                    <w:ind w:firstLine="0" w:firstLineChars="0"/>
                    <w:rPr>
                      <w:bCs/>
                      <w:color w:val="auto"/>
                      <w:szCs w:val="21"/>
                    </w:rPr>
                  </w:pPr>
                  <w:r>
                    <w:rPr>
                      <w:rFonts w:hint="eastAsia"/>
                      <w:bCs/>
                      <w:color w:val="auto"/>
                      <w:szCs w:val="21"/>
                    </w:rPr>
                    <w:t>2台</w:t>
                  </w:r>
                  <w:r>
                    <w:rPr>
                      <w:rFonts w:hint="eastAsia"/>
                      <w:color w:val="auto"/>
                    </w:rPr>
                    <w:t>2t/h沼气锅炉，一备一用</w:t>
                  </w:r>
                </w:p>
              </w:tc>
              <w:tc>
                <w:tcPr>
                  <w:tcW w:w="2020"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淘汰</w:t>
                  </w:r>
                  <w:r>
                    <w:rPr>
                      <w:rFonts w:hint="eastAsia"/>
                      <w:bCs/>
                      <w:color w:val="auto"/>
                      <w:szCs w:val="21"/>
                    </w:rPr>
                    <w:t>使用的</w:t>
                  </w:r>
                  <w:r>
                    <w:rPr>
                      <w:rFonts w:hint="eastAsia"/>
                      <w:color w:val="auto"/>
                    </w:rPr>
                    <w:t>2t/h</w:t>
                  </w:r>
                  <w:r>
                    <w:rPr>
                      <w:rFonts w:hint="eastAsia"/>
                      <w:bCs/>
                      <w:color w:val="auto"/>
                      <w:szCs w:val="21"/>
                    </w:rPr>
                    <w:t>沼气锅炉</w:t>
                  </w:r>
                  <w:r>
                    <w:rPr>
                      <w:bCs/>
                      <w:color w:val="auto"/>
                      <w:szCs w:val="21"/>
                    </w:rPr>
                    <w:t>，</w:t>
                  </w:r>
                  <w:r>
                    <w:rPr>
                      <w:rFonts w:hint="eastAsia"/>
                      <w:bCs/>
                      <w:color w:val="auto"/>
                      <w:szCs w:val="21"/>
                    </w:rPr>
                    <w:t>保留备用锅炉，新增1台3t/h沼气锅炉</w:t>
                  </w:r>
                  <w:r>
                    <w:rPr>
                      <w:bCs/>
                      <w:color w:val="auto"/>
                      <w:szCs w:val="21"/>
                    </w:rPr>
                    <w:t>，</w:t>
                  </w:r>
                  <w:r>
                    <w:rPr>
                      <w:rFonts w:hint="eastAsia"/>
                      <w:bCs/>
                      <w:color w:val="auto"/>
                      <w:szCs w:val="21"/>
                    </w:rPr>
                    <w:t>加大沼气利用率</w:t>
                  </w:r>
                </w:p>
              </w:tc>
              <w:tc>
                <w:tcPr>
                  <w:tcW w:w="1925" w:type="dxa"/>
                  <w:tcBorders>
                    <w:tl2br w:val="nil"/>
                    <w:tr2bl w:val="nil"/>
                  </w:tcBorders>
                  <w:vAlign w:val="center"/>
                </w:tcPr>
                <w:p>
                  <w:pPr>
                    <w:pStyle w:val="12"/>
                    <w:spacing w:line="240" w:lineRule="auto"/>
                    <w:ind w:firstLine="0" w:firstLineChars="0"/>
                    <w:rPr>
                      <w:bCs/>
                      <w:color w:val="auto"/>
                      <w:sz w:val="21"/>
                      <w:szCs w:val="21"/>
                    </w:rPr>
                  </w:pPr>
                  <w:r>
                    <w:rPr>
                      <w:rFonts w:hint="eastAsia"/>
                      <w:color w:val="auto"/>
                      <w:sz w:val="21"/>
                      <w:szCs w:val="21"/>
                    </w:rPr>
                    <w:t>1台3t/h沼气锅炉，1台2t/h沼气锅炉，一备一用</w:t>
                  </w:r>
                </w:p>
              </w:tc>
              <w:tc>
                <w:tcPr>
                  <w:tcW w:w="1140"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减少1台2t/h沼气锅炉，新增1台3t/h沼气锅炉</w:t>
                  </w:r>
                </w:p>
              </w:tc>
            </w:tr>
            <w:tr>
              <w:tblPrEx>
                <w:tblBorders>
                  <w:top w:val="single" w:color="auto" w:sz="4" w:space="0"/>
                  <w:left w:val="single" w:color="auto" w:sz="8"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22"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主要产品及产量</w:t>
                  </w:r>
                </w:p>
              </w:tc>
              <w:tc>
                <w:tcPr>
                  <w:tcW w:w="1942"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年</w:t>
                  </w:r>
                  <w:r>
                    <w:rPr>
                      <w:rFonts w:hint="eastAsia"/>
                      <w:bCs/>
                      <w:color w:val="auto"/>
                      <w:szCs w:val="21"/>
                    </w:rPr>
                    <w:t>处理沼气量约71.28</w:t>
                  </w:r>
                  <w:r>
                    <w:rPr>
                      <w:color w:val="auto"/>
                    </w:rPr>
                    <w:t>万m</w:t>
                  </w:r>
                  <w:r>
                    <w:rPr>
                      <w:rFonts w:hint="eastAsia"/>
                      <w:color w:val="auto"/>
                      <w:vertAlign w:val="superscript"/>
                    </w:rPr>
                    <w:t>3</w:t>
                  </w:r>
                </w:p>
              </w:tc>
              <w:tc>
                <w:tcPr>
                  <w:tcW w:w="2020" w:type="dxa"/>
                  <w:tcBorders>
                    <w:tl2br w:val="nil"/>
                    <w:tr2bl w:val="nil"/>
                  </w:tcBorders>
                  <w:vAlign w:val="center"/>
                </w:tcPr>
                <w:p>
                  <w:pPr>
                    <w:pStyle w:val="37"/>
                    <w:adjustRightInd/>
                    <w:spacing w:line="240" w:lineRule="auto"/>
                    <w:ind w:firstLine="0" w:firstLineChars="0"/>
                    <w:rPr>
                      <w:bCs/>
                      <w:color w:val="auto"/>
                      <w:szCs w:val="21"/>
                    </w:rPr>
                  </w:pPr>
                  <w:r>
                    <w:rPr>
                      <w:rFonts w:hint="eastAsia"/>
                      <w:bCs/>
                      <w:color w:val="auto"/>
                      <w:szCs w:val="21"/>
                    </w:rPr>
                    <w:t>沼气利用量增加67.419</w:t>
                  </w:r>
                  <w:r>
                    <w:rPr>
                      <w:color w:val="auto"/>
                    </w:rPr>
                    <w:t>万m</w:t>
                  </w:r>
                  <w:r>
                    <w:rPr>
                      <w:rFonts w:hint="eastAsia"/>
                      <w:color w:val="auto"/>
                      <w:vertAlign w:val="superscript"/>
                    </w:rPr>
                    <w:t>3</w:t>
                  </w:r>
                </w:p>
              </w:tc>
              <w:tc>
                <w:tcPr>
                  <w:tcW w:w="1925"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年</w:t>
                  </w:r>
                  <w:r>
                    <w:rPr>
                      <w:rFonts w:hint="eastAsia"/>
                      <w:bCs/>
                      <w:color w:val="auto"/>
                      <w:szCs w:val="21"/>
                    </w:rPr>
                    <w:t>处理沼气量约138.699</w:t>
                  </w:r>
                  <w:r>
                    <w:rPr>
                      <w:color w:val="auto"/>
                    </w:rPr>
                    <w:t>万m</w:t>
                  </w:r>
                  <w:r>
                    <w:rPr>
                      <w:rFonts w:hint="eastAsia"/>
                      <w:color w:val="auto"/>
                      <w:vertAlign w:val="superscript"/>
                    </w:rPr>
                    <w:t>3</w:t>
                  </w:r>
                </w:p>
              </w:tc>
              <w:tc>
                <w:tcPr>
                  <w:tcW w:w="1140" w:type="dxa"/>
                  <w:tcBorders>
                    <w:tl2br w:val="nil"/>
                    <w:tr2bl w:val="nil"/>
                  </w:tcBorders>
                  <w:vAlign w:val="center"/>
                </w:tcPr>
                <w:p>
                  <w:pPr>
                    <w:pStyle w:val="37"/>
                    <w:adjustRightInd/>
                    <w:spacing w:line="240" w:lineRule="auto"/>
                    <w:ind w:firstLine="0" w:firstLineChars="0"/>
                    <w:rPr>
                      <w:bCs/>
                      <w:color w:val="auto"/>
                      <w:szCs w:val="21"/>
                    </w:rPr>
                  </w:pPr>
                  <w:r>
                    <w:rPr>
                      <w:rFonts w:hint="eastAsia"/>
                      <w:bCs/>
                      <w:color w:val="auto"/>
                      <w:szCs w:val="21"/>
                    </w:rPr>
                    <w:t>沼气年处理量处理量增加67.419</w:t>
                  </w:r>
                  <w:r>
                    <w:rPr>
                      <w:color w:val="auto"/>
                    </w:rPr>
                    <w:t>万m</w:t>
                  </w:r>
                  <w:r>
                    <w:rPr>
                      <w:rFonts w:hint="eastAsia"/>
                      <w:color w:val="auto"/>
                      <w:vertAlign w:val="superscript"/>
                    </w:rPr>
                    <w:t>3</w:t>
                  </w:r>
                </w:p>
              </w:tc>
            </w:tr>
            <w:tr>
              <w:tblPrEx>
                <w:tblBorders>
                  <w:top w:val="single" w:color="auto" w:sz="4" w:space="0"/>
                  <w:left w:val="single" w:color="auto" w:sz="8"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22"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员工人数及工作制度</w:t>
                  </w:r>
                </w:p>
              </w:tc>
              <w:tc>
                <w:tcPr>
                  <w:tcW w:w="1942"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员工</w:t>
                  </w:r>
                  <w:r>
                    <w:rPr>
                      <w:rFonts w:hint="eastAsia"/>
                      <w:bCs/>
                      <w:color w:val="auto"/>
                      <w:szCs w:val="21"/>
                    </w:rPr>
                    <w:t>3</w:t>
                  </w:r>
                  <w:r>
                    <w:rPr>
                      <w:bCs/>
                      <w:color w:val="auto"/>
                      <w:szCs w:val="21"/>
                    </w:rPr>
                    <w:t>人，年工作3</w:t>
                  </w:r>
                  <w:r>
                    <w:rPr>
                      <w:rFonts w:hint="eastAsia"/>
                      <w:bCs/>
                      <w:color w:val="auto"/>
                      <w:szCs w:val="21"/>
                    </w:rPr>
                    <w:t>30</w:t>
                  </w:r>
                  <w:r>
                    <w:rPr>
                      <w:bCs/>
                      <w:color w:val="auto"/>
                      <w:szCs w:val="21"/>
                    </w:rPr>
                    <w:t>天，</w:t>
                  </w:r>
                  <w:r>
                    <w:rPr>
                      <w:rFonts w:hint="eastAsia"/>
                      <w:color w:val="auto"/>
                    </w:rPr>
                    <w:t>总工作时间</w:t>
                  </w:r>
                  <w:r>
                    <w:rPr>
                      <w:rFonts w:hint="eastAsia"/>
                      <w:color w:val="auto"/>
                    </w:rPr>
                    <w:t>为</w:t>
                  </w:r>
                  <w:r>
                    <w:rPr>
                      <w:rFonts w:hint="eastAsia"/>
                      <w:color w:val="auto"/>
                      <w:lang w:val="en-US" w:eastAsia="zh-CN"/>
                    </w:rPr>
                    <w:t>7920</w:t>
                  </w:r>
                  <w:r>
                    <w:rPr>
                      <w:rFonts w:hint="eastAsia"/>
                      <w:color w:val="auto"/>
                    </w:rPr>
                    <w:t>天</w:t>
                  </w:r>
                  <w:r>
                    <w:rPr>
                      <w:rFonts w:hint="eastAsia"/>
                      <w:color w:val="auto"/>
                    </w:rPr>
                    <w:t>。</w:t>
                  </w:r>
                </w:p>
              </w:tc>
              <w:tc>
                <w:tcPr>
                  <w:tcW w:w="2020" w:type="dxa"/>
                  <w:tcBorders>
                    <w:tl2br w:val="nil"/>
                    <w:tr2bl w:val="nil"/>
                  </w:tcBorders>
                  <w:vAlign w:val="center"/>
                </w:tcPr>
                <w:p>
                  <w:pPr>
                    <w:pStyle w:val="37"/>
                    <w:adjustRightInd/>
                    <w:spacing w:line="240" w:lineRule="auto"/>
                    <w:ind w:firstLine="0" w:firstLineChars="0"/>
                    <w:rPr>
                      <w:bCs/>
                      <w:color w:val="auto"/>
                      <w:szCs w:val="21"/>
                    </w:rPr>
                  </w:pPr>
                  <w:r>
                    <w:rPr>
                      <w:bCs/>
                      <w:color w:val="auto"/>
                      <w:szCs w:val="21"/>
                    </w:rPr>
                    <w:t>本次</w:t>
                  </w:r>
                  <w:r>
                    <w:rPr>
                      <w:rFonts w:hint="eastAsia"/>
                      <w:bCs/>
                      <w:color w:val="auto"/>
                      <w:szCs w:val="21"/>
                    </w:rPr>
                    <w:t>改</w:t>
                  </w:r>
                  <w:r>
                    <w:rPr>
                      <w:bCs/>
                      <w:color w:val="auto"/>
                      <w:szCs w:val="21"/>
                    </w:rPr>
                    <w:t>扩建不新增职工</w:t>
                  </w:r>
                  <w:r>
                    <w:rPr>
                      <w:rFonts w:hint="eastAsia"/>
                      <w:bCs/>
                      <w:color w:val="auto"/>
                      <w:szCs w:val="21"/>
                    </w:rPr>
                    <w:t>。</w:t>
                  </w:r>
                </w:p>
              </w:tc>
              <w:tc>
                <w:tcPr>
                  <w:tcW w:w="1925" w:type="dxa"/>
                  <w:tcBorders>
                    <w:tl2br w:val="nil"/>
                    <w:tr2bl w:val="nil"/>
                  </w:tcBorders>
                  <w:vAlign w:val="center"/>
                </w:tcPr>
                <w:p>
                  <w:pPr>
                    <w:pStyle w:val="37"/>
                    <w:adjustRightInd/>
                    <w:spacing w:line="240" w:lineRule="auto"/>
                    <w:ind w:firstLine="0" w:firstLineChars="0"/>
                    <w:rPr>
                      <w:bCs/>
                      <w:color w:val="auto"/>
                      <w:szCs w:val="21"/>
                    </w:rPr>
                  </w:pPr>
                  <w:r>
                    <w:rPr>
                      <w:rFonts w:hint="eastAsia"/>
                      <w:color w:val="auto"/>
                    </w:rPr>
                    <w:t>本项目不新增劳动定员，年工作330天，总工作时间为</w:t>
                  </w:r>
                  <w:r>
                    <w:rPr>
                      <w:rFonts w:hint="eastAsia"/>
                      <w:color w:val="auto"/>
                      <w:lang w:val="en-US" w:eastAsia="zh-CN"/>
                    </w:rPr>
                    <w:t>7920</w:t>
                  </w:r>
                  <w:r>
                    <w:rPr>
                      <w:rFonts w:hint="eastAsia"/>
                      <w:color w:val="auto"/>
                    </w:rPr>
                    <w:t>天</w:t>
                  </w:r>
                  <w:r>
                    <w:rPr>
                      <w:rFonts w:hint="eastAsia"/>
                      <w:color w:val="auto"/>
                    </w:rPr>
                    <w:t>。</w:t>
                  </w:r>
                </w:p>
              </w:tc>
              <w:tc>
                <w:tcPr>
                  <w:tcW w:w="1140" w:type="dxa"/>
                  <w:tcBorders>
                    <w:tl2br w:val="nil"/>
                    <w:tr2bl w:val="nil"/>
                  </w:tcBorders>
                  <w:vAlign w:val="center"/>
                </w:tcPr>
                <w:p>
                  <w:pPr>
                    <w:pStyle w:val="37"/>
                    <w:adjustRightInd/>
                    <w:spacing w:line="240" w:lineRule="auto"/>
                    <w:ind w:firstLine="0" w:firstLineChars="0"/>
                    <w:rPr>
                      <w:bCs/>
                      <w:color w:val="auto"/>
                      <w:szCs w:val="21"/>
                    </w:rPr>
                  </w:pPr>
                  <w:r>
                    <w:rPr>
                      <w:rFonts w:hint="eastAsia"/>
                      <w:bCs/>
                      <w:color w:val="auto"/>
                      <w:szCs w:val="21"/>
                    </w:rPr>
                    <w:t>无</w:t>
                  </w:r>
                </w:p>
              </w:tc>
            </w:tr>
          </w:tbl>
          <w:p>
            <w:pPr>
              <w:ind w:firstLine="0" w:firstLineChars="0"/>
              <w:rPr>
                <w:b/>
                <w:bCs/>
                <w:color w:val="auto"/>
              </w:rPr>
            </w:pPr>
            <w:r>
              <w:rPr>
                <w:rFonts w:hint="eastAsia"/>
                <w:b/>
                <w:bCs/>
                <w:color w:val="auto"/>
              </w:rPr>
              <w:t>7、项目主要生产设备</w:t>
            </w:r>
          </w:p>
          <w:p>
            <w:pPr>
              <w:ind w:firstLine="480"/>
              <w:rPr>
                <w:color w:val="auto"/>
              </w:rPr>
            </w:pPr>
            <w:r>
              <w:rPr>
                <w:rFonts w:hint="eastAsia"/>
                <w:color w:val="auto"/>
              </w:rPr>
              <w:t>改扩建前后的</w:t>
            </w:r>
            <w:r>
              <w:rPr>
                <w:color w:val="auto"/>
              </w:rPr>
              <w:t>主要</w:t>
            </w:r>
            <w:r>
              <w:rPr>
                <w:rFonts w:hint="eastAsia"/>
                <w:color w:val="auto"/>
              </w:rPr>
              <w:t>生产</w:t>
            </w:r>
            <w:r>
              <w:rPr>
                <w:color w:val="auto"/>
              </w:rPr>
              <w:t>设备</w:t>
            </w:r>
            <w:r>
              <w:rPr>
                <w:rFonts w:hint="eastAsia"/>
                <w:color w:val="auto"/>
              </w:rPr>
              <w:t>情况</w:t>
            </w:r>
            <w:r>
              <w:rPr>
                <w:color w:val="auto"/>
              </w:rPr>
              <w:t>见表2-</w:t>
            </w:r>
            <w:r>
              <w:rPr>
                <w:rFonts w:hint="eastAsia"/>
                <w:color w:val="auto"/>
              </w:rPr>
              <w:t>5</w:t>
            </w:r>
            <w:r>
              <w:rPr>
                <w:color w:val="auto"/>
              </w:rPr>
              <w:t>。</w:t>
            </w:r>
          </w:p>
          <w:p>
            <w:pPr>
              <w:pStyle w:val="32"/>
              <w:rPr>
                <w:color w:val="auto"/>
                <w:szCs w:val="18"/>
              </w:rPr>
            </w:pPr>
            <w:r>
              <w:rPr>
                <w:color w:val="auto"/>
                <w:szCs w:val="18"/>
              </w:rPr>
              <w:t>表2-</w:t>
            </w:r>
            <w:r>
              <w:rPr>
                <w:rFonts w:hint="eastAsia"/>
                <w:color w:val="auto"/>
                <w:szCs w:val="18"/>
              </w:rPr>
              <w:t>5  本项目</w:t>
            </w:r>
            <w:r>
              <w:rPr>
                <w:color w:val="auto"/>
                <w:szCs w:val="18"/>
              </w:rPr>
              <w:t>主要设备一览表</w:t>
            </w:r>
            <w:r>
              <w:rPr>
                <w:rFonts w:hint="eastAsia"/>
                <w:color w:val="auto"/>
                <w:szCs w:val="18"/>
              </w:rPr>
              <w:t>（单位：t/h）</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0"/>
              <w:gridCol w:w="877"/>
              <w:gridCol w:w="490"/>
              <w:gridCol w:w="1834"/>
              <w:gridCol w:w="877"/>
              <w:gridCol w:w="877"/>
              <w:gridCol w:w="564"/>
              <w:gridCol w:w="1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1"/>
                    <w:rPr>
                      <w:bCs w:val="0"/>
                      <w:color w:val="auto"/>
                    </w:rPr>
                  </w:pPr>
                  <w:r>
                    <w:rPr>
                      <w:rFonts w:hint="eastAsia"/>
                      <w:bCs w:val="0"/>
                      <w:color w:val="auto"/>
                    </w:rPr>
                    <w:t>序号</w:t>
                  </w:r>
                </w:p>
              </w:tc>
              <w:tc>
                <w:tcPr>
                  <w:tcW w:w="0" w:type="auto"/>
                  <w:vAlign w:val="center"/>
                </w:tcPr>
                <w:p>
                  <w:pPr>
                    <w:pStyle w:val="31"/>
                    <w:rPr>
                      <w:bCs w:val="0"/>
                      <w:color w:val="auto"/>
                    </w:rPr>
                  </w:pPr>
                  <w:r>
                    <w:rPr>
                      <w:rFonts w:hint="eastAsia"/>
                      <w:bCs w:val="0"/>
                      <w:color w:val="auto"/>
                    </w:rPr>
                    <w:t>设备名称</w:t>
                  </w:r>
                </w:p>
              </w:tc>
              <w:tc>
                <w:tcPr>
                  <w:tcW w:w="0" w:type="auto"/>
                  <w:vAlign w:val="center"/>
                </w:tcPr>
                <w:p>
                  <w:pPr>
                    <w:pStyle w:val="31"/>
                    <w:rPr>
                      <w:bCs w:val="0"/>
                      <w:color w:val="auto"/>
                    </w:rPr>
                  </w:pPr>
                  <w:r>
                    <w:rPr>
                      <w:rFonts w:hint="eastAsia"/>
                      <w:bCs w:val="0"/>
                      <w:color w:val="auto"/>
                    </w:rPr>
                    <w:t>单位</w:t>
                  </w:r>
                </w:p>
              </w:tc>
              <w:tc>
                <w:tcPr>
                  <w:tcW w:w="0" w:type="auto"/>
                  <w:vAlign w:val="center"/>
                </w:tcPr>
                <w:p>
                  <w:pPr>
                    <w:pStyle w:val="31"/>
                    <w:rPr>
                      <w:bCs w:val="0"/>
                      <w:color w:val="auto"/>
                    </w:rPr>
                  </w:pPr>
                  <w:r>
                    <w:rPr>
                      <w:rFonts w:hint="eastAsia"/>
                      <w:bCs w:val="0"/>
                      <w:color w:val="auto"/>
                    </w:rPr>
                    <w:t>规格型号</w:t>
                  </w:r>
                </w:p>
              </w:tc>
              <w:tc>
                <w:tcPr>
                  <w:tcW w:w="0" w:type="auto"/>
                  <w:vAlign w:val="center"/>
                </w:tcPr>
                <w:p>
                  <w:pPr>
                    <w:pStyle w:val="31"/>
                    <w:rPr>
                      <w:bCs w:val="0"/>
                      <w:color w:val="auto"/>
                    </w:rPr>
                  </w:pPr>
                  <w:r>
                    <w:rPr>
                      <w:rFonts w:hint="eastAsia"/>
                      <w:bCs w:val="0"/>
                      <w:color w:val="auto"/>
                    </w:rPr>
                    <w:t>改扩建前全厂数量</w:t>
                  </w:r>
                </w:p>
              </w:tc>
              <w:tc>
                <w:tcPr>
                  <w:tcW w:w="0" w:type="auto"/>
                  <w:vAlign w:val="center"/>
                </w:tcPr>
                <w:p>
                  <w:pPr>
                    <w:pStyle w:val="31"/>
                    <w:rPr>
                      <w:bCs w:val="0"/>
                      <w:color w:val="auto"/>
                    </w:rPr>
                  </w:pPr>
                  <w:r>
                    <w:rPr>
                      <w:rFonts w:hint="eastAsia"/>
                      <w:bCs w:val="0"/>
                      <w:color w:val="auto"/>
                    </w:rPr>
                    <w:t>改扩建后全厂数量</w:t>
                  </w:r>
                </w:p>
              </w:tc>
              <w:tc>
                <w:tcPr>
                  <w:tcW w:w="0" w:type="auto"/>
                  <w:vAlign w:val="center"/>
                </w:tcPr>
                <w:p>
                  <w:pPr>
                    <w:pStyle w:val="31"/>
                    <w:rPr>
                      <w:color w:val="auto"/>
                      <w:szCs w:val="21"/>
                    </w:rPr>
                  </w:pPr>
                  <w:r>
                    <w:rPr>
                      <w:rFonts w:hint="eastAsia"/>
                      <w:color w:val="auto"/>
                      <w:szCs w:val="21"/>
                    </w:rPr>
                    <w:t>增减量</w:t>
                  </w:r>
                </w:p>
              </w:tc>
              <w:tc>
                <w:tcPr>
                  <w:tcW w:w="0" w:type="auto"/>
                  <w:vAlign w:val="center"/>
                </w:tcPr>
                <w:p>
                  <w:pPr>
                    <w:pStyle w:val="31"/>
                    <w:rPr>
                      <w:bCs w:val="0"/>
                      <w:color w:val="auto"/>
                    </w:rPr>
                  </w:pPr>
                  <w:r>
                    <w:rPr>
                      <w:rFonts w:hint="eastAsia"/>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gridSpan w:val="8"/>
                  <w:vAlign w:val="center"/>
                </w:tcPr>
                <w:p>
                  <w:pPr>
                    <w:pStyle w:val="31"/>
                    <w:rPr>
                      <w:bCs w:val="0"/>
                      <w:color w:val="auto"/>
                    </w:rPr>
                  </w:pPr>
                  <w:r>
                    <w:rPr>
                      <w:rFonts w:hint="eastAsia"/>
                      <w:bCs w:val="0"/>
                      <w:color w:val="auto"/>
                    </w:rPr>
                    <w:t>本项目设备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1"/>
                    <w:rPr>
                      <w:bCs w:val="0"/>
                      <w:color w:val="auto"/>
                    </w:rPr>
                  </w:pPr>
                  <w:r>
                    <w:rPr>
                      <w:rFonts w:hint="eastAsia"/>
                      <w:bCs w:val="0"/>
                      <w:color w:val="auto"/>
                    </w:rPr>
                    <w:t>1</w:t>
                  </w:r>
                </w:p>
              </w:tc>
              <w:tc>
                <w:tcPr>
                  <w:tcW w:w="0" w:type="auto"/>
                  <w:vAlign w:val="center"/>
                </w:tcPr>
                <w:p>
                  <w:pPr>
                    <w:pStyle w:val="31"/>
                    <w:rPr>
                      <w:color w:val="auto"/>
                    </w:rPr>
                  </w:pPr>
                  <w:r>
                    <w:rPr>
                      <w:rFonts w:hint="eastAsia"/>
                      <w:color w:val="auto"/>
                    </w:rPr>
                    <w:t>沼气锅炉</w:t>
                  </w:r>
                </w:p>
              </w:tc>
              <w:tc>
                <w:tcPr>
                  <w:tcW w:w="0" w:type="auto"/>
                  <w:vAlign w:val="center"/>
                </w:tcPr>
                <w:p>
                  <w:pPr>
                    <w:pStyle w:val="31"/>
                    <w:rPr>
                      <w:color w:val="auto"/>
                    </w:rPr>
                  </w:pPr>
                  <w:r>
                    <w:rPr>
                      <w:rFonts w:hint="eastAsia"/>
                      <w:color w:val="auto"/>
                    </w:rPr>
                    <w:t>台</w:t>
                  </w:r>
                </w:p>
              </w:tc>
              <w:tc>
                <w:tcPr>
                  <w:tcW w:w="0" w:type="auto"/>
                  <w:vAlign w:val="center"/>
                </w:tcPr>
                <w:p>
                  <w:pPr>
                    <w:pStyle w:val="31"/>
                    <w:rPr>
                      <w:color w:val="auto"/>
                    </w:rPr>
                  </w:pPr>
                  <w:r>
                    <w:rPr>
                      <w:rFonts w:hint="eastAsia"/>
                      <w:color w:val="auto"/>
                    </w:rPr>
                    <w:t>WS3-1.0Y(Q)超低氮型、3t/h</w:t>
                  </w:r>
                </w:p>
              </w:tc>
              <w:tc>
                <w:tcPr>
                  <w:tcW w:w="0" w:type="auto"/>
                  <w:vAlign w:val="center"/>
                </w:tcPr>
                <w:p>
                  <w:pPr>
                    <w:pStyle w:val="31"/>
                    <w:rPr>
                      <w:color w:val="auto"/>
                    </w:rPr>
                  </w:pPr>
                  <w:r>
                    <w:rPr>
                      <w:rFonts w:hint="eastAsia"/>
                      <w:color w:val="auto"/>
                    </w:rPr>
                    <w:t>0</w:t>
                  </w:r>
                </w:p>
              </w:tc>
              <w:tc>
                <w:tcPr>
                  <w:tcW w:w="0" w:type="auto"/>
                  <w:vAlign w:val="center"/>
                </w:tcPr>
                <w:p>
                  <w:pPr>
                    <w:pStyle w:val="31"/>
                    <w:rPr>
                      <w:color w:val="auto"/>
                    </w:rPr>
                  </w:pPr>
                  <w:r>
                    <w:rPr>
                      <w:rFonts w:hint="eastAsia"/>
                      <w:color w:val="auto"/>
                    </w:rPr>
                    <w:t>1</w:t>
                  </w:r>
                </w:p>
              </w:tc>
              <w:tc>
                <w:tcPr>
                  <w:tcW w:w="0" w:type="auto"/>
                  <w:vAlign w:val="center"/>
                </w:tcPr>
                <w:p>
                  <w:pPr>
                    <w:pStyle w:val="31"/>
                    <w:rPr>
                      <w:bCs w:val="0"/>
                      <w:color w:val="auto"/>
                    </w:rPr>
                  </w:pPr>
                  <w:r>
                    <w:rPr>
                      <w:rFonts w:hint="eastAsia"/>
                      <w:bCs w:val="0"/>
                      <w:color w:val="auto"/>
                    </w:rPr>
                    <w:t>+1</w:t>
                  </w:r>
                </w:p>
              </w:tc>
              <w:tc>
                <w:tcPr>
                  <w:tcW w:w="0" w:type="auto"/>
                  <w:vAlign w:val="center"/>
                </w:tcPr>
                <w:p>
                  <w:pPr>
                    <w:pStyle w:val="31"/>
                    <w:rPr>
                      <w:color w:val="auto"/>
                    </w:rPr>
                  </w:pPr>
                  <w:r>
                    <w:rPr>
                      <w:rFonts w:hint="eastAsia"/>
                      <w:bCs w:val="0"/>
                      <w:color w:val="auto"/>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1"/>
                    <w:rPr>
                      <w:bCs w:val="0"/>
                      <w:color w:val="auto"/>
                    </w:rPr>
                  </w:pPr>
                  <w:r>
                    <w:rPr>
                      <w:rFonts w:hint="eastAsia"/>
                      <w:bCs w:val="0"/>
                      <w:color w:val="auto"/>
                    </w:rPr>
                    <w:t>2</w:t>
                  </w:r>
                </w:p>
              </w:tc>
              <w:tc>
                <w:tcPr>
                  <w:tcW w:w="0" w:type="auto"/>
                  <w:vAlign w:val="center"/>
                </w:tcPr>
                <w:p>
                  <w:pPr>
                    <w:pStyle w:val="31"/>
                    <w:rPr>
                      <w:color w:val="auto"/>
                    </w:rPr>
                  </w:pPr>
                  <w:r>
                    <w:rPr>
                      <w:rFonts w:hint="eastAsia"/>
                      <w:color w:val="auto"/>
                    </w:rPr>
                    <w:t>燃烧机</w:t>
                  </w:r>
                </w:p>
              </w:tc>
              <w:tc>
                <w:tcPr>
                  <w:tcW w:w="0" w:type="auto"/>
                  <w:vAlign w:val="center"/>
                </w:tcPr>
                <w:p>
                  <w:pPr>
                    <w:pStyle w:val="31"/>
                    <w:rPr>
                      <w:color w:val="auto"/>
                    </w:rPr>
                  </w:pPr>
                  <w:r>
                    <w:rPr>
                      <w:rFonts w:hint="eastAsia"/>
                      <w:color w:val="auto"/>
                    </w:rPr>
                    <w:t>台</w:t>
                  </w:r>
                </w:p>
              </w:tc>
              <w:tc>
                <w:tcPr>
                  <w:tcW w:w="0" w:type="auto"/>
                  <w:vAlign w:val="center"/>
                </w:tcPr>
                <w:p>
                  <w:pPr>
                    <w:pStyle w:val="31"/>
                    <w:rPr>
                      <w:color w:val="auto"/>
                    </w:rPr>
                  </w:pPr>
                  <w:r>
                    <w:rPr>
                      <w:rFonts w:hint="eastAsia"/>
                      <w:color w:val="auto"/>
                    </w:rPr>
                    <w:t>/</w:t>
                  </w:r>
                </w:p>
              </w:tc>
              <w:tc>
                <w:tcPr>
                  <w:tcW w:w="0" w:type="auto"/>
                  <w:vAlign w:val="center"/>
                </w:tcPr>
                <w:p>
                  <w:pPr>
                    <w:pStyle w:val="31"/>
                    <w:rPr>
                      <w:color w:val="auto"/>
                    </w:rPr>
                  </w:pPr>
                  <w:r>
                    <w:rPr>
                      <w:rFonts w:hint="eastAsia"/>
                      <w:color w:val="auto"/>
                    </w:rPr>
                    <w:t>0</w:t>
                  </w:r>
                </w:p>
              </w:tc>
              <w:tc>
                <w:tcPr>
                  <w:tcW w:w="0" w:type="auto"/>
                  <w:vAlign w:val="center"/>
                </w:tcPr>
                <w:p>
                  <w:pPr>
                    <w:pStyle w:val="31"/>
                    <w:rPr>
                      <w:color w:val="auto"/>
                    </w:rPr>
                  </w:pPr>
                  <w:r>
                    <w:rPr>
                      <w:rFonts w:hint="eastAsia"/>
                      <w:color w:val="auto"/>
                    </w:rPr>
                    <w:t>1</w:t>
                  </w:r>
                </w:p>
              </w:tc>
              <w:tc>
                <w:tcPr>
                  <w:tcW w:w="0" w:type="auto"/>
                  <w:vAlign w:val="center"/>
                </w:tcPr>
                <w:p>
                  <w:pPr>
                    <w:pStyle w:val="31"/>
                    <w:rPr>
                      <w:color w:val="auto"/>
                    </w:rPr>
                  </w:pPr>
                  <w:r>
                    <w:rPr>
                      <w:rFonts w:hint="eastAsia"/>
                      <w:color w:val="auto"/>
                    </w:rPr>
                    <w:t>+1</w:t>
                  </w:r>
                </w:p>
              </w:tc>
              <w:tc>
                <w:tcPr>
                  <w:tcW w:w="0" w:type="auto"/>
                  <w:vAlign w:val="center"/>
                </w:tcPr>
                <w:p>
                  <w:pPr>
                    <w:pStyle w:val="31"/>
                    <w:rPr>
                      <w:color w:val="auto"/>
                    </w:rPr>
                  </w:pPr>
                  <w:r>
                    <w:rPr>
                      <w:rFonts w:hint="eastAsia"/>
                      <w:color w:val="auto"/>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1"/>
                    <w:rPr>
                      <w:bCs w:val="0"/>
                      <w:color w:val="auto"/>
                    </w:rPr>
                  </w:pPr>
                  <w:r>
                    <w:rPr>
                      <w:rFonts w:hint="eastAsia"/>
                      <w:bCs w:val="0"/>
                      <w:color w:val="auto"/>
                    </w:rPr>
                    <w:t>3</w:t>
                  </w:r>
                </w:p>
              </w:tc>
              <w:tc>
                <w:tcPr>
                  <w:tcW w:w="0" w:type="auto"/>
                  <w:vAlign w:val="center"/>
                </w:tcPr>
                <w:p>
                  <w:pPr>
                    <w:pStyle w:val="31"/>
                    <w:rPr>
                      <w:color w:val="auto"/>
                    </w:rPr>
                  </w:pPr>
                  <w:r>
                    <w:rPr>
                      <w:rFonts w:hint="eastAsia"/>
                      <w:color w:val="auto"/>
                    </w:rPr>
                    <w:t>给水泵</w:t>
                  </w:r>
                </w:p>
              </w:tc>
              <w:tc>
                <w:tcPr>
                  <w:tcW w:w="0" w:type="auto"/>
                  <w:vAlign w:val="center"/>
                </w:tcPr>
                <w:p>
                  <w:pPr>
                    <w:pStyle w:val="31"/>
                    <w:rPr>
                      <w:color w:val="auto"/>
                    </w:rPr>
                  </w:pPr>
                  <w:r>
                    <w:rPr>
                      <w:rFonts w:hint="eastAsia"/>
                      <w:color w:val="auto"/>
                    </w:rPr>
                    <w:t>套</w:t>
                  </w:r>
                </w:p>
              </w:tc>
              <w:tc>
                <w:tcPr>
                  <w:tcW w:w="0" w:type="auto"/>
                  <w:vAlign w:val="center"/>
                </w:tcPr>
                <w:p>
                  <w:pPr>
                    <w:pStyle w:val="31"/>
                    <w:rPr>
                      <w:color w:val="auto"/>
                    </w:rPr>
                  </w:pPr>
                  <w:r>
                    <w:rPr>
                      <w:rFonts w:hint="eastAsia"/>
                      <w:color w:val="auto"/>
                    </w:rPr>
                    <w:t>/</w:t>
                  </w:r>
                </w:p>
              </w:tc>
              <w:tc>
                <w:tcPr>
                  <w:tcW w:w="0" w:type="auto"/>
                  <w:vAlign w:val="center"/>
                </w:tcPr>
                <w:p>
                  <w:pPr>
                    <w:pStyle w:val="31"/>
                    <w:rPr>
                      <w:color w:val="auto"/>
                    </w:rPr>
                  </w:pPr>
                  <w:r>
                    <w:rPr>
                      <w:rFonts w:hint="eastAsia"/>
                      <w:color w:val="auto"/>
                    </w:rPr>
                    <w:t>0</w:t>
                  </w:r>
                </w:p>
              </w:tc>
              <w:tc>
                <w:tcPr>
                  <w:tcW w:w="0" w:type="auto"/>
                  <w:vAlign w:val="center"/>
                </w:tcPr>
                <w:p>
                  <w:pPr>
                    <w:pStyle w:val="31"/>
                    <w:rPr>
                      <w:color w:val="auto"/>
                    </w:rPr>
                  </w:pPr>
                  <w:r>
                    <w:rPr>
                      <w:rFonts w:hint="eastAsia"/>
                      <w:color w:val="auto"/>
                    </w:rPr>
                    <w:t>1</w:t>
                  </w:r>
                </w:p>
              </w:tc>
              <w:tc>
                <w:tcPr>
                  <w:tcW w:w="0" w:type="auto"/>
                  <w:vAlign w:val="center"/>
                </w:tcPr>
                <w:p>
                  <w:pPr>
                    <w:pStyle w:val="31"/>
                    <w:rPr>
                      <w:bCs w:val="0"/>
                      <w:color w:val="auto"/>
                    </w:rPr>
                  </w:pPr>
                  <w:r>
                    <w:rPr>
                      <w:rFonts w:hint="eastAsia"/>
                      <w:bCs w:val="0"/>
                      <w:color w:val="auto"/>
                    </w:rPr>
                    <w:t>+1</w:t>
                  </w:r>
                </w:p>
              </w:tc>
              <w:tc>
                <w:tcPr>
                  <w:tcW w:w="0" w:type="auto"/>
                  <w:vAlign w:val="center"/>
                </w:tcPr>
                <w:p>
                  <w:pPr>
                    <w:pStyle w:val="31"/>
                    <w:rPr>
                      <w:color w:val="auto"/>
                    </w:rPr>
                  </w:pPr>
                  <w:r>
                    <w:rPr>
                      <w:rFonts w:hint="eastAsia"/>
                      <w:bCs w:val="0"/>
                      <w:color w:val="auto"/>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1"/>
                    <w:rPr>
                      <w:bCs w:val="0"/>
                      <w:color w:val="auto"/>
                    </w:rPr>
                  </w:pPr>
                  <w:r>
                    <w:rPr>
                      <w:rFonts w:hint="eastAsia"/>
                      <w:bCs w:val="0"/>
                      <w:color w:val="auto"/>
                    </w:rPr>
                    <w:t>4</w:t>
                  </w:r>
                </w:p>
              </w:tc>
              <w:tc>
                <w:tcPr>
                  <w:tcW w:w="0" w:type="auto"/>
                  <w:vAlign w:val="center"/>
                </w:tcPr>
                <w:p>
                  <w:pPr>
                    <w:pStyle w:val="31"/>
                    <w:rPr>
                      <w:color w:val="auto"/>
                    </w:rPr>
                  </w:pPr>
                  <w:r>
                    <w:rPr>
                      <w:rFonts w:hint="eastAsia"/>
                      <w:color w:val="auto"/>
                    </w:rPr>
                    <w:t>纯水制备系统置</w:t>
                  </w:r>
                </w:p>
              </w:tc>
              <w:tc>
                <w:tcPr>
                  <w:tcW w:w="0" w:type="auto"/>
                  <w:vAlign w:val="center"/>
                </w:tcPr>
                <w:p>
                  <w:pPr>
                    <w:pStyle w:val="31"/>
                    <w:rPr>
                      <w:color w:val="auto"/>
                    </w:rPr>
                  </w:pPr>
                  <w:r>
                    <w:rPr>
                      <w:rFonts w:hint="eastAsia"/>
                      <w:color w:val="auto"/>
                    </w:rPr>
                    <w:t>套</w:t>
                  </w:r>
                </w:p>
              </w:tc>
              <w:tc>
                <w:tcPr>
                  <w:tcW w:w="0" w:type="auto"/>
                  <w:vAlign w:val="center"/>
                </w:tcPr>
                <w:p>
                  <w:pPr>
                    <w:pStyle w:val="31"/>
                    <w:rPr>
                      <w:color w:val="auto"/>
                    </w:rPr>
                  </w:pPr>
                  <w:r>
                    <w:rPr>
                      <w:rFonts w:hint="eastAsia"/>
                      <w:color w:val="auto"/>
                    </w:rPr>
                    <w:t>/</w:t>
                  </w:r>
                </w:p>
              </w:tc>
              <w:tc>
                <w:tcPr>
                  <w:tcW w:w="0" w:type="auto"/>
                  <w:vAlign w:val="center"/>
                </w:tcPr>
                <w:p>
                  <w:pPr>
                    <w:pStyle w:val="31"/>
                    <w:rPr>
                      <w:color w:val="auto"/>
                    </w:rPr>
                  </w:pPr>
                  <w:r>
                    <w:rPr>
                      <w:rFonts w:hint="eastAsia"/>
                      <w:color w:val="auto"/>
                    </w:rPr>
                    <w:t>0</w:t>
                  </w:r>
                </w:p>
              </w:tc>
              <w:tc>
                <w:tcPr>
                  <w:tcW w:w="0" w:type="auto"/>
                  <w:vAlign w:val="center"/>
                </w:tcPr>
                <w:p>
                  <w:pPr>
                    <w:pStyle w:val="31"/>
                    <w:rPr>
                      <w:color w:val="auto"/>
                    </w:rPr>
                  </w:pPr>
                  <w:r>
                    <w:rPr>
                      <w:rFonts w:hint="eastAsia"/>
                      <w:color w:val="auto"/>
                    </w:rPr>
                    <w:t>1</w:t>
                  </w:r>
                </w:p>
              </w:tc>
              <w:tc>
                <w:tcPr>
                  <w:tcW w:w="0" w:type="auto"/>
                  <w:vAlign w:val="center"/>
                </w:tcPr>
                <w:p>
                  <w:pPr>
                    <w:pStyle w:val="31"/>
                    <w:rPr>
                      <w:bCs w:val="0"/>
                      <w:color w:val="auto"/>
                    </w:rPr>
                  </w:pPr>
                  <w:r>
                    <w:rPr>
                      <w:rFonts w:hint="eastAsia"/>
                      <w:bCs w:val="0"/>
                      <w:color w:val="auto"/>
                    </w:rPr>
                    <w:t>+1</w:t>
                  </w:r>
                </w:p>
              </w:tc>
              <w:tc>
                <w:tcPr>
                  <w:tcW w:w="0" w:type="auto"/>
                  <w:vAlign w:val="center"/>
                </w:tcPr>
                <w:p>
                  <w:pPr>
                    <w:pStyle w:val="31"/>
                    <w:rPr>
                      <w:color w:val="auto"/>
                    </w:rPr>
                  </w:pPr>
                  <w:r>
                    <w:rPr>
                      <w:rFonts w:hint="eastAsia"/>
                      <w:bCs w:val="0"/>
                      <w:color w:val="auto"/>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1"/>
                    <w:rPr>
                      <w:bCs w:val="0"/>
                      <w:color w:val="auto"/>
                    </w:rPr>
                  </w:pPr>
                  <w:r>
                    <w:rPr>
                      <w:rFonts w:hint="eastAsia"/>
                      <w:bCs w:val="0"/>
                      <w:color w:val="auto"/>
                    </w:rPr>
                    <w:t>5</w:t>
                  </w:r>
                </w:p>
              </w:tc>
              <w:tc>
                <w:tcPr>
                  <w:tcW w:w="0" w:type="auto"/>
                  <w:vAlign w:val="center"/>
                </w:tcPr>
                <w:p>
                  <w:pPr>
                    <w:pStyle w:val="31"/>
                    <w:rPr>
                      <w:color w:val="auto"/>
                    </w:rPr>
                  </w:pPr>
                  <w:r>
                    <w:rPr>
                      <w:rFonts w:hint="eastAsia"/>
                      <w:color w:val="auto"/>
                    </w:rPr>
                    <w:t>硅整流启动电源柜</w:t>
                  </w:r>
                </w:p>
              </w:tc>
              <w:tc>
                <w:tcPr>
                  <w:tcW w:w="0" w:type="auto"/>
                  <w:vAlign w:val="center"/>
                </w:tcPr>
                <w:p>
                  <w:pPr>
                    <w:pStyle w:val="31"/>
                    <w:rPr>
                      <w:color w:val="auto"/>
                    </w:rPr>
                  </w:pPr>
                  <w:r>
                    <w:rPr>
                      <w:rFonts w:hint="eastAsia"/>
                      <w:color w:val="auto"/>
                    </w:rPr>
                    <w:t>台</w:t>
                  </w:r>
                </w:p>
              </w:tc>
              <w:tc>
                <w:tcPr>
                  <w:tcW w:w="0" w:type="auto"/>
                  <w:vAlign w:val="center"/>
                </w:tcPr>
                <w:p>
                  <w:pPr>
                    <w:pStyle w:val="31"/>
                    <w:rPr>
                      <w:color w:val="auto"/>
                    </w:rPr>
                  </w:pPr>
                  <w:r>
                    <w:rPr>
                      <w:rFonts w:hint="eastAsia"/>
                      <w:color w:val="auto"/>
                    </w:rPr>
                    <w:t>/</w:t>
                  </w:r>
                </w:p>
              </w:tc>
              <w:tc>
                <w:tcPr>
                  <w:tcW w:w="0" w:type="auto"/>
                  <w:vAlign w:val="center"/>
                </w:tcPr>
                <w:p>
                  <w:pPr>
                    <w:pStyle w:val="31"/>
                    <w:rPr>
                      <w:color w:val="auto"/>
                    </w:rPr>
                  </w:pPr>
                  <w:r>
                    <w:rPr>
                      <w:rFonts w:hint="eastAsia"/>
                      <w:color w:val="auto"/>
                    </w:rPr>
                    <w:t>1</w:t>
                  </w:r>
                </w:p>
              </w:tc>
              <w:tc>
                <w:tcPr>
                  <w:tcW w:w="0" w:type="auto"/>
                  <w:vAlign w:val="center"/>
                </w:tcPr>
                <w:p>
                  <w:pPr>
                    <w:pStyle w:val="31"/>
                    <w:rPr>
                      <w:color w:val="auto"/>
                    </w:rPr>
                  </w:pPr>
                  <w:r>
                    <w:rPr>
                      <w:rFonts w:hint="eastAsia"/>
                      <w:color w:val="auto"/>
                    </w:rPr>
                    <w:t>1</w:t>
                  </w:r>
                </w:p>
              </w:tc>
              <w:tc>
                <w:tcPr>
                  <w:tcW w:w="0" w:type="auto"/>
                  <w:vAlign w:val="center"/>
                </w:tcPr>
                <w:p>
                  <w:pPr>
                    <w:pStyle w:val="31"/>
                    <w:rPr>
                      <w:bCs w:val="0"/>
                      <w:color w:val="auto"/>
                    </w:rPr>
                  </w:pPr>
                  <w:r>
                    <w:rPr>
                      <w:rFonts w:hint="eastAsia"/>
                      <w:bCs w:val="0"/>
                      <w:color w:val="auto"/>
                    </w:rPr>
                    <w:t>0</w:t>
                  </w:r>
                </w:p>
              </w:tc>
              <w:tc>
                <w:tcPr>
                  <w:tcW w:w="0" w:type="auto"/>
                  <w:vAlign w:val="center"/>
                </w:tcPr>
                <w:p>
                  <w:pPr>
                    <w:pStyle w:val="31"/>
                    <w:rPr>
                      <w:color w:val="auto"/>
                    </w:rPr>
                  </w:pPr>
                  <w:r>
                    <w:rPr>
                      <w:rFonts w:hint="eastAsia"/>
                      <w:bCs w:val="0"/>
                      <w:color w:val="auto"/>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1"/>
                    <w:rPr>
                      <w:bCs w:val="0"/>
                      <w:color w:val="auto"/>
                    </w:rPr>
                  </w:pPr>
                  <w:r>
                    <w:rPr>
                      <w:rFonts w:hint="eastAsia"/>
                      <w:bCs w:val="0"/>
                      <w:color w:val="auto"/>
                    </w:rPr>
                    <w:t>6</w:t>
                  </w:r>
                </w:p>
              </w:tc>
              <w:tc>
                <w:tcPr>
                  <w:tcW w:w="0" w:type="auto"/>
                  <w:vAlign w:val="center"/>
                </w:tcPr>
                <w:p>
                  <w:pPr>
                    <w:pStyle w:val="31"/>
                    <w:rPr>
                      <w:color w:val="auto"/>
                    </w:rPr>
                  </w:pPr>
                  <w:r>
                    <w:rPr>
                      <w:rFonts w:hint="eastAsia"/>
                      <w:color w:val="auto"/>
                    </w:rPr>
                    <w:t>站用配电柜</w:t>
                  </w:r>
                </w:p>
              </w:tc>
              <w:tc>
                <w:tcPr>
                  <w:tcW w:w="0" w:type="auto"/>
                  <w:vAlign w:val="center"/>
                </w:tcPr>
                <w:p>
                  <w:pPr>
                    <w:pStyle w:val="31"/>
                    <w:rPr>
                      <w:color w:val="auto"/>
                    </w:rPr>
                  </w:pPr>
                  <w:r>
                    <w:rPr>
                      <w:rFonts w:hint="eastAsia"/>
                      <w:color w:val="auto"/>
                    </w:rPr>
                    <w:t>台</w:t>
                  </w:r>
                </w:p>
              </w:tc>
              <w:tc>
                <w:tcPr>
                  <w:tcW w:w="0" w:type="auto"/>
                  <w:vAlign w:val="center"/>
                </w:tcPr>
                <w:p>
                  <w:pPr>
                    <w:pStyle w:val="31"/>
                    <w:rPr>
                      <w:color w:val="auto"/>
                    </w:rPr>
                  </w:pPr>
                  <w:r>
                    <w:rPr>
                      <w:rFonts w:hint="eastAsia"/>
                      <w:color w:val="auto"/>
                    </w:rPr>
                    <w:t>/</w:t>
                  </w:r>
                </w:p>
              </w:tc>
              <w:tc>
                <w:tcPr>
                  <w:tcW w:w="0" w:type="auto"/>
                  <w:vAlign w:val="center"/>
                </w:tcPr>
                <w:p>
                  <w:pPr>
                    <w:pStyle w:val="31"/>
                    <w:rPr>
                      <w:color w:val="auto"/>
                    </w:rPr>
                  </w:pPr>
                  <w:r>
                    <w:rPr>
                      <w:rFonts w:hint="eastAsia"/>
                      <w:color w:val="auto"/>
                    </w:rPr>
                    <w:t>1</w:t>
                  </w:r>
                </w:p>
              </w:tc>
              <w:tc>
                <w:tcPr>
                  <w:tcW w:w="0" w:type="auto"/>
                  <w:vAlign w:val="center"/>
                </w:tcPr>
                <w:p>
                  <w:pPr>
                    <w:pStyle w:val="31"/>
                    <w:rPr>
                      <w:color w:val="auto"/>
                    </w:rPr>
                  </w:pPr>
                  <w:r>
                    <w:rPr>
                      <w:rFonts w:hint="eastAsia"/>
                      <w:color w:val="auto"/>
                    </w:rPr>
                    <w:t>1</w:t>
                  </w:r>
                </w:p>
              </w:tc>
              <w:tc>
                <w:tcPr>
                  <w:tcW w:w="0" w:type="auto"/>
                  <w:vAlign w:val="center"/>
                </w:tcPr>
                <w:p>
                  <w:pPr>
                    <w:pStyle w:val="31"/>
                    <w:rPr>
                      <w:bCs w:val="0"/>
                      <w:color w:val="auto"/>
                    </w:rPr>
                  </w:pPr>
                  <w:r>
                    <w:rPr>
                      <w:rFonts w:hint="eastAsia"/>
                      <w:bCs w:val="0"/>
                      <w:color w:val="auto"/>
                    </w:rPr>
                    <w:t>0</w:t>
                  </w:r>
                </w:p>
              </w:tc>
              <w:tc>
                <w:tcPr>
                  <w:tcW w:w="0" w:type="auto"/>
                  <w:vAlign w:val="center"/>
                </w:tcPr>
                <w:p>
                  <w:pPr>
                    <w:pStyle w:val="31"/>
                    <w:rPr>
                      <w:color w:val="auto"/>
                    </w:rPr>
                  </w:pPr>
                  <w:r>
                    <w:rPr>
                      <w:rFonts w:hint="eastAsia"/>
                      <w:bCs w:val="0"/>
                      <w:color w:val="auto"/>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gridSpan w:val="8"/>
                  <w:vAlign w:val="center"/>
                </w:tcPr>
                <w:p>
                  <w:pPr>
                    <w:pStyle w:val="31"/>
                    <w:rPr>
                      <w:bCs w:val="0"/>
                      <w:color w:val="auto"/>
                    </w:rPr>
                  </w:pPr>
                  <w:r>
                    <w:rPr>
                      <w:rFonts w:hint="eastAsia"/>
                      <w:bCs w:val="0"/>
                      <w:color w:val="auto"/>
                    </w:rPr>
                    <w:t>现有设备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1"/>
                    <w:rPr>
                      <w:bCs w:val="0"/>
                      <w:color w:val="auto"/>
                    </w:rPr>
                  </w:pPr>
                  <w:r>
                    <w:rPr>
                      <w:rFonts w:hint="eastAsia"/>
                      <w:bCs w:val="0"/>
                      <w:color w:val="auto"/>
                    </w:rPr>
                    <w:t>7</w:t>
                  </w:r>
                </w:p>
              </w:tc>
              <w:tc>
                <w:tcPr>
                  <w:tcW w:w="0" w:type="auto"/>
                  <w:vAlign w:val="center"/>
                </w:tcPr>
                <w:p>
                  <w:pPr>
                    <w:pStyle w:val="31"/>
                    <w:rPr>
                      <w:color w:val="auto"/>
                    </w:rPr>
                  </w:pPr>
                  <w:r>
                    <w:rPr>
                      <w:rFonts w:hint="eastAsia"/>
                      <w:color w:val="auto"/>
                    </w:rPr>
                    <w:t>沼气锅炉</w:t>
                  </w:r>
                </w:p>
              </w:tc>
              <w:tc>
                <w:tcPr>
                  <w:tcW w:w="0" w:type="auto"/>
                  <w:vAlign w:val="center"/>
                </w:tcPr>
                <w:p>
                  <w:pPr>
                    <w:pStyle w:val="31"/>
                    <w:rPr>
                      <w:color w:val="auto"/>
                    </w:rPr>
                  </w:pPr>
                  <w:r>
                    <w:rPr>
                      <w:rFonts w:hint="eastAsia"/>
                      <w:color w:val="auto"/>
                    </w:rPr>
                    <w:t>台</w:t>
                  </w:r>
                </w:p>
              </w:tc>
              <w:tc>
                <w:tcPr>
                  <w:tcW w:w="0" w:type="auto"/>
                  <w:vAlign w:val="center"/>
                </w:tcPr>
                <w:p>
                  <w:pPr>
                    <w:pStyle w:val="31"/>
                    <w:rPr>
                      <w:color w:val="auto"/>
                    </w:rPr>
                  </w:pPr>
                  <w:r>
                    <w:rPr>
                      <w:rFonts w:hint="eastAsia"/>
                      <w:color w:val="auto"/>
                    </w:rPr>
                    <w:t>WS</w:t>
                  </w:r>
                  <w:r>
                    <w:rPr>
                      <w:rFonts w:hint="eastAsia"/>
                      <w:color w:val="auto"/>
                      <w:lang w:val="en-US" w:eastAsia="zh-CN"/>
                    </w:rPr>
                    <w:t>2</w:t>
                  </w:r>
                  <w:r>
                    <w:rPr>
                      <w:rFonts w:hint="eastAsia"/>
                      <w:color w:val="auto"/>
                    </w:rPr>
                    <w:t>-1.0Y(Q)超低氮型</w:t>
                  </w:r>
                  <w:r>
                    <w:rPr>
                      <w:rFonts w:hint="eastAsia"/>
                      <w:color w:val="auto"/>
                    </w:rPr>
                    <w:t>、2t/h</w:t>
                  </w:r>
                </w:p>
              </w:tc>
              <w:tc>
                <w:tcPr>
                  <w:tcW w:w="0" w:type="auto"/>
                  <w:vAlign w:val="center"/>
                </w:tcPr>
                <w:p>
                  <w:pPr>
                    <w:pStyle w:val="31"/>
                    <w:rPr>
                      <w:color w:val="auto"/>
                    </w:rPr>
                  </w:pPr>
                  <w:r>
                    <w:rPr>
                      <w:rFonts w:hint="eastAsia"/>
                      <w:color w:val="auto"/>
                    </w:rPr>
                    <w:t>2</w:t>
                  </w:r>
                </w:p>
              </w:tc>
              <w:tc>
                <w:tcPr>
                  <w:tcW w:w="0" w:type="auto"/>
                  <w:vAlign w:val="center"/>
                </w:tcPr>
                <w:p>
                  <w:pPr>
                    <w:pStyle w:val="31"/>
                    <w:rPr>
                      <w:color w:val="auto"/>
                    </w:rPr>
                  </w:pPr>
                  <w:r>
                    <w:rPr>
                      <w:rFonts w:hint="eastAsia"/>
                      <w:color w:val="auto"/>
                    </w:rPr>
                    <w:t>1</w:t>
                  </w:r>
                </w:p>
              </w:tc>
              <w:tc>
                <w:tcPr>
                  <w:tcW w:w="0" w:type="auto"/>
                  <w:vAlign w:val="center"/>
                </w:tcPr>
                <w:p>
                  <w:pPr>
                    <w:pStyle w:val="31"/>
                    <w:rPr>
                      <w:bCs w:val="0"/>
                      <w:color w:val="auto"/>
                    </w:rPr>
                  </w:pPr>
                  <w:r>
                    <w:rPr>
                      <w:rFonts w:hint="eastAsia"/>
                      <w:bCs w:val="0"/>
                      <w:color w:val="auto"/>
                    </w:rPr>
                    <w:t>-1</w:t>
                  </w:r>
                </w:p>
              </w:tc>
              <w:tc>
                <w:tcPr>
                  <w:tcW w:w="0" w:type="auto"/>
                  <w:vMerge w:val="restart"/>
                  <w:vAlign w:val="center"/>
                </w:tcPr>
                <w:p>
                  <w:pPr>
                    <w:pStyle w:val="31"/>
                    <w:rPr>
                      <w:color w:val="auto"/>
                    </w:rPr>
                  </w:pPr>
                  <w:r>
                    <w:rPr>
                      <w:rFonts w:hint="eastAsia"/>
                      <w:bCs w:val="0"/>
                      <w:color w:val="auto"/>
                    </w:rPr>
                    <w:t>减少</w:t>
                  </w:r>
                  <w:r>
                    <w:rPr>
                      <w:color w:val="auto"/>
                      <w:szCs w:val="21"/>
                    </w:rPr>
                    <w:t>1台</w:t>
                  </w:r>
                  <w:r>
                    <w:rPr>
                      <w:rFonts w:hint="eastAsia"/>
                      <w:color w:val="auto"/>
                      <w:szCs w:val="21"/>
                    </w:rPr>
                    <w:t>在用的</w:t>
                  </w:r>
                  <w:r>
                    <w:rPr>
                      <w:color w:val="auto"/>
                      <w:szCs w:val="21"/>
                    </w:rPr>
                    <w:t>2t/h沼气锅炉</w:t>
                  </w:r>
                  <w:r>
                    <w:rPr>
                      <w:rFonts w:hint="eastAsia"/>
                      <w:color w:val="auto"/>
                      <w:szCs w:val="21"/>
                    </w:rPr>
                    <w:t>，保留</w:t>
                  </w:r>
                  <w:r>
                    <w:rPr>
                      <w:color w:val="auto"/>
                      <w:szCs w:val="21"/>
                    </w:rPr>
                    <w:t>2t/h</w:t>
                  </w:r>
                  <w:r>
                    <w:rPr>
                      <w:rFonts w:hint="eastAsia"/>
                      <w:color w:val="auto"/>
                      <w:szCs w:val="21"/>
                    </w:rPr>
                    <w:t>备用锅炉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1"/>
                    <w:rPr>
                      <w:bCs w:val="0"/>
                      <w:color w:val="auto"/>
                    </w:rPr>
                  </w:pPr>
                  <w:r>
                    <w:rPr>
                      <w:rFonts w:hint="eastAsia"/>
                      <w:bCs w:val="0"/>
                      <w:color w:val="auto"/>
                    </w:rPr>
                    <w:t>8</w:t>
                  </w:r>
                </w:p>
              </w:tc>
              <w:tc>
                <w:tcPr>
                  <w:tcW w:w="0" w:type="auto"/>
                  <w:vAlign w:val="center"/>
                </w:tcPr>
                <w:p>
                  <w:pPr>
                    <w:pStyle w:val="31"/>
                    <w:rPr>
                      <w:color w:val="auto"/>
                    </w:rPr>
                  </w:pPr>
                  <w:r>
                    <w:rPr>
                      <w:rFonts w:hint="eastAsia"/>
                      <w:color w:val="auto"/>
                    </w:rPr>
                    <w:t>燃烧机</w:t>
                  </w:r>
                </w:p>
              </w:tc>
              <w:tc>
                <w:tcPr>
                  <w:tcW w:w="0" w:type="auto"/>
                  <w:vAlign w:val="center"/>
                </w:tcPr>
                <w:p>
                  <w:pPr>
                    <w:pStyle w:val="31"/>
                    <w:rPr>
                      <w:color w:val="auto"/>
                    </w:rPr>
                  </w:pPr>
                  <w:r>
                    <w:rPr>
                      <w:rFonts w:hint="eastAsia"/>
                      <w:color w:val="auto"/>
                    </w:rPr>
                    <w:t>台</w:t>
                  </w:r>
                </w:p>
              </w:tc>
              <w:tc>
                <w:tcPr>
                  <w:tcW w:w="0" w:type="auto"/>
                  <w:vAlign w:val="center"/>
                </w:tcPr>
                <w:p>
                  <w:pPr>
                    <w:pStyle w:val="31"/>
                    <w:rPr>
                      <w:color w:val="auto"/>
                    </w:rPr>
                  </w:pPr>
                  <w:r>
                    <w:rPr>
                      <w:rFonts w:hint="eastAsia"/>
                      <w:color w:val="auto"/>
                    </w:rPr>
                    <w:t>/</w:t>
                  </w:r>
                </w:p>
              </w:tc>
              <w:tc>
                <w:tcPr>
                  <w:tcW w:w="0" w:type="auto"/>
                  <w:vAlign w:val="center"/>
                </w:tcPr>
                <w:p>
                  <w:pPr>
                    <w:pStyle w:val="31"/>
                    <w:rPr>
                      <w:color w:val="auto"/>
                    </w:rPr>
                  </w:pPr>
                  <w:r>
                    <w:rPr>
                      <w:rFonts w:hint="eastAsia"/>
                      <w:color w:val="auto"/>
                    </w:rPr>
                    <w:t>1</w:t>
                  </w:r>
                </w:p>
              </w:tc>
              <w:tc>
                <w:tcPr>
                  <w:tcW w:w="0" w:type="auto"/>
                  <w:vAlign w:val="center"/>
                </w:tcPr>
                <w:p>
                  <w:pPr>
                    <w:pStyle w:val="31"/>
                    <w:rPr>
                      <w:color w:val="auto"/>
                    </w:rPr>
                  </w:pPr>
                  <w:r>
                    <w:rPr>
                      <w:rFonts w:hint="eastAsia"/>
                      <w:color w:val="auto"/>
                    </w:rPr>
                    <w:t>0</w:t>
                  </w:r>
                </w:p>
              </w:tc>
              <w:tc>
                <w:tcPr>
                  <w:tcW w:w="0" w:type="auto"/>
                  <w:vAlign w:val="center"/>
                </w:tcPr>
                <w:p>
                  <w:pPr>
                    <w:pStyle w:val="31"/>
                    <w:rPr>
                      <w:color w:val="auto"/>
                    </w:rPr>
                  </w:pPr>
                  <w:r>
                    <w:rPr>
                      <w:rFonts w:hint="eastAsia"/>
                      <w:color w:val="auto"/>
                    </w:rPr>
                    <w:t>-1</w:t>
                  </w:r>
                </w:p>
              </w:tc>
              <w:tc>
                <w:tcPr>
                  <w:tcW w:w="0" w:type="auto"/>
                  <w:vMerge w:val="continue"/>
                  <w:vAlign w:val="center"/>
                </w:tcPr>
                <w:p>
                  <w:pPr>
                    <w:pStyle w:val="31"/>
                    <w:jc w:val="both"/>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1"/>
                    <w:rPr>
                      <w:bCs w:val="0"/>
                      <w:color w:val="auto"/>
                    </w:rPr>
                  </w:pPr>
                  <w:r>
                    <w:rPr>
                      <w:rFonts w:hint="eastAsia"/>
                      <w:bCs w:val="0"/>
                      <w:color w:val="auto"/>
                    </w:rPr>
                    <w:t>9</w:t>
                  </w:r>
                </w:p>
              </w:tc>
              <w:tc>
                <w:tcPr>
                  <w:tcW w:w="0" w:type="auto"/>
                  <w:vAlign w:val="center"/>
                </w:tcPr>
                <w:p>
                  <w:pPr>
                    <w:pStyle w:val="31"/>
                    <w:rPr>
                      <w:color w:val="auto"/>
                    </w:rPr>
                  </w:pPr>
                  <w:r>
                    <w:rPr>
                      <w:rFonts w:hint="eastAsia"/>
                      <w:color w:val="auto"/>
                    </w:rPr>
                    <w:t>给水泵</w:t>
                  </w:r>
                </w:p>
              </w:tc>
              <w:tc>
                <w:tcPr>
                  <w:tcW w:w="0" w:type="auto"/>
                  <w:vAlign w:val="center"/>
                </w:tcPr>
                <w:p>
                  <w:pPr>
                    <w:pStyle w:val="31"/>
                    <w:rPr>
                      <w:color w:val="auto"/>
                    </w:rPr>
                  </w:pPr>
                  <w:r>
                    <w:rPr>
                      <w:rFonts w:hint="eastAsia"/>
                      <w:color w:val="auto"/>
                    </w:rPr>
                    <w:t>套</w:t>
                  </w:r>
                </w:p>
              </w:tc>
              <w:tc>
                <w:tcPr>
                  <w:tcW w:w="0" w:type="auto"/>
                  <w:vAlign w:val="center"/>
                </w:tcPr>
                <w:p>
                  <w:pPr>
                    <w:pStyle w:val="31"/>
                    <w:rPr>
                      <w:color w:val="auto"/>
                    </w:rPr>
                  </w:pPr>
                  <w:r>
                    <w:rPr>
                      <w:rFonts w:hint="eastAsia"/>
                      <w:color w:val="auto"/>
                    </w:rPr>
                    <w:t>/</w:t>
                  </w:r>
                </w:p>
              </w:tc>
              <w:tc>
                <w:tcPr>
                  <w:tcW w:w="0" w:type="auto"/>
                  <w:vAlign w:val="center"/>
                </w:tcPr>
                <w:p>
                  <w:pPr>
                    <w:pStyle w:val="31"/>
                    <w:rPr>
                      <w:color w:val="auto"/>
                    </w:rPr>
                  </w:pPr>
                  <w:r>
                    <w:rPr>
                      <w:rFonts w:hint="eastAsia"/>
                      <w:color w:val="auto"/>
                    </w:rPr>
                    <w:t>1</w:t>
                  </w:r>
                </w:p>
              </w:tc>
              <w:tc>
                <w:tcPr>
                  <w:tcW w:w="0" w:type="auto"/>
                  <w:vAlign w:val="center"/>
                </w:tcPr>
                <w:p>
                  <w:pPr>
                    <w:pStyle w:val="31"/>
                    <w:rPr>
                      <w:color w:val="auto"/>
                    </w:rPr>
                  </w:pPr>
                  <w:r>
                    <w:rPr>
                      <w:rFonts w:hint="eastAsia"/>
                      <w:color w:val="auto"/>
                    </w:rPr>
                    <w:t>0</w:t>
                  </w:r>
                </w:p>
              </w:tc>
              <w:tc>
                <w:tcPr>
                  <w:tcW w:w="0" w:type="auto"/>
                  <w:vAlign w:val="center"/>
                </w:tcPr>
                <w:p>
                  <w:pPr>
                    <w:pStyle w:val="31"/>
                    <w:rPr>
                      <w:color w:val="auto"/>
                    </w:rPr>
                  </w:pPr>
                  <w:r>
                    <w:rPr>
                      <w:rFonts w:hint="eastAsia"/>
                      <w:color w:val="auto"/>
                    </w:rPr>
                    <w:t>-1</w:t>
                  </w:r>
                </w:p>
              </w:tc>
              <w:tc>
                <w:tcPr>
                  <w:tcW w:w="0" w:type="auto"/>
                  <w:vMerge w:val="continue"/>
                  <w:vAlign w:val="center"/>
                </w:tcPr>
                <w:p>
                  <w:pPr>
                    <w:pStyle w:val="31"/>
                    <w:jc w:val="both"/>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0" w:type="auto"/>
                  <w:vAlign w:val="center"/>
                </w:tcPr>
                <w:p>
                  <w:pPr>
                    <w:pStyle w:val="31"/>
                    <w:rPr>
                      <w:bCs w:val="0"/>
                      <w:color w:val="auto"/>
                    </w:rPr>
                  </w:pPr>
                  <w:r>
                    <w:rPr>
                      <w:rFonts w:hint="eastAsia"/>
                      <w:bCs w:val="0"/>
                      <w:color w:val="auto"/>
                    </w:rPr>
                    <w:t>10</w:t>
                  </w:r>
                </w:p>
              </w:tc>
              <w:tc>
                <w:tcPr>
                  <w:tcW w:w="0" w:type="auto"/>
                  <w:vAlign w:val="center"/>
                </w:tcPr>
                <w:p>
                  <w:pPr>
                    <w:pStyle w:val="31"/>
                    <w:rPr>
                      <w:color w:val="auto"/>
                    </w:rPr>
                  </w:pPr>
                  <w:r>
                    <w:rPr>
                      <w:rFonts w:hint="eastAsia"/>
                      <w:color w:val="auto"/>
                    </w:rPr>
                    <w:t>纯水制备系统置</w:t>
                  </w:r>
                </w:p>
              </w:tc>
              <w:tc>
                <w:tcPr>
                  <w:tcW w:w="0" w:type="auto"/>
                  <w:vAlign w:val="center"/>
                </w:tcPr>
                <w:p>
                  <w:pPr>
                    <w:pStyle w:val="31"/>
                    <w:rPr>
                      <w:color w:val="auto"/>
                    </w:rPr>
                  </w:pPr>
                  <w:r>
                    <w:rPr>
                      <w:rFonts w:hint="eastAsia"/>
                      <w:color w:val="auto"/>
                    </w:rPr>
                    <w:t>套</w:t>
                  </w:r>
                </w:p>
              </w:tc>
              <w:tc>
                <w:tcPr>
                  <w:tcW w:w="0" w:type="auto"/>
                  <w:vAlign w:val="center"/>
                </w:tcPr>
                <w:p>
                  <w:pPr>
                    <w:pStyle w:val="31"/>
                    <w:rPr>
                      <w:color w:val="auto"/>
                    </w:rPr>
                  </w:pPr>
                  <w:r>
                    <w:rPr>
                      <w:rFonts w:hint="eastAsia"/>
                      <w:color w:val="auto"/>
                    </w:rPr>
                    <w:t>/</w:t>
                  </w:r>
                </w:p>
              </w:tc>
              <w:tc>
                <w:tcPr>
                  <w:tcW w:w="0" w:type="auto"/>
                  <w:vAlign w:val="center"/>
                </w:tcPr>
                <w:p>
                  <w:pPr>
                    <w:pStyle w:val="31"/>
                    <w:rPr>
                      <w:color w:val="auto"/>
                    </w:rPr>
                  </w:pPr>
                  <w:r>
                    <w:rPr>
                      <w:rFonts w:hint="eastAsia"/>
                      <w:color w:val="auto"/>
                    </w:rPr>
                    <w:t>1</w:t>
                  </w:r>
                </w:p>
              </w:tc>
              <w:tc>
                <w:tcPr>
                  <w:tcW w:w="0" w:type="auto"/>
                  <w:vAlign w:val="center"/>
                </w:tcPr>
                <w:p>
                  <w:pPr>
                    <w:pStyle w:val="31"/>
                    <w:rPr>
                      <w:color w:val="auto"/>
                    </w:rPr>
                  </w:pPr>
                  <w:r>
                    <w:rPr>
                      <w:rFonts w:hint="eastAsia"/>
                      <w:color w:val="auto"/>
                    </w:rPr>
                    <w:t>0</w:t>
                  </w:r>
                </w:p>
              </w:tc>
              <w:tc>
                <w:tcPr>
                  <w:tcW w:w="0" w:type="auto"/>
                  <w:vAlign w:val="center"/>
                </w:tcPr>
                <w:p>
                  <w:pPr>
                    <w:pStyle w:val="31"/>
                    <w:rPr>
                      <w:color w:val="auto"/>
                    </w:rPr>
                  </w:pPr>
                  <w:r>
                    <w:rPr>
                      <w:rFonts w:hint="eastAsia"/>
                      <w:color w:val="auto"/>
                    </w:rPr>
                    <w:t>-1</w:t>
                  </w:r>
                </w:p>
              </w:tc>
              <w:tc>
                <w:tcPr>
                  <w:tcW w:w="0" w:type="auto"/>
                  <w:vMerge w:val="continue"/>
                  <w:vAlign w:val="center"/>
                </w:tcPr>
                <w:p>
                  <w:pPr>
                    <w:pStyle w:val="31"/>
                    <w:jc w:val="both"/>
                    <w:rPr>
                      <w:color w:val="auto"/>
                    </w:rPr>
                  </w:pPr>
                </w:p>
              </w:tc>
            </w:tr>
          </w:tbl>
          <w:p>
            <w:pPr>
              <w:pStyle w:val="31"/>
              <w:rPr>
                <w:color w:val="auto"/>
              </w:rPr>
            </w:pPr>
          </w:p>
          <w:p>
            <w:pPr>
              <w:ind w:firstLine="0" w:firstLineChars="0"/>
              <w:rPr>
                <w:b/>
                <w:bCs/>
                <w:color w:val="auto"/>
              </w:rPr>
            </w:pPr>
            <w:r>
              <w:rPr>
                <w:rFonts w:hint="eastAsia"/>
                <w:b/>
                <w:bCs/>
                <w:color w:val="auto"/>
              </w:rPr>
              <w:t>8、沼气锅炉扩建方案</w:t>
            </w:r>
          </w:p>
          <w:p>
            <w:pPr>
              <w:ind w:firstLine="480"/>
              <w:rPr>
                <w:color w:val="auto"/>
                <w:sz w:val="21"/>
                <w:szCs w:val="18"/>
              </w:rPr>
            </w:pPr>
            <w:r>
              <w:rPr>
                <w:color w:val="auto"/>
              </w:rPr>
              <w:t>根据建设单位提供资料，</w:t>
            </w:r>
            <w:r>
              <w:rPr>
                <w:rFonts w:hint="eastAsia"/>
                <w:color w:val="auto"/>
              </w:rPr>
              <w:t>本项目为</w:t>
            </w:r>
            <w:r>
              <w:rPr>
                <w:rFonts w:hint="eastAsia"/>
                <w:color w:val="auto"/>
                <w:lang w:eastAsia="zh-CN"/>
              </w:rPr>
              <w:t>衡阳桑德凯天再生资源科技有限公司3t/h沼气锅炉改扩建项目</w:t>
            </w:r>
            <w:r>
              <w:rPr>
                <w:rFonts w:hint="eastAsia"/>
                <w:color w:val="auto"/>
              </w:rPr>
              <w:t>，3t/h沼气锅炉</w:t>
            </w:r>
            <w:r>
              <w:rPr>
                <w:color w:val="auto"/>
              </w:rPr>
              <w:t>处理沼气量约</w:t>
            </w:r>
            <w:r>
              <w:rPr>
                <w:rFonts w:hint="eastAsia"/>
                <w:color w:val="auto"/>
              </w:rPr>
              <w:t>138.699</w:t>
            </w:r>
            <w:r>
              <w:rPr>
                <w:color w:val="auto"/>
              </w:rPr>
              <w:t>万m</w:t>
            </w:r>
            <w:r>
              <w:rPr>
                <w:rFonts w:hint="eastAsia"/>
                <w:color w:val="auto"/>
                <w:vertAlign w:val="superscript"/>
              </w:rPr>
              <w:t>3</w:t>
            </w:r>
            <w:r>
              <w:rPr>
                <w:rFonts w:hint="eastAsia"/>
                <w:color w:val="auto"/>
              </w:rPr>
              <w:t>，现有2t/h沼气锅炉</w:t>
            </w:r>
            <w:r>
              <w:rPr>
                <w:color w:val="auto"/>
              </w:rPr>
              <w:t>处理沼气量约</w:t>
            </w:r>
            <w:r>
              <w:rPr>
                <w:rFonts w:hint="eastAsia"/>
                <w:color w:val="auto"/>
              </w:rPr>
              <w:t>71.28</w:t>
            </w:r>
            <w:r>
              <w:rPr>
                <w:color w:val="auto"/>
              </w:rPr>
              <w:t>万m</w:t>
            </w:r>
            <w:r>
              <w:rPr>
                <w:rFonts w:hint="eastAsia"/>
                <w:color w:val="auto"/>
                <w:vertAlign w:val="superscript"/>
              </w:rPr>
              <w:t>3</w:t>
            </w:r>
            <w:r>
              <w:rPr>
                <w:rFonts w:hint="eastAsia"/>
                <w:color w:val="auto"/>
              </w:rPr>
              <w:t>，加大了对沼气的利用。本项目</w:t>
            </w:r>
            <w:r>
              <w:rPr>
                <w:color w:val="auto"/>
              </w:rPr>
              <w:t>拟</w:t>
            </w:r>
            <w:r>
              <w:rPr>
                <w:rFonts w:hint="eastAsia"/>
                <w:color w:val="auto"/>
              </w:rPr>
              <w:t>调整现有沼气锅炉生产方案，将现使用的一台2t/h沼气锅炉扩建为一台3t/h沼气锅炉，保留现有备用沼气锅炉。具体参数详见</w:t>
            </w:r>
            <w:r>
              <w:rPr>
                <w:color w:val="auto"/>
              </w:rPr>
              <w:t>表2</w:t>
            </w:r>
            <w:r>
              <w:rPr>
                <w:rFonts w:hint="eastAsia"/>
                <w:color w:val="auto"/>
              </w:rPr>
              <w:t>-6。</w:t>
            </w:r>
          </w:p>
          <w:p>
            <w:pPr>
              <w:pStyle w:val="32"/>
              <w:rPr>
                <w:color w:val="auto"/>
                <w:szCs w:val="18"/>
              </w:rPr>
            </w:pPr>
            <w:r>
              <w:rPr>
                <w:color w:val="auto"/>
                <w:szCs w:val="18"/>
              </w:rPr>
              <w:t>表2</w:t>
            </w:r>
            <w:r>
              <w:rPr>
                <w:rFonts w:hint="eastAsia"/>
                <w:color w:val="auto"/>
                <w:szCs w:val="18"/>
              </w:rPr>
              <w:t>-6</w:t>
            </w:r>
            <w:r>
              <w:rPr>
                <w:color w:val="auto"/>
                <w:szCs w:val="18"/>
              </w:rPr>
              <w:t xml:space="preserve">  </w:t>
            </w:r>
            <w:r>
              <w:rPr>
                <w:rFonts w:hint="eastAsia"/>
                <w:color w:val="auto"/>
                <w:szCs w:val="18"/>
              </w:rPr>
              <w:t>本项目改扩建前后锅炉具体参数</w:t>
            </w:r>
            <w:r>
              <w:rPr>
                <w:color w:val="auto"/>
                <w:szCs w:val="18"/>
              </w:rPr>
              <w:t>一览表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780"/>
              <w:gridCol w:w="1753"/>
              <w:gridCol w:w="2162"/>
              <w:gridCol w:w="2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2" w:type="dxa"/>
                  <w:vAlign w:val="center"/>
                </w:tcPr>
                <w:p>
                  <w:pPr>
                    <w:pStyle w:val="31"/>
                    <w:rPr>
                      <w:color w:val="auto"/>
                      <w:szCs w:val="21"/>
                    </w:rPr>
                  </w:pPr>
                  <w:r>
                    <w:rPr>
                      <w:rFonts w:hint="eastAsia"/>
                      <w:color w:val="auto"/>
                      <w:szCs w:val="21"/>
                    </w:rPr>
                    <w:t>序号</w:t>
                  </w:r>
                </w:p>
              </w:tc>
              <w:tc>
                <w:tcPr>
                  <w:tcW w:w="2533" w:type="dxa"/>
                  <w:gridSpan w:val="2"/>
                  <w:vAlign w:val="center"/>
                </w:tcPr>
                <w:p>
                  <w:pPr>
                    <w:pStyle w:val="31"/>
                    <w:rPr>
                      <w:color w:val="auto"/>
                      <w:szCs w:val="21"/>
                    </w:rPr>
                  </w:pPr>
                  <w:r>
                    <w:rPr>
                      <w:rFonts w:hint="eastAsia"/>
                      <w:color w:val="auto"/>
                      <w:szCs w:val="21"/>
                    </w:rPr>
                    <w:t>具体参数</w:t>
                  </w:r>
                </w:p>
              </w:tc>
              <w:tc>
                <w:tcPr>
                  <w:tcW w:w="2162" w:type="dxa"/>
                  <w:vAlign w:val="center"/>
                </w:tcPr>
                <w:p>
                  <w:pPr>
                    <w:pStyle w:val="31"/>
                    <w:rPr>
                      <w:color w:val="auto"/>
                      <w:szCs w:val="21"/>
                    </w:rPr>
                  </w:pPr>
                  <w:r>
                    <w:rPr>
                      <w:rFonts w:hint="eastAsia"/>
                      <w:color w:val="auto"/>
                      <w:szCs w:val="21"/>
                    </w:rPr>
                    <w:t>现有锅炉</w:t>
                  </w:r>
                </w:p>
              </w:tc>
              <w:tc>
                <w:tcPr>
                  <w:tcW w:w="2038" w:type="dxa"/>
                  <w:vAlign w:val="center"/>
                </w:tcPr>
                <w:p>
                  <w:pPr>
                    <w:pStyle w:val="31"/>
                    <w:rPr>
                      <w:color w:val="auto"/>
                      <w:szCs w:val="21"/>
                    </w:rPr>
                  </w:pPr>
                  <w:r>
                    <w:rPr>
                      <w:rFonts w:hint="eastAsia"/>
                      <w:color w:val="auto"/>
                      <w:szCs w:val="21"/>
                    </w:rPr>
                    <w:t>改扩建锅炉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102" w:type="dxa"/>
                  <w:vAlign w:val="center"/>
                </w:tcPr>
                <w:p>
                  <w:pPr>
                    <w:spacing w:line="240" w:lineRule="auto"/>
                    <w:ind w:firstLine="0" w:firstLineChars="0"/>
                    <w:jc w:val="center"/>
                    <w:rPr>
                      <w:color w:val="auto"/>
                      <w:sz w:val="21"/>
                      <w:szCs w:val="21"/>
                    </w:rPr>
                  </w:pPr>
                  <w:r>
                    <w:rPr>
                      <w:rFonts w:hint="eastAsia"/>
                      <w:color w:val="auto"/>
                      <w:sz w:val="21"/>
                      <w:szCs w:val="21"/>
                    </w:rPr>
                    <w:t>1</w:t>
                  </w:r>
                </w:p>
              </w:tc>
              <w:tc>
                <w:tcPr>
                  <w:tcW w:w="780" w:type="dxa"/>
                  <w:vMerge w:val="restart"/>
                  <w:vAlign w:val="center"/>
                </w:tcPr>
                <w:p>
                  <w:pPr>
                    <w:spacing w:line="240" w:lineRule="auto"/>
                    <w:ind w:firstLine="0" w:firstLineChars="0"/>
                    <w:jc w:val="center"/>
                    <w:rPr>
                      <w:color w:val="auto"/>
                      <w:sz w:val="21"/>
                      <w:szCs w:val="21"/>
                    </w:rPr>
                  </w:pPr>
                  <w:r>
                    <w:rPr>
                      <w:color w:val="auto"/>
                      <w:sz w:val="21"/>
                      <w:szCs w:val="21"/>
                    </w:rPr>
                    <w:t>燃料</w:t>
                  </w:r>
                </w:p>
              </w:tc>
              <w:tc>
                <w:tcPr>
                  <w:tcW w:w="1753" w:type="dxa"/>
                  <w:vAlign w:val="center"/>
                </w:tcPr>
                <w:p>
                  <w:pPr>
                    <w:spacing w:line="240" w:lineRule="auto"/>
                    <w:ind w:firstLine="0" w:firstLineChars="0"/>
                    <w:jc w:val="center"/>
                    <w:rPr>
                      <w:color w:val="auto"/>
                      <w:sz w:val="21"/>
                      <w:szCs w:val="21"/>
                    </w:rPr>
                  </w:pPr>
                  <w:r>
                    <w:rPr>
                      <w:rFonts w:hint="eastAsia"/>
                      <w:color w:val="auto"/>
                      <w:sz w:val="21"/>
                      <w:szCs w:val="21"/>
                    </w:rPr>
                    <w:t>种类</w:t>
                  </w:r>
                </w:p>
              </w:tc>
              <w:tc>
                <w:tcPr>
                  <w:tcW w:w="2162" w:type="dxa"/>
                  <w:vAlign w:val="center"/>
                </w:tcPr>
                <w:p>
                  <w:pPr>
                    <w:spacing w:line="240" w:lineRule="auto"/>
                    <w:ind w:firstLine="0" w:firstLineChars="0"/>
                    <w:jc w:val="center"/>
                    <w:rPr>
                      <w:color w:val="auto"/>
                      <w:sz w:val="21"/>
                      <w:szCs w:val="21"/>
                    </w:rPr>
                  </w:pPr>
                  <w:r>
                    <w:rPr>
                      <w:color w:val="auto"/>
                      <w:sz w:val="21"/>
                      <w:szCs w:val="21"/>
                    </w:rPr>
                    <w:t>沼气</w:t>
                  </w:r>
                </w:p>
              </w:tc>
              <w:tc>
                <w:tcPr>
                  <w:tcW w:w="2038" w:type="dxa"/>
                  <w:vAlign w:val="center"/>
                </w:tcPr>
                <w:p>
                  <w:pPr>
                    <w:spacing w:line="240" w:lineRule="auto"/>
                    <w:ind w:firstLine="0" w:firstLineChars="0"/>
                    <w:jc w:val="center"/>
                    <w:rPr>
                      <w:color w:val="auto"/>
                      <w:sz w:val="21"/>
                      <w:szCs w:val="21"/>
                    </w:rPr>
                  </w:pPr>
                  <w:r>
                    <w:rPr>
                      <w:color w:val="auto"/>
                      <w:sz w:val="21"/>
                      <w:szCs w:val="21"/>
                    </w:rPr>
                    <w:t>沼气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102" w:type="dxa"/>
                  <w:vAlign w:val="center"/>
                </w:tcPr>
                <w:p>
                  <w:pPr>
                    <w:spacing w:line="240" w:lineRule="auto"/>
                    <w:ind w:firstLine="0" w:firstLineChars="0"/>
                    <w:jc w:val="center"/>
                    <w:rPr>
                      <w:color w:val="auto"/>
                      <w:sz w:val="21"/>
                      <w:szCs w:val="21"/>
                    </w:rPr>
                  </w:pPr>
                  <w:r>
                    <w:rPr>
                      <w:rFonts w:hint="eastAsia"/>
                      <w:color w:val="auto"/>
                      <w:sz w:val="21"/>
                      <w:szCs w:val="21"/>
                    </w:rPr>
                    <w:t>2</w:t>
                  </w:r>
                </w:p>
              </w:tc>
              <w:tc>
                <w:tcPr>
                  <w:tcW w:w="780" w:type="dxa"/>
                  <w:vMerge w:val="continue"/>
                  <w:vAlign w:val="center"/>
                </w:tcPr>
                <w:p>
                  <w:pPr>
                    <w:spacing w:line="240" w:lineRule="auto"/>
                    <w:ind w:firstLine="0" w:firstLineChars="0"/>
                    <w:jc w:val="center"/>
                    <w:rPr>
                      <w:color w:val="auto"/>
                      <w:sz w:val="21"/>
                      <w:szCs w:val="21"/>
                    </w:rPr>
                  </w:pPr>
                </w:p>
              </w:tc>
              <w:tc>
                <w:tcPr>
                  <w:tcW w:w="1753" w:type="dxa"/>
                  <w:vAlign w:val="center"/>
                </w:tcPr>
                <w:p>
                  <w:pPr>
                    <w:spacing w:line="240" w:lineRule="auto"/>
                    <w:ind w:firstLine="0" w:firstLineChars="0"/>
                    <w:jc w:val="center"/>
                    <w:rPr>
                      <w:color w:val="auto"/>
                      <w:sz w:val="21"/>
                      <w:szCs w:val="21"/>
                    </w:rPr>
                  </w:pPr>
                  <w:r>
                    <w:rPr>
                      <w:rFonts w:hint="eastAsia"/>
                      <w:color w:val="auto"/>
                      <w:sz w:val="21"/>
                      <w:szCs w:val="21"/>
                    </w:rPr>
                    <w:t>消耗量（m</w:t>
                  </w:r>
                  <w:r>
                    <w:rPr>
                      <w:rFonts w:hint="eastAsia"/>
                      <w:color w:val="auto"/>
                      <w:sz w:val="21"/>
                      <w:szCs w:val="21"/>
                      <w:vertAlign w:val="superscript"/>
                    </w:rPr>
                    <w:t>3</w:t>
                  </w:r>
                  <w:r>
                    <w:rPr>
                      <w:rFonts w:hint="eastAsia"/>
                      <w:color w:val="auto"/>
                      <w:sz w:val="21"/>
                      <w:szCs w:val="21"/>
                    </w:rPr>
                    <w:t>/h）</w:t>
                  </w:r>
                </w:p>
              </w:tc>
              <w:tc>
                <w:tcPr>
                  <w:tcW w:w="2162" w:type="dxa"/>
                  <w:vAlign w:val="center"/>
                </w:tcPr>
                <w:p>
                  <w:pPr>
                    <w:spacing w:line="240" w:lineRule="auto"/>
                    <w:ind w:firstLine="0" w:firstLineChars="0"/>
                    <w:jc w:val="center"/>
                    <w:rPr>
                      <w:color w:val="auto"/>
                      <w:sz w:val="21"/>
                      <w:szCs w:val="21"/>
                    </w:rPr>
                  </w:pPr>
                  <w:r>
                    <w:rPr>
                      <w:rFonts w:hint="eastAsia"/>
                      <w:color w:val="auto"/>
                      <w:sz w:val="21"/>
                      <w:szCs w:val="21"/>
                    </w:rPr>
                    <w:t>120</w:t>
                  </w:r>
                </w:p>
              </w:tc>
              <w:tc>
                <w:tcPr>
                  <w:tcW w:w="2038" w:type="dxa"/>
                  <w:vAlign w:val="center"/>
                </w:tcPr>
                <w:p>
                  <w:pPr>
                    <w:spacing w:line="240" w:lineRule="auto"/>
                    <w:ind w:firstLine="0" w:firstLineChars="0"/>
                    <w:jc w:val="center"/>
                    <w:rPr>
                      <w:color w:val="auto"/>
                      <w:sz w:val="21"/>
                      <w:szCs w:val="21"/>
                    </w:rPr>
                  </w:pPr>
                  <w:r>
                    <w:rPr>
                      <w:rFonts w:hint="eastAsia"/>
                      <w:color w:val="auto"/>
                      <w:sz w:val="21"/>
                      <w:szCs w:val="21"/>
                    </w:rPr>
                    <w:t>233.5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2" w:type="dxa"/>
                  <w:vAlign w:val="center"/>
                </w:tcPr>
                <w:p>
                  <w:pPr>
                    <w:spacing w:line="240" w:lineRule="auto"/>
                    <w:ind w:firstLine="0" w:firstLineChars="0"/>
                    <w:jc w:val="center"/>
                    <w:rPr>
                      <w:color w:val="auto"/>
                      <w:sz w:val="21"/>
                      <w:szCs w:val="21"/>
                    </w:rPr>
                  </w:pPr>
                  <w:r>
                    <w:rPr>
                      <w:rFonts w:hint="eastAsia"/>
                      <w:color w:val="auto"/>
                      <w:sz w:val="21"/>
                      <w:szCs w:val="21"/>
                    </w:rPr>
                    <w:t>3</w:t>
                  </w:r>
                </w:p>
              </w:tc>
              <w:tc>
                <w:tcPr>
                  <w:tcW w:w="2533" w:type="dxa"/>
                  <w:gridSpan w:val="2"/>
                  <w:vAlign w:val="center"/>
                </w:tcPr>
                <w:p>
                  <w:pPr>
                    <w:spacing w:line="240" w:lineRule="auto"/>
                    <w:ind w:firstLine="0" w:firstLineChars="0"/>
                    <w:jc w:val="center"/>
                    <w:rPr>
                      <w:color w:val="auto"/>
                      <w:sz w:val="21"/>
                      <w:szCs w:val="21"/>
                    </w:rPr>
                  </w:pPr>
                  <w:r>
                    <w:rPr>
                      <w:rFonts w:hint="eastAsia"/>
                      <w:color w:val="auto"/>
                      <w:sz w:val="21"/>
                      <w:szCs w:val="21"/>
                    </w:rPr>
                    <w:t>规格</w:t>
                  </w:r>
                </w:p>
                <w:p>
                  <w:pPr>
                    <w:spacing w:line="240" w:lineRule="auto"/>
                    <w:ind w:firstLine="0" w:firstLineChars="0"/>
                    <w:jc w:val="center"/>
                    <w:rPr>
                      <w:color w:val="auto"/>
                      <w:sz w:val="21"/>
                      <w:szCs w:val="21"/>
                    </w:rPr>
                  </w:pPr>
                  <w:r>
                    <w:rPr>
                      <w:rFonts w:hint="eastAsia"/>
                      <w:color w:val="auto"/>
                      <w:sz w:val="21"/>
                      <w:szCs w:val="21"/>
                    </w:rPr>
                    <w:t>（长*宽*高）</w:t>
                  </w:r>
                </w:p>
              </w:tc>
              <w:tc>
                <w:tcPr>
                  <w:tcW w:w="2162" w:type="dxa"/>
                  <w:vAlign w:val="center"/>
                </w:tcPr>
                <w:p>
                  <w:pPr>
                    <w:spacing w:line="240" w:lineRule="auto"/>
                    <w:ind w:firstLine="0" w:firstLineChars="0"/>
                    <w:jc w:val="center"/>
                    <w:rPr>
                      <w:color w:val="auto"/>
                      <w:sz w:val="21"/>
                      <w:szCs w:val="21"/>
                    </w:rPr>
                  </w:pPr>
                  <w:r>
                    <w:rPr>
                      <w:rFonts w:hint="eastAsia"/>
                      <w:color w:val="auto"/>
                      <w:sz w:val="21"/>
                      <w:szCs w:val="21"/>
                    </w:rPr>
                    <w:t>4m*2m*3m</w:t>
                  </w:r>
                </w:p>
              </w:tc>
              <w:tc>
                <w:tcPr>
                  <w:tcW w:w="2038" w:type="dxa"/>
                  <w:vAlign w:val="center"/>
                </w:tcPr>
                <w:p>
                  <w:pPr>
                    <w:spacing w:line="240" w:lineRule="auto"/>
                    <w:ind w:firstLine="0" w:firstLineChars="0"/>
                    <w:jc w:val="center"/>
                    <w:rPr>
                      <w:color w:val="auto"/>
                      <w:sz w:val="21"/>
                      <w:szCs w:val="21"/>
                    </w:rPr>
                  </w:pPr>
                  <w:r>
                    <w:rPr>
                      <w:rFonts w:hint="eastAsia"/>
                      <w:color w:val="auto"/>
                      <w:sz w:val="21"/>
                      <w:szCs w:val="21"/>
                    </w:rPr>
                    <w:t>4.55*2.1*2.53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2" w:type="dxa"/>
                  <w:vAlign w:val="center"/>
                </w:tcPr>
                <w:p>
                  <w:pPr>
                    <w:spacing w:line="240" w:lineRule="auto"/>
                    <w:ind w:firstLine="0" w:firstLineChars="0"/>
                    <w:jc w:val="center"/>
                    <w:rPr>
                      <w:color w:val="auto"/>
                      <w:sz w:val="21"/>
                      <w:szCs w:val="21"/>
                    </w:rPr>
                  </w:pPr>
                  <w:r>
                    <w:rPr>
                      <w:rFonts w:hint="eastAsia"/>
                      <w:color w:val="auto"/>
                      <w:sz w:val="21"/>
                      <w:szCs w:val="21"/>
                    </w:rPr>
                    <w:t>4</w:t>
                  </w:r>
                </w:p>
              </w:tc>
              <w:tc>
                <w:tcPr>
                  <w:tcW w:w="2533" w:type="dxa"/>
                  <w:gridSpan w:val="2"/>
                  <w:vAlign w:val="center"/>
                </w:tcPr>
                <w:p>
                  <w:pPr>
                    <w:spacing w:line="240" w:lineRule="auto"/>
                    <w:ind w:firstLine="0" w:firstLineChars="0"/>
                    <w:jc w:val="center"/>
                    <w:rPr>
                      <w:color w:val="auto"/>
                      <w:sz w:val="21"/>
                      <w:szCs w:val="21"/>
                    </w:rPr>
                  </w:pPr>
                  <w:r>
                    <w:rPr>
                      <w:rFonts w:hint="eastAsia"/>
                      <w:color w:val="auto"/>
                      <w:sz w:val="21"/>
                      <w:szCs w:val="21"/>
                    </w:rPr>
                    <w:t>风机风量</w:t>
                  </w:r>
                </w:p>
              </w:tc>
              <w:tc>
                <w:tcPr>
                  <w:tcW w:w="2162" w:type="dxa"/>
                  <w:vAlign w:val="center"/>
                </w:tcPr>
                <w:p>
                  <w:pPr>
                    <w:spacing w:line="240" w:lineRule="auto"/>
                    <w:ind w:firstLine="0" w:firstLineChars="0"/>
                    <w:jc w:val="center"/>
                    <w:rPr>
                      <w:color w:val="auto"/>
                      <w:sz w:val="21"/>
                      <w:szCs w:val="21"/>
                    </w:rPr>
                  </w:pPr>
                  <w:r>
                    <w:rPr>
                      <w:rFonts w:hint="eastAsia"/>
                      <w:color w:val="auto"/>
                      <w:sz w:val="21"/>
                      <w:szCs w:val="21"/>
                    </w:rPr>
                    <w:t>400m</w:t>
                  </w:r>
                  <w:r>
                    <w:rPr>
                      <w:rFonts w:hint="eastAsia"/>
                      <w:color w:val="auto"/>
                      <w:sz w:val="21"/>
                      <w:szCs w:val="21"/>
                      <w:vertAlign w:val="superscript"/>
                    </w:rPr>
                    <w:t>3</w:t>
                  </w:r>
                  <w:r>
                    <w:rPr>
                      <w:rFonts w:hint="eastAsia"/>
                      <w:color w:val="auto"/>
                      <w:sz w:val="21"/>
                      <w:szCs w:val="21"/>
                    </w:rPr>
                    <w:t>/h</w:t>
                  </w:r>
                </w:p>
              </w:tc>
              <w:tc>
                <w:tcPr>
                  <w:tcW w:w="2038" w:type="dxa"/>
                  <w:vAlign w:val="center"/>
                </w:tcPr>
                <w:p>
                  <w:pPr>
                    <w:spacing w:line="240" w:lineRule="auto"/>
                    <w:ind w:firstLine="0" w:firstLineChars="0"/>
                    <w:jc w:val="center"/>
                    <w:rPr>
                      <w:color w:val="auto"/>
                      <w:sz w:val="21"/>
                      <w:szCs w:val="21"/>
                    </w:rPr>
                  </w:pPr>
                  <w:r>
                    <w:rPr>
                      <w:rFonts w:hint="eastAsia"/>
                      <w:color w:val="auto"/>
                      <w:sz w:val="21"/>
                      <w:szCs w:val="21"/>
                    </w:rPr>
                    <w:t>400m</w:t>
                  </w:r>
                  <w:r>
                    <w:rPr>
                      <w:rFonts w:hint="eastAsia"/>
                      <w:color w:val="auto"/>
                      <w:sz w:val="21"/>
                      <w:szCs w:val="21"/>
                      <w:vertAlign w:val="superscript"/>
                    </w:rPr>
                    <w:t>3</w:t>
                  </w:r>
                  <w:r>
                    <w:rPr>
                      <w:rFonts w:hint="eastAsia"/>
                      <w:color w:val="auto"/>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2" w:type="dxa"/>
                  <w:vAlign w:val="center"/>
                </w:tcPr>
                <w:p>
                  <w:pPr>
                    <w:spacing w:line="240" w:lineRule="auto"/>
                    <w:ind w:firstLine="0" w:firstLineChars="0"/>
                    <w:jc w:val="center"/>
                    <w:rPr>
                      <w:color w:val="auto"/>
                      <w:sz w:val="21"/>
                      <w:szCs w:val="21"/>
                    </w:rPr>
                  </w:pPr>
                  <w:r>
                    <w:rPr>
                      <w:rFonts w:hint="eastAsia"/>
                      <w:color w:val="auto"/>
                      <w:sz w:val="21"/>
                      <w:szCs w:val="21"/>
                    </w:rPr>
                    <w:t>5</w:t>
                  </w:r>
                </w:p>
              </w:tc>
              <w:tc>
                <w:tcPr>
                  <w:tcW w:w="2533" w:type="dxa"/>
                  <w:gridSpan w:val="2"/>
                  <w:vAlign w:val="center"/>
                </w:tcPr>
                <w:p>
                  <w:pPr>
                    <w:spacing w:line="240" w:lineRule="auto"/>
                    <w:ind w:firstLine="0" w:firstLineChars="0"/>
                    <w:jc w:val="center"/>
                    <w:rPr>
                      <w:color w:val="auto"/>
                      <w:sz w:val="21"/>
                      <w:szCs w:val="21"/>
                    </w:rPr>
                  </w:pPr>
                  <w:r>
                    <w:rPr>
                      <w:rFonts w:hint="eastAsia"/>
                      <w:color w:val="auto"/>
                      <w:sz w:val="21"/>
                      <w:szCs w:val="21"/>
                    </w:rPr>
                    <w:t>热效率</w:t>
                  </w:r>
                </w:p>
              </w:tc>
              <w:tc>
                <w:tcPr>
                  <w:tcW w:w="2162" w:type="dxa"/>
                  <w:vAlign w:val="center"/>
                </w:tcPr>
                <w:p>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rPr>
                    <w:t>92.2</w:t>
                  </w:r>
                  <w:r>
                    <w:rPr>
                      <w:rFonts w:hint="eastAsia"/>
                      <w:color w:val="auto"/>
                      <w:sz w:val="21"/>
                      <w:szCs w:val="21"/>
                      <w:lang w:val="en-US" w:eastAsia="zh-CN"/>
                    </w:rPr>
                    <w:t>%</w:t>
                  </w:r>
                </w:p>
              </w:tc>
              <w:tc>
                <w:tcPr>
                  <w:tcW w:w="2038" w:type="dxa"/>
                  <w:vAlign w:val="center"/>
                </w:tcPr>
                <w:p>
                  <w:pPr>
                    <w:spacing w:line="240" w:lineRule="auto"/>
                    <w:ind w:firstLine="0" w:firstLineChars="0"/>
                    <w:jc w:val="center"/>
                    <w:rPr>
                      <w:rFonts w:hint="eastAsia" w:eastAsia="宋体"/>
                      <w:color w:val="auto"/>
                      <w:sz w:val="21"/>
                      <w:szCs w:val="21"/>
                      <w:lang w:val="en-US" w:eastAsia="zh-CN"/>
                    </w:rPr>
                  </w:pPr>
                  <w:r>
                    <w:rPr>
                      <w:rFonts w:hint="eastAsia"/>
                      <w:color w:val="auto"/>
                      <w:sz w:val="21"/>
                      <w:szCs w:val="21"/>
                    </w:rPr>
                    <w:t>93.2</w:t>
                  </w:r>
                  <w:r>
                    <w:rPr>
                      <w:rFonts w:hint="eastAsia"/>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2" w:type="dxa"/>
                  <w:vAlign w:val="center"/>
                </w:tcPr>
                <w:p>
                  <w:pPr>
                    <w:spacing w:line="240" w:lineRule="auto"/>
                    <w:ind w:firstLine="0" w:firstLineChars="0"/>
                    <w:jc w:val="center"/>
                    <w:rPr>
                      <w:color w:val="auto"/>
                      <w:sz w:val="21"/>
                      <w:szCs w:val="21"/>
                    </w:rPr>
                  </w:pPr>
                  <w:r>
                    <w:rPr>
                      <w:rFonts w:hint="eastAsia"/>
                      <w:color w:val="auto"/>
                      <w:sz w:val="21"/>
                      <w:szCs w:val="21"/>
                    </w:rPr>
                    <w:t>6</w:t>
                  </w:r>
                </w:p>
              </w:tc>
              <w:tc>
                <w:tcPr>
                  <w:tcW w:w="2533" w:type="dxa"/>
                  <w:gridSpan w:val="2"/>
                  <w:vAlign w:val="center"/>
                </w:tcPr>
                <w:p>
                  <w:pPr>
                    <w:spacing w:line="240" w:lineRule="auto"/>
                    <w:ind w:firstLine="0" w:firstLineChars="0"/>
                    <w:jc w:val="center"/>
                    <w:rPr>
                      <w:color w:val="auto"/>
                      <w:sz w:val="21"/>
                      <w:szCs w:val="21"/>
                    </w:rPr>
                  </w:pPr>
                  <w:r>
                    <w:rPr>
                      <w:rFonts w:hint="eastAsia"/>
                      <w:color w:val="auto"/>
                      <w:sz w:val="21"/>
                      <w:szCs w:val="21"/>
                    </w:rPr>
                    <w:t>运行时间</w:t>
                  </w:r>
                </w:p>
              </w:tc>
              <w:tc>
                <w:tcPr>
                  <w:tcW w:w="2162" w:type="dxa"/>
                  <w:vAlign w:val="center"/>
                </w:tcPr>
                <w:p>
                  <w:pPr>
                    <w:spacing w:line="240" w:lineRule="auto"/>
                    <w:ind w:firstLine="0" w:firstLineChars="0"/>
                    <w:jc w:val="center"/>
                    <w:rPr>
                      <w:color w:val="auto"/>
                      <w:sz w:val="21"/>
                      <w:szCs w:val="21"/>
                    </w:rPr>
                  </w:pPr>
                  <w:r>
                    <w:rPr>
                      <w:rFonts w:hint="eastAsia"/>
                      <w:color w:val="auto"/>
                      <w:sz w:val="21"/>
                      <w:szCs w:val="21"/>
                    </w:rPr>
                    <w:t>22h</w:t>
                  </w:r>
                </w:p>
              </w:tc>
              <w:tc>
                <w:tcPr>
                  <w:tcW w:w="2038" w:type="dxa"/>
                  <w:vAlign w:val="center"/>
                </w:tcPr>
                <w:p>
                  <w:pPr>
                    <w:spacing w:line="240" w:lineRule="auto"/>
                    <w:ind w:firstLine="0" w:firstLineChars="0"/>
                    <w:jc w:val="center"/>
                    <w:rPr>
                      <w:color w:val="auto"/>
                      <w:sz w:val="21"/>
                      <w:szCs w:val="21"/>
                    </w:rPr>
                  </w:pPr>
                  <w:r>
                    <w:rPr>
                      <w:rFonts w:hint="eastAsia"/>
                      <w:color w:val="auto"/>
                      <w:sz w:val="21"/>
                      <w:szCs w:val="21"/>
                    </w:rPr>
                    <w:t>18h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02" w:type="dxa"/>
                  <w:vAlign w:val="center"/>
                </w:tcPr>
                <w:p>
                  <w:pPr>
                    <w:spacing w:line="240" w:lineRule="auto"/>
                    <w:ind w:firstLine="0" w:firstLineChars="0"/>
                    <w:jc w:val="center"/>
                    <w:rPr>
                      <w:color w:val="auto"/>
                      <w:sz w:val="21"/>
                      <w:szCs w:val="21"/>
                    </w:rPr>
                  </w:pPr>
                  <w:r>
                    <w:rPr>
                      <w:rFonts w:hint="eastAsia"/>
                      <w:color w:val="auto"/>
                      <w:sz w:val="21"/>
                      <w:szCs w:val="21"/>
                    </w:rPr>
                    <w:t>7</w:t>
                  </w:r>
                </w:p>
              </w:tc>
              <w:tc>
                <w:tcPr>
                  <w:tcW w:w="2533" w:type="dxa"/>
                  <w:gridSpan w:val="2"/>
                  <w:vAlign w:val="center"/>
                </w:tcPr>
                <w:p>
                  <w:pPr>
                    <w:spacing w:line="240" w:lineRule="auto"/>
                    <w:ind w:firstLine="0" w:firstLineChars="0"/>
                    <w:jc w:val="center"/>
                    <w:rPr>
                      <w:color w:val="auto"/>
                      <w:sz w:val="21"/>
                      <w:szCs w:val="21"/>
                    </w:rPr>
                  </w:pPr>
                  <w:r>
                    <w:rPr>
                      <w:color w:val="auto"/>
                      <w:sz w:val="21"/>
                      <w:szCs w:val="21"/>
                    </w:rPr>
                    <w:t>锅炉的额定出力</w:t>
                  </w:r>
                </w:p>
              </w:tc>
              <w:tc>
                <w:tcPr>
                  <w:tcW w:w="2162" w:type="dxa"/>
                  <w:vAlign w:val="center"/>
                </w:tcPr>
                <w:p>
                  <w:pPr>
                    <w:spacing w:line="240" w:lineRule="auto"/>
                    <w:ind w:firstLine="0" w:firstLineChars="0"/>
                    <w:jc w:val="center"/>
                    <w:rPr>
                      <w:color w:val="auto"/>
                      <w:sz w:val="21"/>
                      <w:szCs w:val="21"/>
                    </w:rPr>
                  </w:pPr>
                  <w:r>
                    <w:rPr>
                      <w:color w:val="auto"/>
                      <w:sz w:val="21"/>
                      <w:szCs w:val="21"/>
                    </w:rPr>
                    <w:t>2t/h</w:t>
                  </w:r>
                </w:p>
              </w:tc>
              <w:tc>
                <w:tcPr>
                  <w:tcW w:w="2038" w:type="dxa"/>
                  <w:vAlign w:val="center"/>
                </w:tcPr>
                <w:p>
                  <w:pPr>
                    <w:spacing w:line="240" w:lineRule="auto"/>
                    <w:ind w:firstLine="0" w:firstLineChars="0"/>
                    <w:jc w:val="center"/>
                    <w:rPr>
                      <w:color w:val="auto"/>
                      <w:sz w:val="21"/>
                      <w:szCs w:val="21"/>
                    </w:rPr>
                  </w:pPr>
                  <w:r>
                    <w:rPr>
                      <w:rFonts w:hint="eastAsia"/>
                      <w:color w:val="auto"/>
                      <w:sz w:val="21"/>
                      <w:szCs w:val="21"/>
                    </w:rPr>
                    <w:t>3</w:t>
                  </w:r>
                  <w:r>
                    <w:rPr>
                      <w:color w:val="auto"/>
                      <w:sz w:val="21"/>
                      <w:szCs w:val="21"/>
                    </w:rPr>
                    <w:t>t/h</w:t>
                  </w:r>
                </w:p>
              </w:tc>
            </w:tr>
          </w:tbl>
          <w:p>
            <w:pPr>
              <w:ind w:firstLine="0" w:firstLineChars="0"/>
              <w:rPr>
                <w:b/>
                <w:bCs/>
                <w:color w:val="auto"/>
              </w:rPr>
            </w:pPr>
            <w:r>
              <w:rPr>
                <w:rFonts w:hint="eastAsia"/>
                <w:b/>
                <w:bCs/>
                <w:color w:val="auto"/>
              </w:rPr>
              <w:t>9、主要原辅材料及能源消耗情况</w:t>
            </w:r>
          </w:p>
          <w:p>
            <w:pPr>
              <w:ind w:firstLine="480"/>
              <w:rPr>
                <w:color w:val="auto"/>
              </w:rPr>
            </w:pPr>
            <w:r>
              <w:rPr>
                <w:rFonts w:hint="eastAsia"/>
                <w:color w:val="auto"/>
              </w:rPr>
              <w:t>（1）主要原辅材料用量及能耗</w:t>
            </w:r>
          </w:p>
          <w:p>
            <w:pPr>
              <w:ind w:firstLine="480"/>
              <w:rPr>
                <w:b/>
                <w:bCs/>
                <w:color w:val="auto"/>
              </w:rPr>
            </w:pPr>
            <w:r>
              <w:rPr>
                <w:rFonts w:hint="eastAsia"/>
                <w:color w:val="auto"/>
              </w:rPr>
              <w:t>本项目主要原辅材料和能源消耗情况详见表2-7。</w:t>
            </w:r>
          </w:p>
          <w:p>
            <w:pPr>
              <w:spacing w:line="240" w:lineRule="auto"/>
              <w:ind w:firstLine="0" w:firstLineChars="0"/>
              <w:jc w:val="center"/>
              <w:rPr>
                <w:rStyle w:val="33"/>
                <w:color w:val="auto"/>
                <w:sz w:val="21"/>
                <w:szCs w:val="18"/>
              </w:rPr>
            </w:pPr>
            <w:r>
              <w:rPr>
                <w:rFonts w:hint="eastAsia"/>
                <w:b/>
                <w:bCs/>
                <w:color w:val="auto"/>
                <w:sz w:val="21"/>
                <w:szCs w:val="21"/>
              </w:rPr>
              <w:t xml:space="preserve">表2-7  </w:t>
            </w:r>
            <w:r>
              <w:rPr>
                <w:rStyle w:val="33"/>
                <w:rFonts w:hint="eastAsia"/>
                <w:color w:val="auto"/>
                <w:sz w:val="21"/>
                <w:szCs w:val="18"/>
              </w:rPr>
              <w:t>本项目主要原辅材料用量及能耗一览表</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3"/>
              <w:gridCol w:w="913"/>
              <w:gridCol w:w="1167"/>
              <w:gridCol w:w="1739"/>
              <w:gridCol w:w="34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7" w:type="pct"/>
                  <w:vAlign w:val="center"/>
                </w:tcPr>
                <w:p>
                  <w:pPr>
                    <w:pStyle w:val="30"/>
                    <w:rPr>
                      <w:color w:val="auto"/>
                    </w:rPr>
                  </w:pPr>
                  <w:r>
                    <w:rPr>
                      <w:rFonts w:hint="eastAsia"/>
                      <w:color w:val="auto"/>
                    </w:rPr>
                    <w:t>序号</w:t>
                  </w:r>
                </w:p>
              </w:tc>
              <w:tc>
                <w:tcPr>
                  <w:tcW w:w="582" w:type="pct"/>
                  <w:vAlign w:val="center"/>
                </w:tcPr>
                <w:p>
                  <w:pPr>
                    <w:pStyle w:val="30"/>
                    <w:rPr>
                      <w:color w:val="auto"/>
                    </w:rPr>
                  </w:pPr>
                  <w:r>
                    <w:rPr>
                      <w:rFonts w:hint="eastAsia"/>
                      <w:color w:val="auto"/>
                    </w:rPr>
                    <w:t>原辅料名称</w:t>
                  </w:r>
                </w:p>
              </w:tc>
              <w:tc>
                <w:tcPr>
                  <w:tcW w:w="744" w:type="pct"/>
                  <w:vAlign w:val="center"/>
                </w:tcPr>
                <w:p>
                  <w:pPr>
                    <w:pStyle w:val="30"/>
                    <w:rPr>
                      <w:color w:val="auto"/>
                    </w:rPr>
                  </w:pPr>
                  <w:r>
                    <w:rPr>
                      <w:rFonts w:hint="eastAsia"/>
                      <w:color w:val="auto"/>
                    </w:rPr>
                    <w:t>单位</w:t>
                  </w:r>
                </w:p>
              </w:tc>
              <w:tc>
                <w:tcPr>
                  <w:tcW w:w="1109" w:type="pct"/>
                  <w:vAlign w:val="center"/>
                </w:tcPr>
                <w:p>
                  <w:pPr>
                    <w:pStyle w:val="30"/>
                    <w:rPr>
                      <w:color w:val="auto"/>
                    </w:rPr>
                  </w:pPr>
                  <w:r>
                    <w:rPr>
                      <w:rFonts w:hint="eastAsia"/>
                      <w:color w:val="auto"/>
                    </w:rPr>
                    <w:t>年消耗量</w:t>
                  </w:r>
                </w:p>
              </w:tc>
              <w:tc>
                <w:tcPr>
                  <w:tcW w:w="2216" w:type="pct"/>
                  <w:vAlign w:val="center"/>
                </w:tcPr>
                <w:p>
                  <w:pPr>
                    <w:pStyle w:val="30"/>
                    <w:rPr>
                      <w:color w:val="auto"/>
                    </w:rPr>
                  </w:pPr>
                  <w:r>
                    <w:rPr>
                      <w:rFonts w:hint="eastAsia"/>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7" w:type="pct"/>
                  <w:vAlign w:val="center"/>
                </w:tcPr>
                <w:p>
                  <w:pPr>
                    <w:pStyle w:val="30"/>
                    <w:rPr>
                      <w:color w:val="auto"/>
                    </w:rPr>
                  </w:pPr>
                  <w:r>
                    <w:rPr>
                      <w:rFonts w:hint="eastAsia"/>
                      <w:color w:val="auto"/>
                    </w:rPr>
                    <w:t>1</w:t>
                  </w:r>
                </w:p>
              </w:tc>
              <w:tc>
                <w:tcPr>
                  <w:tcW w:w="582" w:type="pct"/>
                  <w:vAlign w:val="center"/>
                </w:tcPr>
                <w:p>
                  <w:pPr>
                    <w:pStyle w:val="30"/>
                    <w:rPr>
                      <w:color w:val="auto"/>
                    </w:rPr>
                  </w:pPr>
                  <w:r>
                    <w:rPr>
                      <w:rFonts w:hint="eastAsia"/>
                      <w:color w:val="auto"/>
                    </w:rPr>
                    <w:t>沼气</w:t>
                  </w:r>
                </w:p>
              </w:tc>
              <w:tc>
                <w:tcPr>
                  <w:tcW w:w="744" w:type="pct"/>
                  <w:vAlign w:val="center"/>
                </w:tcPr>
                <w:p>
                  <w:pPr>
                    <w:pStyle w:val="30"/>
                    <w:rPr>
                      <w:color w:val="auto"/>
                    </w:rPr>
                  </w:pPr>
                  <w:r>
                    <w:rPr>
                      <w:color w:val="auto"/>
                    </w:rPr>
                    <w:t>万m</w:t>
                  </w:r>
                  <w:r>
                    <w:rPr>
                      <w:rFonts w:hint="eastAsia"/>
                      <w:color w:val="auto"/>
                      <w:vertAlign w:val="superscript"/>
                    </w:rPr>
                    <w:t>3</w:t>
                  </w:r>
                </w:p>
              </w:tc>
              <w:tc>
                <w:tcPr>
                  <w:tcW w:w="1109" w:type="pct"/>
                  <w:vAlign w:val="center"/>
                </w:tcPr>
                <w:p>
                  <w:pPr>
                    <w:pStyle w:val="30"/>
                    <w:rPr>
                      <w:color w:val="auto"/>
                    </w:rPr>
                  </w:pPr>
                  <w:r>
                    <w:rPr>
                      <w:rFonts w:hint="eastAsia"/>
                      <w:color w:val="auto"/>
                    </w:rPr>
                    <w:t>233.5</w:t>
                  </w:r>
                </w:p>
              </w:tc>
              <w:tc>
                <w:tcPr>
                  <w:tcW w:w="2216" w:type="pct"/>
                  <w:vAlign w:val="center"/>
                </w:tcPr>
                <w:p>
                  <w:pPr>
                    <w:pStyle w:val="30"/>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7" w:type="pct"/>
                  <w:vAlign w:val="center"/>
                </w:tcPr>
                <w:p>
                  <w:pPr>
                    <w:pStyle w:val="30"/>
                    <w:rPr>
                      <w:color w:val="auto"/>
                    </w:rPr>
                  </w:pPr>
                  <w:r>
                    <w:rPr>
                      <w:rFonts w:hint="eastAsia"/>
                      <w:color w:val="auto"/>
                    </w:rPr>
                    <w:t>2</w:t>
                  </w:r>
                </w:p>
              </w:tc>
              <w:tc>
                <w:tcPr>
                  <w:tcW w:w="582" w:type="pct"/>
                  <w:vAlign w:val="center"/>
                </w:tcPr>
                <w:p>
                  <w:pPr>
                    <w:pStyle w:val="30"/>
                    <w:rPr>
                      <w:color w:val="auto"/>
                    </w:rPr>
                  </w:pPr>
                  <w:r>
                    <w:rPr>
                      <w:rFonts w:hint="eastAsia"/>
                      <w:color w:val="auto"/>
                    </w:rPr>
                    <w:t>电</w:t>
                  </w:r>
                </w:p>
              </w:tc>
              <w:tc>
                <w:tcPr>
                  <w:tcW w:w="744" w:type="pct"/>
                  <w:vAlign w:val="center"/>
                </w:tcPr>
                <w:p>
                  <w:pPr>
                    <w:pStyle w:val="30"/>
                    <w:rPr>
                      <w:color w:val="auto"/>
                    </w:rPr>
                  </w:pPr>
                  <w:r>
                    <w:rPr>
                      <w:rFonts w:hint="eastAsia"/>
                      <w:color w:val="auto"/>
                    </w:rPr>
                    <w:t>万kW·h/a</w:t>
                  </w:r>
                </w:p>
              </w:tc>
              <w:tc>
                <w:tcPr>
                  <w:tcW w:w="1109" w:type="pct"/>
                  <w:vAlign w:val="center"/>
                </w:tcPr>
                <w:p>
                  <w:pPr>
                    <w:pStyle w:val="30"/>
                    <w:rPr>
                      <w:color w:val="auto"/>
                    </w:rPr>
                  </w:pPr>
                  <w:r>
                    <w:rPr>
                      <w:rFonts w:hint="eastAsia"/>
                      <w:color w:val="auto"/>
                    </w:rPr>
                    <w:t>38.8</w:t>
                  </w:r>
                </w:p>
              </w:tc>
              <w:tc>
                <w:tcPr>
                  <w:tcW w:w="2216" w:type="pct"/>
                  <w:vAlign w:val="center"/>
                </w:tcPr>
                <w:p>
                  <w:pPr>
                    <w:pStyle w:val="30"/>
                    <w:rPr>
                      <w:color w:val="auto"/>
                    </w:rPr>
                  </w:pPr>
                  <w:r>
                    <w:rPr>
                      <w:color w:val="auto"/>
                    </w:rPr>
                    <w:t>由</w:t>
                  </w:r>
                  <w:r>
                    <w:rPr>
                      <w:rFonts w:hint="eastAsia"/>
                      <w:color w:val="auto"/>
                    </w:rPr>
                    <w:t>衡阳桑德凯天再生资源科技有限公司</w:t>
                  </w:r>
                  <w:r>
                    <w:rPr>
                      <w:color w:val="auto"/>
                    </w:rPr>
                    <w:t>供电网直接接入供给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7" w:type="pct"/>
                  <w:vAlign w:val="center"/>
                </w:tcPr>
                <w:p>
                  <w:pPr>
                    <w:pStyle w:val="30"/>
                    <w:rPr>
                      <w:color w:val="auto"/>
                    </w:rPr>
                  </w:pPr>
                  <w:r>
                    <w:rPr>
                      <w:rFonts w:hint="eastAsia"/>
                      <w:color w:val="auto"/>
                    </w:rPr>
                    <w:t>3</w:t>
                  </w:r>
                </w:p>
              </w:tc>
              <w:tc>
                <w:tcPr>
                  <w:tcW w:w="582" w:type="pct"/>
                  <w:vAlign w:val="center"/>
                </w:tcPr>
                <w:p>
                  <w:pPr>
                    <w:pStyle w:val="30"/>
                    <w:rPr>
                      <w:color w:val="auto"/>
                    </w:rPr>
                  </w:pPr>
                  <w:r>
                    <w:rPr>
                      <w:rFonts w:hint="eastAsia"/>
                      <w:color w:val="auto"/>
                    </w:rPr>
                    <w:t>新鲜水</w:t>
                  </w:r>
                </w:p>
              </w:tc>
              <w:tc>
                <w:tcPr>
                  <w:tcW w:w="744" w:type="pct"/>
                  <w:vAlign w:val="center"/>
                </w:tcPr>
                <w:p>
                  <w:pPr>
                    <w:pStyle w:val="30"/>
                    <w:rPr>
                      <w:bCs/>
                      <w:color w:val="auto"/>
                    </w:rPr>
                  </w:pPr>
                  <w:r>
                    <w:rPr>
                      <w:rFonts w:hint="eastAsia"/>
                      <w:color w:val="auto"/>
                    </w:rPr>
                    <w:t>t/a</w:t>
                  </w:r>
                </w:p>
              </w:tc>
              <w:tc>
                <w:tcPr>
                  <w:tcW w:w="1109" w:type="pct"/>
                  <w:vAlign w:val="center"/>
                </w:tcPr>
                <w:p>
                  <w:pPr>
                    <w:pStyle w:val="30"/>
                    <w:rPr>
                      <w:color w:val="auto"/>
                    </w:rPr>
                  </w:pPr>
                  <w:r>
                    <w:rPr>
                      <w:color w:val="auto"/>
                    </w:rPr>
                    <w:t>78.58</w:t>
                  </w:r>
                </w:p>
              </w:tc>
              <w:tc>
                <w:tcPr>
                  <w:tcW w:w="2216" w:type="pct"/>
                  <w:vAlign w:val="center"/>
                </w:tcPr>
                <w:p>
                  <w:pPr>
                    <w:pStyle w:val="30"/>
                    <w:rPr>
                      <w:color w:val="auto"/>
                    </w:rPr>
                  </w:pPr>
                  <w:r>
                    <w:rPr>
                      <w:rFonts w:hint="eastAsia"/>
                      <w:bCs/>
                      <w:color w:val="auto"/>
                    </w:rPr>
                    <w:t>市政</w:t>
                  </w:r>
                  <w:r>
                    <w:rPr>
                      <w:bCs/>
                      <w:color w:val="auto"/>
                    </w:rPr>
                    <w:t>给水管网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vAlign w:val="center"/>
                </w:tcPr>
                <w:p>
                  <w:pPr>
                    <w:pStyle w:val="30"/>
                    <w:jc w:val="both"/>
                    <w:rPr>
                      <w:color w:val="auto"/>
                    </w:rPr>
                  </w:pPr>
                  <w:r>
                    <w:rPr>
                      <w:rFonts w:hint="eastAsia"/>
                      <w:color w:val="auto"/>
                    </w:rPr>
                    <w:t>备注：本项目仅涉及沼气锅炉扩建，其余工程均依托现有。</w:t>
                  </w:r>
                </w:p>
              </w:tc>
            </w:tr>
          </w:tbl>
          <w:p>
            <w:pPr>
              <w:ind w:firstLine="480"/>
              <w:rPr>
                <w:color w:val="auto"/>
              </w:rPr>
            </w:pPr>
            <w:r>
              <w:rPr>
                <w:rFonts w:hint="eastAsia"/>
                <w:color w:val="auto"/>
              </w:rPr>
              <w:t>（2）</w:t>
            </w:r>
            <w:r>
              <w:rPr>
                <w:rFonts w:hint="eastAsia"/>
                <w:color w:val="auto"/>
                <w:lang w:val="en-US" w:eastAsia="zh-CN"/>
              </w:rPr>
              <w:t>沼气</w:t>
            </w:r>
            <w:r>
              <w:rPr>
                <w:rFonts w:hint="eastAsia"/>
                <w:color w:val="auto"/>
              </w:rPr>
              <w:t>理化性质</w:t>
            </w:r>
          </w:p>
          <w:p>
            <w:pPr>
              <w:ind w:firstLine="480"/>
              <w:rPr>
                <w:color w:val="auto"/>
              </w:rPr>
            </w:pPr>
            <w:r>
              <w:rPr>
                <w:rFonts w:hint="eastAsia"/>
                <w:color w:val="auto"/>
              </w:rPr>
              <w:t>本项目</w:t>
            </w:r>
            <w:r>
              <w:rPr>
                <w:rFonts w:hint="eastAsia"/>
                <w:color w:val="auto"/>
                <w:lang w:val="en-US" w:eastAsia="zh-CN"/>
              </w:rPr>
              <w:t>沼气</w:t>
            </w:r>
            <w:r>
              <w:rPr>
                <w:rFonts w:hint="eastAsia"/>
                <w:color w:val="auto"/>
              </w:rPr>
              <w:t>的理化性质情况</w:t>
            </w:r>
            <w:r>
              <w:rPr>
                <w:color w:val="auto"/>
              </w:rPr>
              <w:t>分析</w:t>
            </w:r>
            <w:r>
              <w:rPr>
                <w:rFonts w:hint="eastAsia"/>
                <w:color w:val="auto"/>
              </w:rPr>
              <w:t>见</w:t>
            </w:r>
            <w:r>
              <w:rPr>
                <w:color w:val="auto"/>
              </w:rPr>
              <w:t>表2</w:t>
            </w:r>
            <w:r>
              <w:rPr>
                <w:rFonts w:hint="eastAsia"/>
                <w:color w:val="auto"/>
              </w:rPr>
              <w:t>-8。</w:t>
            </w:r>
          </w:p>
          <w:p>
            <w:pPr>
              <w:pStyle w:val="29"/>
              <w:rPr>
                <w:rFonts w:hint="default"/>
                <w:color w:val="auto"/>
              </w:rPr>
            </w:pPr>
            <w:r>
              <w:rPr>
                <w:color w:val="auto"/>
              </w:rPr>
              <w:t>表2-8  原辅材料理化性质分析一览表</w:t>
            </w:r>
          </w:p>
          <w:p>
            <w:pPr>
              <w:spacing w:line="34" w:lineRule="exact"/>
              <w:ind w:firstLine="480"/>
              <w:rPr>
                <w:color w:val="auto"/>
              </w:rPr>
            </w:pPr>
          </w:p>
          <w:tbl>
            <w:tblPr>
              <w:tblStyle w:val="3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09"/>
              <w:gridCol w:w="1007"/>
              <w:gridCol w:w="4745"/>
              <w:gridCol w:w="1004"/>
              <w:gridCol w:w="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89" w:type="pct"/>
                  <w:vAlign w:val="center"/>
                </w:tcPr>
                <w:p>
                  <w:pPr>
                    <w:pStyle w:val="30"/>
                    <w:rPr>
                      <w:color w:val="auto"/>
                    </w:rPr>
                  </w:pPr>
                  <w:r>
                    <w:rPr>
                      <w:rFonts w:hint="eastAsia"/>
                      <w:color w:val="auto"/>
                    </w:rPr>
                    <w:t>名称</w:t>
                  </w:r>
                </w:p>
              </w:tc>
              <w:tc>
                <w:tcPr>
                  <w:tcW w:w="642" w:type="pct"/>
                  <w:vAlign w:val="center"/>
                </w:tcPr>
                <w:p>
                  <w:pPr>
                    <w:pStyle w:val="30"/>
                    <w:rPr>
                      <w:color w:val="auto"/>
                    </w:rPr>
                  </w:pPr>
                  <w:r>
                    <w:rPr>
                      <w:rFonts w:hint="eastAsia"/>
                      <w:color w:val="auto"/>
                    </w:rPr>
                    <w:t>主要成分</w:t>
                  </w:r>
                </w:p>
              </w:tc>
              <w:tc>
                <w:tcPr>
                  <w:tcW w:w="3026" w:type="pct"/>
                  <w:vAlign w:val="center"/>
                </w:tcPr>
                <w:p>
                  <w:pPr>
                    <w:pStyle w:val="30"/>
                    <w:rPr>
                      <w:color w:val="auto"/>
                    </w:rPr>
                  </w:pPr>
                  <w:r>
                    <w:rPr>
                      <w:rFonts w:hint="eastAsia"/>
                      <w:color w:val="auto"/>
                    </w:rPr>
                    <w:t>理化特性a</w:t>
                  </w:r>
                </w:p>
              </w:tc>
              <w:tc>
                <w:tcPr>
                  <w:tcW w:w="640" w:type="pct"/>
                  <w:vAlign w:val="center"/>
                </w:tcPr>
                <w:p>
                  <w:pPr>
                    <w:pStyle w:val="30"/>
                    <w:rPr>
                      <w:color w:val="auto"/>
                    </w:rPr>
                  </w:pPr>
                  <w:r>
                    <w:rPr>
                      <w:rFonts w:hint="eastAsia"/>
                      <w:color w:val="auto"/>
                    </w:rPr>
                    <w:t>燃烧爆炸性</w:t>
                  </w:r>
                </w:p>
              </w:tc>
              <w:tc>
                <w:tcPr>
                  <w:tcW w:w="301" w:type="pct"/>
                  <w:vAlign w:val="center"/>
                </w:tcPr>
                <w:p>
                  <w:pPr>
                    <w:pStyle w:val="30"/>
                    <w:rPr>
                      <w:color w:val="auto"/>
                    </w:rPr>
                  </w:pPr>
                  <w:r>
                    <w:rPr>
                      <w:rFonts w:hint="eastAsia"/>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3" w:hRule="atLeast"/>
              </w:trPr>
              <w:tc>
                <w:tcPr>
                  <w:tcW w:w="389" w:type="pct"/>
                  <w:vMerge w:val="restart"/>
                  <w:vAlign w:val="center"/>
                </w:tcPr>
                <w:p>
                  <w:pPr>
                    <w:pStyle w:val="30"/>
                    <w:rPr>
                      <w:color w:val="auto"/>
                    </w:rPr>
                  </w:pPr>
                  <w:r>
                    <w:rPr>
                      <w:rFonts w:hint="eastAsia"/>
                      <w:color w:val="auto"/>
                    </w:rPr>
                    <w:t>沼气</w:t>
                  </w:r>
                </w:p>
              </w:tc>
              <w:tc>
                <w:tcPr>
                  <w:tcW w:w="642" w:type="pct"/>
                  <w:vAlign w:val="center"/>
                </w:tcPr>
                <w:p>
                  <w:pPr>
                    <w:pStyle w:val="30"/>
                    <w:rPr>
                      <w:color w:val="auto"/>
                    </w:rPr>
                  </w:pPr>
                  <w:r>
                    <w:rPr>
                      <w:rFonts w:hint="eastAsia"/>
                      <w:color w:val="auto"/>
                    </w:rPr>
                    <w:t>甲烷</w:t>
                  </w:r>
                </w:p>
              </w:tc>
              <w:tc>
                <w:tcPr>
                  <w:tcW w:w="3026" w:type="pct"/>
                  <w:vAlign w:val="center"/>
                </w:tcPr>
                <w:p>
                  <w:pPr>
                    <w:pStyle w:val="30"/>
                    <w:jc w:val="both"/>
                    <w:rPr>
                      <w:color w:val="auto"/>
                    </w:rPr>
                  </w:pPr>
                  <w:r>
                    <w:rPr>
                      <w:rFonts w:hint="eastAsia"/>
                      <w:color w:val="auto"/>
                    </w:rPr>
                    <w:t>沼气约62.84%甲烷（CH</w:t>
                  </w:r>
                  <w:r>
                    <w:rPr>
                      <w:rFonts w:hint="eastAsia"/>
                      <w:color w:val="auto"/>
                      <w:vertAlign w:val="subscript"/>
                    </w:rPr>
                    <w:t>4</w:t>
                  </w:r>
                  <w:r>
                    <w:rPr>
                      <w:rFonts w:hint="eastAsia"/>
                      <w:color w:val="auto"/>
                    </w:rPr>
                    <w:t>）。由于沼气含有少量硫化氢，所以略带臭味。甲烷是一种理想的气体燃料，它无色无味，与适量空气混合后即会燃烧。与其他燃气相比，其抗爆性能较好，是一种很好的清洁燃料。</w:t>
                  </w:r>
                </w:p>
              </w:tc>
              <w:tc>
                <w:tcPr>
                  <w:tcW w:w="640" w:type="pct"/>
                  <w:vAlign w:val="center"/>
                </w:tcPr>
                <w:p>
                  <w:pPr>
                    <w:pStyle w:val="30"/>
                    <w:rPr>
                      <w:color w:val="auto"/>
                    </w:rPr>
                  </w:pPr>
                  <w:r>
                    <w:rPr>
                      <w:rFonts w:hint="eastAsia"/>
                      <w:color w:val="auto"/>
                    </w:rPr>
                    <w:t>爆炸</w:t>
                  </w:r>
                </w:p>
              </w:tc>
              <w:tc>
                <w:tcPr>
                  <w:tcW w:w="301" w:type="pct"/>
                  <w:vMerge w:val="restart"/>
                  <w:vAlign w:val="center"/>
                </w:tcPr>
                <w:p>
                  <w:pPr>
                    <w:pStyle w:val="30"/>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3" w:hRule="atLeast"/>
              </w:trPr>
              <w:tc>
                <w:tcPr>
                  <w:tcW w:w="389" w:type="pct"/>
                  <w:vMerge w:val="continue"/>
                  <w:vAlign w:val="center"/>
                </w:tcPr>
                <w:p>
                  <w:pPr>
                    <w:pStyle w:val="30"/>
                    <w:jc w:val="both"/>
                    <w:rPr>
                      <w:color w:val="auto"/>
                    </w:rPr>
                  </w:pPr>
                </w:p>
              </w:tc>
              <w:tc>
                <w:tcPr>
                  <w:tcW w:w="642" w:type="pct"/>
                  <w:vAlign w:val="center"/>
                </w:tcPr>
                <w:p>
                  <w:pPr>
                    <w:pStyle w:val="30"/>
                    <w:rPr>
                      <w:color w:val="auto"/>
                    </w:rPr>
                  </w:pPr>
                  <w:r>
                    <w:rPr>
                      <w:rFonts w:hint="eastAsia"/>
                      <w:color w:val="auto"/>
                    </w:rPr>
                    <w:t>二氧化碳</w:t>
                  </w:r>
                </w:p>
              </w:tc>
              <w:tc>
                <w:tcPr>
                  <w:tcW w:w="3026" w:type="pct"/>
                  <w:vAlign w:val="center"/>
                </w:tcPr>
                <w:p>
                  <w:pPr>
                    <w:pStyle w:val="30"/>
                    <w:jc w:val="both"/>
                    <w:rPr>
                      <w:color w:val="auto"/>
                    </w:rPr>
                  </w:pPr>
                  <w:r>
                    <w:rPr>
                      <w:rFonts w:hint="eastAsia"/>
                      <w:color w:val="auto"/>
                    </w:rPr>
                    <w:t>沼气约35.41%二氧化碳（CO</w:t>
                  </w:r>
                  <w:r>
                    <w:rPr>
                      <w:rFonts w:hint="eastAsia"/>
                      <w:color w:val="auto"/>
                      <w:vertAlign w:val="subscript"/>
                    </w:rPr>
                    <w:t>2</w:t>
                  </w:r>
                  <w:r>
                    <w:rPr>
                      <w:rFonts w:hint="eastAsia"/>
                      <w:color w:val="auto"/>
                    </w:rPr>
                    <w:t>）常温常压下为无色无味气体。密度比空气大（约1.5倍），容易积聚在低洼处。可溶于水，生成弱酸性的碳酸。</w:t>
                  </w:r>
                </w:p>
                <w:p>
                  <w:pPr>
                    <w:pStyle w:val="30"/>
                    <w:jc w:val="both"/>
                    <w:rPr>
                      <w:color w:val="auto"/>
                    </w:rPr>
                  </w:pPr>
                  <w:r>
                    <w:rPr>
                      <w:rFonts w:hint="eastAsia"/>
                      <w:color w:val="auto"/>
                    </w:rPr>
                    <w:t>化学性质稳定，在常温下不活泼。</w:t>
                  </w:r>
                </w:p>
              </w:tc>
              <w:tc>
                <w:tcPr>
                  <w:tcW w:w="640" w:type="pct"/>
                  <w:vMerge w:val="restart"/>
                  <w:vAlign w:val="center"/>
                </w:tcPr>
                <w:p>
                  <w:pPr>
                    <w:pStyle w:val="30"/>
                    <w:rPr>
                      <w:color w:val="auto"/>
                    </w:rPr>
                  </w:pPr>
                  <w:r>
                    <w:rPr>
                      <w:rFonts w:hint="eastAsia"/>
                      <w:color w:val="auto"/>
                    </w:rPr>
                    <w:t>本身无爆炸性</w:t>
                  </w:r>
                </w:p>
              </w:tc>
              <w:tc>
                <w:tcPr>
                  <w:tcW w:w="301" w:type="pct"/>
                  <w:vMerge w:val="continue"/>
                  <w:vAlign w:val="center"/>
                </w:tcPr>
                <w:p>
                  <w:pPr>
                    <w:pStyle w:val="30"/>
                    <w:jc w:val="both"/>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3" w:hRule="atLeast"/>
              </w:trPr>
              <w:tc>
                <w:tcPr>
                  <w:tcW w:w="389" w:type="pct"/>
                  <w:vMerge w:val="continue"/>
                  <w:vAlign w:val="center"/>
                </w:tcPr>
                <w:p>
                  <w:pPr>
                    <w:pStyle w:val="30"/>
                    <w:jc w:val="both"/>
                    <w:rPr>
                      <w:color w:val="auto"/>
                    </w:rPr>
                  </w:pPr>
                </w:p>
              </w:tc>
              <w:tc>
                <w:tcPr>
                  <w:tcW w:w="642" w:type="pct"/>
                  <w:vAlign w:val="center"/>
                </w:tcPr>
                <w:p>
                  <w:pPr>
                    <w:pStyle w:val="30"/>
                    <w:rPr>
                      <w:color w:val="auto"/>
                    </w:rPr>
                  </w:pPr>
                  <w:r>
                    <w:rPr>
                      <w:rFonts w:hint="eastAsia"/>
                      <w:color w:val="auto"/>
                    </w:rPr>
                    <w:t>氮气</w:t>
                  </w:r>
                </w:p>
              </w:tc>
              <w:tc>
                <w:tcPr>
                  <w:tcW w:w="3026" w:type="pct"/>
                  <w:vAlign w:val="center"/>
                </w:tcPr>
                <w:p>
                  <w:pPr>
                    <w:pStyle w:val="30"/>
                    <w:jc w:val="both"/>
                    <w:rPr>
                      <w:color w:val="auto"/>
                    </w:rPr>
                  </w:pPr>
                  <w:r>
                    <w:rPr>
                      <w:rFonts w:hint="eastAsia"/>
                      <w:color w:val="auto"/>
                    </w:rPr>
                    <w:t>沼气约1.34%氮气（N</w:t>
                  </w:r>
                  <w:r>
                    <w:rPr>
                      <w:rFonts w:hint="eastAsia"/>
                      <w:color w:val="auto"/>
                      <w:vertAlign w:val="subscript"/>
                    </w:rPr>
                    <w:t>2</w:t>
                  </w:r>
                  <w:r>
                    <w:rPr>
                      <w:rFonts w:hint="eastAsia"/>
                      <w:color w:val="auto"/>
                    </w:rPr>
                    <w:t>）状态： 常温常压下为无色无味无臭的气体。密度与空气接近（略轻）。难溶于水。</w:t>
                  </w:r>
                </w:p>
              </w:tc>
              <w:tc>
                <w:tcPr>
                  <w:tcW w:w="640" w:type="pct"/>
                  <w:vMerge w:val="continue"/>
                  <w:vAlign w:val="center"/>
                </w:tcPr>
                <w:p>
                  <w:pPr>
                    <w:pStyle w:val="30"/>
                    <w:rPr>
                      <w:color w:val="auto"/>
                    </w:rPr>
                  </w:pPr>
                </w:p>
              </w:tc>
              <w:tc>
                <w:tcPr>
                  <w:tcW w:w="301" w:type="pct"/>
                  <w:vMerge w:val="continue"/>
                  <w:vAlign w:val="center"/>
                </w:tcPr>
                <w:p>
                  <w:pPr>
                    <w:pStyle w:val="30"/>
                    <w:jc w:val="both"/>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3" w:hRule="atLeast"/>
              </w:trPr>
              <w:tc>
                <w:tcPr>
                  <w:tcW w:w="389" w:type="pct"/>
                  <w:vMerge w:val="continue"/>
                  <w:vAlign w:val="center"/>
                </w:tcPr>
                <w:p>
                  <w:pPr>
                    <w:pStyle w:val="30"/>
                    <w:jc w:val="both"/>
                    <w:rPr>
                      <w:color w:val="auto"/>
                    </w:rPr>
                  </w:pPr>
                </w:p>
              </w:tc>
              <w:tc>
                <w:tcPr>
                  <w:tcW w:w="642" w:type="pct"/>
                  <w:vAlign w:val="center"/>
                </w:tcPr>
                <w:p>
                  <w:pPr>
                    <w:pStyle w:val="30"/>
                    <w:rPr>
                      <w:color w:val="auto"/>
                    </w:rPr>
                  </w:pPr>
                  <w:r>
                    <w:rPr>
                      <w:rFonts w:hint="eastAsia"/>
                      <w:color w:val="auto"/>
                    </w:rPr>
                    <w:t>氧气</w:t>
                  </w:r>
                </w:p>
              </w:tc>
              <w:tc>
                <w:tcPr>
                  <w:tcW w:w="3026" w:type="pct"/>
                  <w:vAlign w:val="center"/>
                </w:tcPr>
                <w:p>
                  <w:pPr>
                    <w:pStyle w:val="30"/>
                    <w:jc w:val="both"/>
                    <w:rPr>
                      <w:color w:val="auto"/>
                    </w:rPr>
                  </w:pPr>
                  <w:r>
                    <w:rPr>
                      <w:rFonts w:hint="eastAsia"/>
                      <w:color w:val="auto"/>
                    </w:rPr>
                    <w:t>沼气约0.41%的氧气（O</w:t>
                  </w:r>
                  <w:r>
                    <w:rPr>
                      <w:rFonts w:hint="eastAsia"/>
                      <w:color w:val="auto"/>
                      <w:vertAlign w:val="subscript"/>
                    </w:rPr>
                    <w:t>2</w:t>
                  </w:r>
                  <w:r>
                    <w:rPr>
                      <w:rFonts w:hint="eastAsia"/>
                      <w:color w:val="auto"/>
                    </w:rPr>
                    <w:t>）， 常温常压下为无色无味气体。密度比空气略重。微溶于水，这是水生生物能存活的基础。</w:t>
                  </w:r>
                </w:p>
              </w:tc>
              <w:tc>
                <w:tcPr>
                  <w:tcW w:w="640" w:type="pct"/>
                  <w:vMerge w:val="continue"/>
                  <w:vAlign w:val="center"/>
                </w:tcPr>
                <w:p>
                  <w:pPr>
                    <w:pStyle w:val="30"/>
                    <w:rPr>
                      <w:color w:val="auto"/>
                    </w:rPr>
                  </w:pPr>
                </w:p>
              </w:tc>
              <w:tc>
                <w:tcPr>
                  <w:tcW w:w="301" w:type="pct"/>
                  <w:vMerge w:val="continue"/>
                  <w:vAlign w:val="center"/>
                </w:tcPr>
                <w:p>
                  <w:pPr>
                    <w:pStyle w:val="30"/>
                    <w:jc w:val="both"/>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00" w:type="pct"/>
                  <w:gridSpan w:val="5"/>
                  <w:vAlign w:val="center"/>
                </w:tcPr>
                <w:p>
                  <w:pPr>
                    <w:pStyle w:val="30"/>
                    <w:jc w:val="both"/>
                    <w:rPr>
                      <w:color w:val="auto"/>
                    </w:rPr>
                  </w:pPr>
                  <w:r>
                    <w:rPr>
                      <w:rFonts w:hint="eastAsia"/>
                      <w:color w:val="auto"/>
                    </w:rPr>
                    <w:t>a沼气主要成分为甲烷，理化性质为甲烷、二氧化碳、氮气、氧气的理化性质。</w:t>
                  </w:r>
                </w:p>
              </w:tc>
            </w:tr>
          </w:tbl>
          <w:p>
            <w:pPr>
              <w:ind w:firstLine="480"/>
              <w:rPr>
                <w:color w:val="auto"/>
              </w:rPr>
            </w:pPr>
            <w:r>
              <w:rPr>
                <w:rFonts w:hint="eastAsia"/>
                <w:b w:val="0"/>
                <w:bCs w:val="0"/>
                <w:color w:val="auto"/>
                <w:lang w:val="en-US" w:eastAsia="zh-CN"/>
              </w:rPr>
              <w:t>（3）</w:t>
            </w:r>
            <w:r>
              <w:rPr>
                <w:rFonts w:hint="eastAsia"/>
                <w:color w:val="auto"/>
                <w:lang w:val="en-US" w:eastAsia="zh-CN"/>
              </w:rPr>
              <w:t>沼气成分分析</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1083"/>
              <w:gridCol w:w="1973"/>
              <w:gridCol w:w="2099"/>
              <w:gridCol w:w="1004"/>
              <w:gridCol w:w="9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0"/>
                    <w:rPr>
                      <w:color w:val="auto"/>
                    </w:rPr>
                  </w:pPr>
                  <w:r>
                    <w:rPr>
                      <w:rFonts w:hint="eastAsia"/>
                      <w:color w:val="auto"/>
                    </w:rPr>
                    <w:t>序号</w:t>
                  </w:r>
                </w:p>
              </w:tc>
              <w:tc>
                <w:tcPr>
                  <w:tcW w:w="0" w:type="auto"/>
                  <w:vAlign w:val="center"/>
                </w:tcPr>
                <w:p>
                  <w:pPr>
                    <w:pStyle w:val="30"/>
                    <w:rPr>
                      <w:rFonts w:hint="eastAsia" w:eastAsia="宋体"/>
                      <w:color w:val="auto"/>
                      <w:lang w:eastAsia="zh-CN"/>
                    </w:rPr>
                  </w:pPr>
                  <w:r>
                    <w:rPr>
                      <w:rFonts w:hint="eastAsia"/>
                      <w:color w:val="auto"/>
                      <w:lang w:val="en-US" w:eastAsia="zh-CN"/>
                    </w:rPr>
                    <w:t>项目</w:t>
                  </w:r>
                </w:p>
              </w:tc>
              <w:tc>
                <w:tcPr>
                  <w:tcW w:w="0" w:type="auto"/>
                  <w:vAlign w:val="center"/>
                </w:tcPr>
                <w:p>
                  <w:pPr>
                    <w:pStyle w:val="30"/>
                    <w:rPr>
                      <w:color w:val="auto"/>
                    </w:rPr>
                  </w:pPr>
                  <w:r>
                    <w:rPr>
                      <w:rFonts w:hint="eastAsia"/>
                      <w:color w:val="auto"/>
                    </w:rPr>
                    <w:t>单位</w:t>
                  </w:r>
                </w:p>
              </w:tc>
              <w:tc>
                <w:tcPr>
                  <w:tcW w:w="0" w:type="auto"/>
                  <w:vAlign w:val="center"/>
                </w:tcPr>
                <w:p>
                  <w:pPr>
                    <w:pStyle w:val="30"/>
                    <w:rPr>
                      <w:rFonts w:hint="eastAsia" w:eastAsia="宋体"/>
                      <w:color w:val="auto"/>
                      <w:lang w:eastAsia="zh-CN"/>
                    </w:rPr>
                  </w:pPr>
                  <w:r>
                    <w:rPr>
                      <w:rFonts w:hint="eastAsia"/>
                      <w:color w:val="auto"/>
                      <w:lang w:val="en-US" w:eastAsia="zh-CN"/>
                    </w:rPr>
                    <w:t>检测标准</w:t>
                  </w:r>
                </w:p>
              </w:tc>
              <w:tc>
                <w:tcPr>
                  <w:tcW w:w="0" w:type="auto"/>
                  <w:vAlign w:val="center"/>
                </w:tcPr>
                <w:p>
                  <w:pPr>
                    <w:pStyle w:val="30"/>
                    <w:rPr>
                      <w:rFonts w:hint="eastAsia" w:eastAsia="宋体"/>
                      <w:color w:val="auto"/>
                      <w:lang w:eastAsia="zh-CN"/>
                    </w:rPr>
                  </w:pPr>
                  <w:r>
                    <w:rPr>
                      <w:rFonts w:hint="eastAsia"/>
                      <w:color w:val="auto"/>
                      <w:lang w:val="en-US" w:eastAsia="zh-CN"/>
                    </w:rPr>
                    <w:t>检出限</w:t>
                  </w:r>
                </w:p>
              </w:tc>
              <w:tc>
                <w:tcPr>
                  <w:tcW w:w="0" w:type="auto"/>
                  <w:vAlign w:val="center"/>
                </w:tcPr>
                <w:p>
                  <w:pPr>
                    <w:pStyle w:val="30"/>
                    <w:rPr>
                      <w:rFonts w:hint="default"/>
                      <w:color w:val="auto"/>
                      <w:lang w:val="en-US" w:eastAsia="zh-CN"/>
                    </w:rPr>
                  </w:pPr>
                  <w:r>
                    <w:rPr>
                      <w:rFonts w:hint="eastAsia"/>
                      <w:color w:val="auto"/>
                      <w:lang w:val="en-US" w:eastAsia="zh-CN"/>
                    </w:rPr>
                    <w:t>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0"/>
                    <w:rPr>
                      <w:color w:val="auto"/>
                    </w:rPr>
                  </w:pPr>
                  <w:r>
                    <w:rPr>
                      <w:rFonts w:hint="eastAsia"/>
                      <w:color w:val="auto"/>
                    </w:rPr>
                    <w:t>1</w:t>
                  </w:r>
                </w:p>
              </w:tc>
              <w:tc>
                <w:tcPr>
                  <w:tcW w:w="0" w:type="auto"/>
                  <w:vAlign w:val="center"/>
                </w:tcPr>
                <w:p>
                  <w:pPr>
                    <w:pStyle w:val="30"/>
                    <w:rPr>
                      <w:rFonts w:hint="eastAsia" w:eastAsia="宋体"/>
                      <w:color w:val="auto"/>
                      <w:lang w:val="en-US" w:eastAsia="zh-CN"/>
                    </w:rPr>
                  </w:pPr>
                  <w:r>
                    <w:rPr>
                      <w:rFonts w:hint="eastAsia"/>
                      <w:color w:val="auto"/>
                      <w:lang w:val="en-US" w:eastAsia="zh-CN"/>
                    </w:rPr>
                    <w:t>硫化氢</w:t>
                  </w:r>
                </w:p>
              </w:tc>
              <w:tc>
                <w:tcPr>
                  <w:tcW w:w="0" w:type="auto"/>
                  <w:vAlign w:val="center"/>
                </w:tcPr>
                <w:p>
                  <w:pPr>
                    <w:pStyle w:val="30"/>
                    <w:rPr>
                      <w:rFonts w:hint="default" w:eastAsia="宋体"/>
                      <w:color w:val="auto"/>
                      <w:lang w:val="en-US" w:eastAsia="zh-CN"/>
                    </w:rPr>
                  </w:pPr>
                  <w:r>
                    <w:rPr>
                      <w:rFonts w:hint="eastAsia"/>
                      <w:color w:val="auto"/>
                      <w:lang w:val="en-US" w:eastAsia="zh-CN"/>
                    </w:rPr>
                    <w:t>mg/m</w:t>
                  </w:r>
                  <w:r>
                    <w:rPr>
                      <w:rFonts w:hint="eastAsia"/>
                      <w:color w:val="auto"/>
                      <w:vertAlign w:val="superscript"/>
                      <w:lang w:val="en-US" w:eastAsia="zh-CN"/>
                    </w:rPr>
                    <w:t>3</w:t>
                  </w:r>
                </w:p>
              </w:tc>
              <w:tc>
                <w:tcPr>
                  <w:tcW w:w="0" w:type="auto"/>
                  <w:vAlign w:val="center"/>
                </w:tcPr>
                <w:p>
                  <w:pPr>
                    <w:pStyle w:val="30"/>
                    <w:rPr>
                      <w:rFonts w:hint="eastAsia" w:eastAsia="宋体"/>
                      <w:color w:val="auto"/>
                      <w:lang w:val="en-US" w:eastAsia="zh-CN"/>
                    </w:rPr>
                  </w:pPr>
                  <w:r>
                    <w:rPr>
                      <w:rFonts w:hint="eastAsia"/>
                      <w:color w:val="auto"/>
                      <w:lang w:val="en-US" w:eastAsia="zh-CN"/>
                    </w:rPr>
                    <w:t>实验室方法</w:t>
                  </w:r>
                </w:p>
              </w:tc>
              <w:tc>
                <w:tcPr>
                  <w:tcW w:w="0" w:type="auto"/>
                  <w:vAlign w:val="center"/>
                </w:tcPr>
                <w:p>
                  <w:pPr>
                    <w:pStyle w:val="30"/>
                    <w:rPr>
                      <w:rFonts w:hint="default" w:eastAsia="宋体"/>
                      <w:color w:val="auto"/>
                      <w:lang w:val="en-US" w:eastAsia="zh-CN"/>
                    </w:rPr>
                  </w:pPr>
                  <w:r>
                    <w:rPr>
                      <w:rFonts w:hint="eastAsia"/>
                      <w:color w:val="auto"/>
                      <w:lang w:val="en-US" w:eastAsia="zh-CN"/>
                    </w:rPr>
                    <w:t>100</w:t>
                  </w:r>
                </w:p>
              </w:tc>
              <w:tc>
                <w:tcPr>
                  <w:tcW w:w="0" w:type="auto"/>
                  <w:vAlign w:val="center"/>
                </w:tcPr>
                <w:p>
                  <w:pPr>
                    <w:pStyle w:val="30"/>
                    <w:rPr>
                      <w:rFonts w:hint="default" w:eastAsia="宋体"/>
                      <w:color w:val="auto"/>
                      <w:lang w:val="en-US" w:eastAsia="zh-CN"/>
                    </w:rPr>
                  </w:pPr>
                  <w:r>
                    <w:rPr>
                      <w:rFonts w:hint="eastAsia"/>
                      <w:color w:val="auto"/>
                      <w:lang w:val="en-US" w:eastAsia="zh-CN"/>
                    </w:rPr>
                    <w:t>2092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0"/>
                    <w:rPr>
                      <w:color w:val="auto"/>
                    </w:rPr>
                  </w:pPr>
                  <w:r>
                    <w:rPr>
                      <w:rFonts w:hint="eastAsia"/>
                      <w:color w:val="auto"/>
                    </w:rPr>
                    <w:t>2</w:t>
                  </w:r>
                </w:p>
              </w:tc>
              <w:tc>
                <w:tcPr>
                  <w:tcW w:w="0" w:type="auto"/>
                  <w:vAlign w:val="center"/>
                </w:tcPr>
                <w:p>
                  <w:pPr>
                    <w:pStyle w:val="30"/>
                    <w:rPr>
                      <w:rFonts w:hint="default" w:eastAsia="宋体"/>
                      <w:color w:val="auto"/>
                      <w:lang w:val="en-US" w:eastAsia="zh-CN"/>
                    </w:rPr>
                  </w:pPr>
                  <w:r>
                    <w:rPr>
                      <w:rFonts w:hint="eastAsia"/>
                      <w:color w:val="auto"/>
                      <w:lang w:val="en-US" w:eastAsia="zh-CN"/>
                    </w:rPr>
                    <w:t>甲烷</w:t>
                  </w:r>
                </w:p>
              </w:tc>
              <w:tc>
                <w:tcPr>
                  <w:tcW w:w="0" w:type="auto"/>
                  <w:vAlign w:val="center"/>
                </w:tcPr>
                <w:p>
                  <w:pPr>
                    <w:pStyle w:val="30"/>
                    <w:rPr>
                      <w:color w:val="auto"/>
                    </w:rPr>
                  </w:pPr>
                  <w:r>
                    <w:rPr>
                      <w:rFonts w:hint="eastAsia"/>
                      <w:color w:val="auto"/>
                      <w:lang w:val="en-US" w:eastAsia="zh-CN"/>
                    </w:rPr>
                    <w:t>%（mol/mol）</w:t>
                  </w:r>
                </w:p>
              </w:tc>
              <w:tc>
                <w:tcPr>
                  <w:tcW w:w="0" w:type="auto"/>
                  <w:vAlign w:val="center"/>
                </w:tcPr>
                <w:p>
                  <w:pPr>
                    <w:pStyle w:val="30"/>
                    <w:rPr>
                      <w:color w:val="auto"/>
                    </w:rPr>
                  </w:pPr>
                  <w:r>
                    <w:rPr>
                      <w:rFonts w:hint="eastAsia"/>
                      <w:color w:val="auto"/>
                      <w:lang w:val="en-US" w:eastAsia="zh-CN"/>
                    </w:rPr>
                    <w:t>GB/T 11062-2020</w:t>
                  </w:r>
                </w:p>
              </w:tc>
              <w:tc>
                <w:tcPr>
                  <w:tcW w:w="0" w:type="auto"/>
                  <w:vAlign w:val="center"/>
                </w:tcPr>
                <w:p>
                  <w:pPr>
                    <w:pStyle w:val="30"/>
                    <w:rPr>
                      <w:rFonts w:hint="default" w:eastAsia="宋体"/>
                      <w:color w:val="auto"/>
                      <w:lang w:val="en-US" w:eastAsia="zh-CN"/>
                    </w:rPr>
                  </w:pPr>
                  <w:r>
                    <w:rPr>
                      <w:rFonts w:hint="eastAsia"/>
                      <w:color w:val="auto"/>
                      <w:lang w:val="en-US" w:eastAsia="zh-CN"/>
                    </w:rPr>
                    <w:t>0.01</w:t>
                  </w:r>
                </w:p>
              </w:tc>
              <w:tc>
                <w:tcPr>
                  <w:tcW w:w="0" w:type="auto"/>
                  <w:vAlign w:val="center"/>
                </w:tcPr>
                <w:p>
                  <w:pPr>
                    <w:pStyle w:val="30"/>
                    <w:rPr>
                      <w:rFonts w:hint="default" w:eastAsia="宋体"/>
                      <w:color w:val="auto"/>
                      <w:lang w:val="en-US" w:eastAsia="zh-CN"/>
                    </w:rPr>
                  </w:pPr>
                  <w:r>
                    <w:rPr>
                      <w:rFonts w:hint="eastAsia"/>
                      <w:color w:val="auto"/>
                      <w:lang w:val="en-US" w:eastAsia="zh-CN"/>
                    </w:rPr>
                    <w:t>62.84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0"/>
                    <w:rPr>
                      <w:color w:val="auto"/>
                    </w:rPr>
                  </w:pPr>
                  <w:r>
                    <w:rPr>
                      <w:rFonts w:hint="eastAsia"/>
                      <w:color w:val="auto"/>
                    </w:rPr>
                    <w:t>3</w:t>
                  </w:r>
                </w:p>
              </w:tc>
              <w:tc>
                <w:tcPr>
                  <w:tcW w:w="0" w:type="auto"/>
                  <w:vAlign w:val="center"/>
                </w:tcPr>
                <w:p>
                  <w:pPr>
                    <w:pStyle w:val="30"/>
                    <w:rPr>
                      <w:rFonts w:hint="eastAsia" w:eastAsia="宋体"/>
                      <w:color w:val="auto"/>
                      <w:lang w:val="en-US" w:eastAsia="zh-CN"/>
                    </w:rPr>
                  </w:pPr>
                  <w:r>
                    <w:rPr>
                      <w:rFonts w:hint="eastAsia"/>
                      <w:color w:val="auto"/>
                      <w:lang w:val="en-US" w:eastAsia="zh-CN"/>
                    </w:rPr>
                    <w:t>二氧化碳</w:t>
                  </w:r>
                </w:p>
              </w:tc>
              <w:tc>
                <w:tcPr>
                  <w:tcW w:w="0" w:type="auto"/>
                  <w:vAlign w:val="center"/>
                </w:tcPr>
                <w:p>
                  <w:pPr>
                    <w:pStyle w:val="30"/>
                    <w:rPr>
                      <w:bCs/>
                      <w:color w:val="auto"/>
                    </w:rPr>
                  </w:pPr>
                  <w:r>
                    <w:rPr>
                      <w:rFonts w:hint="eastAsia"/>
                      <w:color w:val="auto"/>
                      <w:lang w:val="en-US" w:eastAsia="zh-CN"/>
                    </w:rPr>
                    <w:t>%（mol/mol）</w:t>
                  </w:r>
                </w:p>
              </w:tc>
              <w:tc>
                <w:tcPr>
                  <w:tcW w:w="0" w:type="auto"/>
                  <w:vAlign w:val="center"/>
                </w:tcPr>
                <w:p>
                  <w:pPr>
                    <w:pStyle w:val="30"/>
                    <w:rPr>
                      <w:color w:val="auto"/>
                    </w:rPr>
                  </w:pPr>
                  <w:r>
                    <w:rPr>
                      <w:rFonts w:hint="eastAsia"/>
                      <w:color w:val="auto"/>
                      <w:lang w:val="en-US" w:eastAsia="zh-CN"/>
                    </w:rPr>
                    <w:t>GB/T 11062-2020</w:t>
                  </w:r>
                </w:p>
              </w:tc>
              <w:tc>
                <w:tcPr>
                  <w:tcW w:w="0" w:type="auto"/>
                  <w:vAlign w:val="center"/>
                </w:tcPr>
                <w:p>
                  <w:pPr>
                    <w:pStyle w:val="30"/>
                    <w:rPr>
                      <w:rFonts w:hint="default" w:eastAsia="宋体"/>
                      <w:color w:val="auto"/>
                      <w:lang w:val="en-US" w:eastAsia="zh-CN"/>
                    </w:rPr>
                  </w:pPr>
                  <w:r>
                    <w:rPr>
                      <w:rFonts w:hint="eastAsia"/>
                      <w:color w:val="auto"/>
                      <w:lang w:val="en-US" w:eastAsia="zh-CN"/>
                    </w:rPr>
                    <w:t>0.01</w:t>
                  </w:r>
                </w:p>
              </w:tc>
              <w:tc>
                <w:tcPr>
                  <w:tcW w:w="0" w:type="auto"/>
                  <w:vAlign w:val="center"/>
                </w:tcPr>
                <w:p>
                  <w:pPr>
                    <w:pStyle w:val="30"/>
                    <w:rPr>
                      <w:rFonts w:hint="default" w:eastAsia="宋体"/>
                      <w:bCs/>
                      <w:color w:val="auto"/>
                      <w:lang w:val="en-US" w:eastAsia="zh-CN"/>
                    </w:rPr>
                  </w:pPr>
                  <w:r>
                    <w:rPr>
                      <w:rFonts w:hint="eastAsia"/>
                      <w:bCs/>
                      <w:color w:val="auto"/>
                      <w:lang w:val="en-US" w:eastAsia="zh-CN"/>
                    </w:rPr>
                    <w:t>35.41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30"/>
                    <w:rPr>
                      <w:rFonts w:hint="eastAsia" w:eastAsia="宋体"/>
                      <w:color w:val="auto"/>
                      <w:lang w:val="en-US" w:eastAsia="zh-CN"/>
                    </w:rPr>
                  </w:pPr>
                  <w:r>
                    <w:rPr>
                      <w:rFonts w:hint="eastAsia"/>
                      <w:color w:val="auto"/>
                      <w:lang w:val="en-US" w:eastAsia="zh-CN"/>
                    </w:rPr>
                    <w:t>4</w:t>
                  </w:r>
                </w:p>
              </w:tc>
              <w:tc>
                <w:tcPr>
                  <w:tcW w:w="0" w:type="auto"/>
                  <w:vAlign w:val="center"/>
                </w:tcPr>
                <w:p>
                  <w:pPr>
                    <w:pStyle w:val="30"/>
                    <w:rPr>
                      <w:rFonts w:hint="eastAsia" w:eastAsia="宋体"/>
                      <w:color w:val="auto"/>
                      <w:lang w:val="en-US" w:eastAsia="zh-CN"/>
                    </w:rPr>
                  </w:pPr>
                  <w:r>
                    <w:rPr>
                      <w:rFonts w:hint="eastAsia"/>
                      <w:color w:val="auto"/>
                      <w:lang w:val="en-US" w:eastAsia="zh-CN"/>
                    </w:rPr>
                    <w:t>氧气</w:t>
                  </w:r>
                </w:p>
              </w:tc>
              <w:tc>
                <w:tcPr>
                  <w:tcW w:w="0" w:type="auto"/>
                  <w:vAlign w:val="center"/>
                </w:tcPr>
                <w:p>
                  <w:pPr>
                    <w:pStyle w:val="30"/>
                    <w:ind w:firstLine="0" w:firstLineChars="0"/>
                    <w:rPr>
                      <w:rFonts w:hint="eastAsia" w:ascii="Times New Roman" w:hAnsi="Times New Roman" w:eastAsia="宋体" w:cs="Times New Roman"/>
                      <w:color w:val="auto"/>
                      <w:kern w:val="0"/>
                      <w:sz w:val="21"/>
                      <w:szCs w:val="21"/>
                      <w:lang w:val="en-US" w:eastAsia="zh-CN" w:bidi="ar-SA"/>
                    </w:rPr>
                  </w:pPr>
                  <w:r>
                    <w:rPr>
                      <w:rFonts w:hint="eastAsia"/>
                      <w:color w:val="auto"/>
                      <w:lang w:val="en-US" w:eastAsia="zh-CN"/>
                    </w:rPr>
                    <w:t>%（mol/mol）</w:t>
                  </w:r>
                </w:p>
              </w:tc>
              <w:tc>
                <w:tcPr>
                  <w:tcW w:w="0" w:type="auto"/>
                  <w:vAlign w:val="center"/>
                </w:tcPr>
                <w:p>
                  <w:pPr>
                    <w:pStyle w:val="30"/>
                    <w:rPr>
                      <w:color w:val="auto"/>
                    </w:rPr>
                  </w:pPr>
                  <w:r>
                    <w:rPr>
                      <w:rFonts w:hint="eastAsia"/>
                      <w:color w:val="auto"/>
                      <w:lang w:val="en-US" w:eastAsia="zh-CN"/>
                    </w:rPr>
                    <w:t>GB/T 11062-2020</w:t>
                  </w:r>
                </w:p>
              </w:tc>
              <w:tc>
                <w:tcPr>
                  <w:tcW w:w="0" w:type="auto"/>
                  <w:vAlign w:val="center"/>
                </w:tcPr>
                <w:p>
                  <w:pPr>
                    <w:pStyle w:val="30"/>
                    <w:rPr>
                      <w:rFonts w:hint="default" w:eastAsia="宋体"/>
                      <w:color w:val="auto"/>
                      <w:lang w:val="en-US" w:eastAsia="zh-CN"/>
                    </w:rPr>
                  </w:pPr>
                  <w:r>
                    <w:rPr>
                      <w:rFonts w:hint="eastAsia"/>
                      <w:color w:val="auto"/>
                      <w:lang w:val="en-US" w:eastAsia="zh-CN"/>
                    </w:rPr>
                    <w:t>0.01</w:t>
                  </w:r>
                </w:p>
              </w:tc>
              <w:tc>
                <w:tcPr>
                  <w:tcW w:w="0" w:type="auto"/>
                  <w:vAlign w:val="center"/>
                </w:tcPr>
                <w:p>
                  <w:pPr>
                    <w:pStyle w:val="30"/>
                    <w:rPr>
                      <w:rFonts w:hint="default" w:eastAsia="宋体"/>
                      <w:bCs/>
                      <w:color w:val="auto"/>
                      <w:lang w:val="en-US" w:eastAsia="zh-CN"/>
                    </w:rPr>
                  </w:pPr>
                  <w:r>
                    <w:rPr>
                      <w:rFonts w:hint="eastAsia"/>
                      <w:bCs/>
                      <w:color w:val="auto"/>
                      <w:lang w:val="en-US" w:eastAsia="zh-CN"/>
                    </w:rPr>
                    <w:t>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0" w:type="auto"/>
                  <w:vAlign w:val="center"/>
                </w:tcPr>
                <w:p>
                  <w:pPr>
                    <w:pStyle w:val="30"/>
                    <w:rPr>
                      <w:rFonts w:hint="eastAsia" w:eastAsia="宋体"/>
                      <w:color w:val="auto"/>
                      <w:lang w:val="en-US" w:eastAsia="zh-CN"/>
                    </w:rPr>
                  </w:pPr>
                  <w:r>
                    <w:rPr>
                      <w:rFonts w:hint="eastAsia"/>
                      <w:color w:val="auto"/>
                      <w:lang w:val="en-US" w:eastAsia="zh-CN"/>
                    </w:rPr>
                    <w:t>5</w:t>
                  </w:r>
                </w:p>
              </w:tc>
              <w:tc>
                <w:tcPr>
                  <w:tcW w:w="0" w:type="auto"/>
                  <w:vAlign w:val="center"/>
                </w:tcPr>
                <w:p>
                  <w:pPr>
                    <w:pStyle w:val="30"/>
                    <w:rPr>
                      <w:rFonts w:hint="eastAsia" w:eastAsia="宋体"/>
                      <w:color w:val="auto"/>
                      <w:lang w:val="en-US" w:eastAsia="zh-CN"/>
                    </w:rPr>
                  </w:pPr>
                  <w:r>
                    <w:rPr>
                      <w:rFonts w:hint="eastAsia"/>
                      <w:color w:val="auto"/>
                      <w:lang w:val="en-US" w:eastAsia="zh-CN"/>
                    </w:rPr>
                    <w:t>氮气</w:t>
                  </w:r>
                </w:p>
              </w:tc>
              <w:tc>
                <w:tcPr>
                  <w:tcW w:w="0" w:type="auto"/>
                  <w:vAlign w:val="center"/>
                </w:tcPr>
                <w:p>
                  <w:pPr>
                    <w:pStyle w:val="30"/>
                    <w:ind w:firstLine="0" w:firstLineChars="0"/>
                    <w:rPr>
                      <w:rFonts w:hint="eastAsia" w:ascii="Times New Roman" w:hAnsi="Times New Roman" w:eastAsia="宋体" w:cs="Times New Roman"/>
                      <w:bCs/>
                      <w:color w:val="auto"/>
                      <w:kern w:val="0"/>
                      <w:sz w:val="21"/>
                      <w:szCs w:val="21"/>
                      <w:lang w:val="en-US" w:eastAsia="zh-CN" w:bidi="ar-SA"/>
                    </w:rPr>
                  </w:pPr>
                  <w:r>
                    <w:rPr>
                      <w:rFonts w:hint="eastAsia"/>
                      <w:color w:val="auto"/>
                      <w:lang w:val="en-US" w:eastAsia="zh-CN"/>
                    </w:rPr>
                    <w:t>%（mol/mol）</w:t>
                  </w:r>
                </w:p>
              </w:tc>
              <w:tc>
                <w:tcPr>
                  <w:tcW w:w="0" w:type="auto"/>
                  <w:vAlign w:val="center"/>
                </w:tcPr>
                <w:p>
                  <w:pPr>
                    <w:pStyle w:val="30"/>
                    <w:rPr>
                      <w:color w:val="auto"/>
                    </w:rPr>
                  </w:pPr>
                  <w:r>
                    <w:rPr>
                      <w:rFonts w:hint="eastAsia"/>
                      <w:color w:val="auto"/>
                      <w:lang w:val="en-US" w:eastAsia="zh-CN"/>
                    </w:rPr>
                    <w:t>GB/T 11062-2020</w:t>
                  </w:r>
                </w:p>
              </w:tc>
              <w:tc>
                <w:tcPr>
                  <w:tcW w:w="0" w:type="auto"/>
                  <w:vAlign w:val="center"/>
                </w:tcPr>
                <w:p>
                  <w:pPr>
                    <w:pStyle w:val="30"/>
                    <w:rPr>
                      <w:rFonts w:hint="default" w:eastAsia="宋体"/>
                      <w:color w:val="auto"/>
                      <w:lang w:val="en-US" w:eastAsia="zh-CN"/>
                    </w:rPr>
                  </w:pPr>
                  <w:r>
                    <w:rPr>
                      <w:rFonts w:hint="eastAsia"/>
                      <w:color w:val="auto"/>
                      <w:lang w:val="en-US" w:eastAsia="zh-CN"/>
                    </w:rPr>
                    <w:t>0.01</w:t>
                  </w:r>
                </w:p>
              </w:tc>
              <w:tc>
                <w:tcPr>
                  <w:tcW w:w="0" w:type="auto"/>
                  <w:vAlign w:val="center"/>
                </w:tcPr>
                <w:p>
                  <w:pPr>
                    <w:pStyle w:val="30"/>
                    <w:rPr>
                      <w:rFonts w:hint="default" w:eastAsia="宋体"/>
                      <w:bCs/>
                      <w:color w:val="auto"/>
                      <w:lang w:val="en-US" w:eastAsia="zh-CN"/>
                    </w:rPr>
                  </w:pPr>
                  <w:r>
                    <w:rPr>
                      <w:rFonts w:hint="eastAsia"/>
                      <w:bCs/>
                      <w:color w:val="auto"/>
                      <w:lang w:val="en-US" w:eastAsia="zh-CN"/>
                    </w:rPr>
                    <w:t>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gridSpan w:val="6"/>
                  <w:vAlign w:val="center"/>
                </w:tcPr>
                <w:p>
                  <w:pPr>
                    <w:pStyle w:val="30"/>
                    <w:keepNext w:val="0"/>
                    <w:keepLines w:val="0"/>
                    <w:pageBreakBefore w:val="0"/>
                    <w:widowControl w:val="0"/>
                    <w:kinsoku/>
                    <w:wordWrap/>
                    <w:overflowPunct/>
                    <w:topLinePunct w:val="0"/>
                    <w:autoSpaceDE/>
                    <w:autoSpaceDN/>
                    <w:bidi w:val="0"/>
                    <w:spacing w:line="240" w:lineRule="auto"/>
                    <w:ind w:firstLine="0" w:firstLineChars="0"/>
                    <w:jc w:val="both"/>
                    <w:textAlignment w:val="auto"/>
                    <w:rPr>
                      <w:rFonts w:hint="default"/>
                      <w:color w:val="auto"/>
                      <w:lang w:val="en-US" w:eastAsia="zh-CN"/>
                    </w:rPr>
                  </w:pPr>
                  <w:r>
                    <w:rPr>
                      <w:rFonts w:hint="eastAsia"/>
                      <w:color w:val="auto"/>
                    </w:rPr>
                    <w:t>备注：</w:t>
                  </w:r>
                  <w:r>
                    <w:rPr>
                      <w:rFonts w:hint="eastAsia"/>
                      <w:color w:val="auto"/>
                      <w:lang w:val="en-US" w:eastAsia="zh-CN"/>
                    </w:rPr>
                    <w:t>①ND表示未检出，低于检出限；②GB/T 11062-2020为计算方法，项目结果基于GB/T 11062-2020所测定的组分含量。</w:t>
                  </w:r>
                </w:p>
              </w:tc>
            </w:tr>
          </w:tbl>
          <w:p>
            <w:pPr>
              <w:ind w:firstLine="0" w:firstLineChars="0"/>
              <w:rPr>
                <w:b/>
                <w:color w:val="auto"/>
                <w:szCs w:val="21"/>
              </w:rPr>
            </w:pPr>
            <w:r>
              <w:rPr>
                <w:rFonts w:hint="eastAsia"/>
                <w:b/>
                <w:bCs/>
                <w:color w:val="auto"/>
              </w:rPr>
              <w:t>10、</w:t>
            </w:r>
            <w:r>
              <w:rPr>
                <w:b/>
                <w:color w:val="auto"/>
                <w:szCs w:val="21"/>
              </w:rPr>
              <w:t>公用工程</w:t>
            </w:r>
          </w:p>
          <w:p>
            <w:pPr>
              <w:ind w:firstLine="480"/>
              <w:rPr>
                <w:color w:val="auto"/>
              </w:rPr>
            </w:pPr>
            <w:r>
              <w:rPr>
                <w:bCs/>
                <w:color w:val="auto"/>
                <w:szCs w:val="21"/>
              </w:rPr>
              <w:t>（1）给水</w:t>
            </w:r>
          </w:p>
          <w:p>
            <w:pPr>
              <w:pStyle w:val="12"/>
              <w:ind w:firstLine="480"/>
              <w:rPr>
                <w:bCs/>
                <w:color w:val="auto"/>
                <w:szCs w:val="21"/>
              </w:rPr>
            </w:pPr>
            <w:r>
              <w:rPr>
                <w:rFonts w:hint="eastAsia"/>
                <w:bCs/>
                <w:color w:val="auto"/>
                <w:szCs w:val="21"/>
              </w:rPr>
              <w:t>厂区给水水源为市政供水，接入</w:t>
            </w:r>
            <w:r>
              <w:rPr>
                <w:rFonts w:hint="eastAsia"/>
                <w:color w:val="auto"/>
              </w:rPr>
              <w:t>衡阳桑德凯天再生资源科技有限公司供水管道，管径DN25</w:t>
            </w:r>
            <w:r>
              <w:rPr>
                <w:rFonts w:hint="eastAsia"/>
                <w:bCs/>
                <w:color w:val="auto"/>
                <w:szCs w:val="21"/>
              </w:rPr>
              <w:t>。水质满足生活、生产给水水质标准，水压0.30MPa。给水系统采用生产生活与消防给水各自独立的管道系统。本项目不新增工作人员，不新增生活用水。本项目雨污分流，生产废水主要为</w:t>
            </w:r>
            <w:r>
              <w:rPr>
                <w:rFonts w:hint="eastAsia"/>
                <w:color w:val="auto"/>
              </w:rPr>
              <w:t>离子交换树脂再生废水、</w:t>
            </w:r>
            <w:r>
              <w:rPr>
                <w:rFonts w:hint="eastAsia"/>
                <w:bCs/>
                <w:color w:val="auto"/>
                <w:szCs w:val="21"/>
              </w:rPr>
              <w:t>纯水制备废水及锅炉排水，依托厂区污水处理系统处理，达到《污水综合排放标准》GB8978-1996表4中三级标准后，进入衡阳第二生活垃圾填埋场渗滤液污水处理站进行深化处理。</w:t>
            </w:r>
          </w:p>
          <w:p>
            <w:pPr>
              <w:pStyle w:val="12"/>
              <w:numPr>
                <w:ilvl w:val="0"/>
                <w:numId w:val="1"/>
              </w:numPr>
              <w:ind w:firstLineChars="0"/>
              <w:rPr>
                <w:bCs/>
                <w:color w:val="auto"/>
                <w:szCs w:val="21"/>
              </w:rPr>
            </w:pPr>
            <w:r>
              <w:rPr>
                <w:rFonts w:hint="eastAsia"/>
                <w:color w:val="auto"/>
              </w:rPr>
              <w:t>离子交换树脂再生用水、纯水制备用水和</w:t>
            </w:r>
            <w:r>
              <w:rPr>
                <w:rFonts w:hint="eastAsia"/>
                <w:color w:val="auto"/>
                <w:kern w:val="44"/>
              </w:rPr>
              <w:t>锅炉用水</w:t>
            </w:r>
          </w:p>
          <w:p>
            <w:pPr>
              <w:pStyle w:val="9"/>
              <w:ind w:firstLine="480"/>
              <w:rPr>
                <w:color w:val="auto"/>
                <w:kern w:val="44"/>
              </w:rPr>
            </w:pPr>
            <w:r>
              <w:rPr>
                <w:color w:val="auto"/>
                <w:kern w:val="44"/>
              </w:rPr>
              <w:t>项目</w:t>
            </w:r>
            <w:r>
              <w:rPr>
                <w:rFonts w:hint="eastAsia"/>
                <w:color w:val="auto"/>
                <w:kern w:val="44"/>
              </w:rPr>
              <w:t>1台</w:t>
            </w:r>
            <w:r>
              <w:rPr>
                <w:rFonts w:hint="eastAsia"/>
                <w:bCs/>
                <w:color w:val="auto"/>
              </w:rPr>
              <w:t>3t/h</w:t>
            </w:r>
            <w:r>
              <w:rPr>
                <w:rFonts w:hint="eastAsia"/>
                <w:color w:val="auto"/>
                <w:kern w:val="44"/>
              </w:rPr>
              <w:t>沼气锅炉</w:t>
            </w:r>
            <w:r>
              <w:rPr>
                <w:color w:val="auto"/>
                <w:kern w:val="44"/>
              </w:rPr>
              <w:t>，采用软水制备系统制备</w:t>
            </w:r>
            <w:r>
              <w:rPr>
                <w:rFonts w:hint="eastAsia"/>
                <w:color w:val="auto"/>
                <w:kern w:val="44"/>
              </w:rPr>
              <w:t>锅炉所需</w:t>
            </w:r>
            <w:r>
              <w:rPr>
                <w:color w:val="auto"/>
                <w:kern w:val="44"/>
              </w:rPr>
              <w:t>的</w:t>
            </w:r>
            <w:r>
              <w:rPr>
                <w:rFonts w:hint="eastAsia"/>
                <w:color w:val="auto"/>
                <w:kern w:val="44"/>
              </w:rPr>
              <w:t>纯</w:t>
            </w:r>
            <w:r>
              <w:rPr>
                <w:color w:val="auto"/>
                <w:kern w:val="44"/>
              </w:rPr>
              <w:t>水，</w:t>
            </w:r>
            <w:r>
              <w:rPr>
                <w:rFonts w:hint="eastAsia"/>
                <w:color w:val="auto"/>
                <w:kern w:val="44"/>
              </w:rPr>
              <w:t>纯水系统的产水率约95%，使用</w:t>
            </w:r>
            <w:r>
              <w:rPr>
                <w:color w:val="auto"/>
                <w:kern w:val="44"/>
              </w:rPr>
              <w:t>蒸汽</w:t>
            </w:r>
            <w:r>
              <w:rPr>
                <w:rFonts w:hint="eastAsia"/>
                <w:color w:val="auto"/>
                <w:kern w:val="44"/>
              </w:rPr>
              <w:t>90.2%</w:t>
            </w:r>
            <w:r>
              <w:rPr>
                <w:color w:val="auto"/>
                <w:kern w:val="44"/>
              </w:rPr>
              <w:t>，损耗</w:t>
            </w:r>
            <w:r>
              <w:rPr>
                <w:rFonts w:hint="eastAsia"/>
                <w:color w:val="auto"/>
                <w:kern w:val="44"/>
              </w:rPr>
              <w:t>9.8%，锅炉废水产生量为2221.945t/a，则锅炉需水量为3.741t/h（22219.451t/a），纯水制备用水量为4.203t/h（24963.538t/a）。</w:t>
            </w:r>
            <w:r>
              <w:rPr>
                <w:rFonts w:hint="eastAsia"/>
                <w:color w:val="auto"/>
              </w:rPr>
              <w:t>类比同类型项目可知，</w:t>
            </w:r>
            <w:r>
              <w:rPr>
                <w:rFonts w:hint="eastAsia"/>
                <w:color w:val="auto"/>
                <w:kern w:val="44"/>
              </w:rPr>
              <w:t>锅炉的</w:t>
            </w:r>
            <w:r>
              <w:rPr>
                <w:rFonts w:hint="eastAsia"/>
                <w:color w:val="auto"/>
              </w:rPr>
              <w:t>离子交换树脂再生用水量约为</w:t>
            </w:r>
            <w:r>
              <w:rPr>
                <w:rFonts w:hint="eastAsia"/>
                <w:color w:val="auto"/>
                <w:kern w:val="44"/>
              </w:rPr>
              <w:t>0.056t/h（330t/a）。</w:t>
            </w:r>
          </w:p>
          <w:p>
            <w:pPr>
              <w:ind w:firstLine="480"/>
              <w:rPr>
                <w:color w:val="auto"/>
              </w:rPr>
            </w:pPr>
            <w:r>
              <w:rPr>
                <w:rFonts w:hint="eastAsia"/>
                <w:color w:val="auto"/>
                <w:kern w:val="44"/>
              </w:rPr>
              <w:t>项目蒸汽供热为间接加热，蒸汽额定蒸发量为3t/h，沼气</w:t>
            </w:r>
            <w:r>
              <w:rPr>
                <w:rFonts w:hint="eastAsia"/>
                <w:bCs/>
                <w:color w:val="auto"/>
              </w:rPr>
              <w:t>锅炉</w:t>
            </w:r>
            <w:r>
              <w:rPr>
                <w:rFonts w:hint="eastAsia"/>
                <w:color w:val="auto"/>
                <w:kern w:val="44"/>
              </w:rPr>
              <w:t>年运行时间为5940h，损耗量按50%计，则冷凝水产生量为8910t/a。该部分冷凝水为清净下水，可直接回用至</w:t>
            </w:r>
            <w:r>
              <w:rPr>
                <w:rFonts w:hint="eastAsia"/>
                <w:bCs/>
                <w:color w:val="auto"/>
              </w:rPr>
              <w:t>锅炉</w:t>
            </w:r>
            <w:r>
              <w:rPr>
                <w:rFonts w:hint="eastAsia"/>
                <w:color w:val="auto"/>
                <w:kern w:val="44"/>
              </w:rPr>
              <w:t>循环补水。因此项目</w:t>
            </w:r>
            <w:r>
              <w:rPr>
                <w:rFonts w:hint="eastAsia"/>
                <w:bCs/>
                <w:color w:val="auto"/>
              </w:rPr>
              <w:t>锅炉</w:t>
            </w:r>
            <w:r>
              <w:rPr>
                <w:rFonts w:hint="eastAsia"/>
                <w:color w:val="auto"/>
                <w:kern w:val="44"/>
              </w:rPr>
              <w:t>新鲜水用水量为26277.409t/a（79.629t/d）。</w:t>
            </w:r>
          </w:p>
          <w:p>
            <w:pPr>
              <w:ind w:firstLine="480"/>
              <w:rPr>
                <w:bCs/>
                <w:color w:val="auto"/>
                <w:szCs w:val="21"/>
              </w:rPr>
            </w:pPr>
            <w:r>
              <w:rPr>
                <w:rFonts w:hint="eastAsia"/>
                <w:bCs/>
                <w:color w:val="auto"/>
                <w:szCs w:val="21"/>
              </w:rPr>
              <w:t>（2）排水工程</w:t>
            </w:r>
          </w:p>
          <w:p>
            <w:pPr>
              <w:pStyle w:val="12"/>
              <w:ind w:firstLine="480"/>
              <w:rPr>
                <w:bCs/>
                <w:color w:val="auto"/>
                <w:szCs w:val="21"/>
              </w:rPr>
            </w:pPr>
            <w:r>
              <w:rPr>
                <w:rFonts w:hint="eastAsia"/>
                <w:bCs/>
                <w:color w:val="auto"/>
                <w:szCs w:val="21"/>
              </w:rPr>
              <w:t>本项目雨污分流，生产废水主要为</w:t>
            </w:r>
            <w:r>
              <w:rPr>
                <w:rFonts w:hint="eastAsia"/>
                <w:color w:val="auto"/>
              </w:rPr>
              <w:t>离子交换树脂再生废水、</w:t>
            </w:r>
            <w:r>
              <w:rPr>
                <w:rFonts w:hint="eastAsia"/>
                <w:bCs/>
                <w:color w:val="auto"/>
                <w:szCs w:val="21"/>
              </w:rPr>
              <w:t>纯水制备废水及锅炉排水，依托厂区污水处理系统处理，达到《污水综合排放标准》GB8978-1996表4中三级标准后，进入衡阳第二生活垃圾填埋场渗滤液污水处理站进行深化处理。</w:t>
            </w:r>
          </w:p>
          <w:p>
            <w:pPr>
              <w:pStyle w:val="40"/>
              <w:widowControl/>
              <w:numPr>
                <w:ilvl w:val="0"/>
                <w:numId w:val="2"/>
              </w:numPr>
              <w:ind w:firstLineChars="0"/>
              <w:jc w:val="left"/>
              <w:rPr>
                <w:color w:val="auto"/>
              </w:rPr>
            </w:pPr>
            <w:r>
              <w:rPr>
                <w:rFonts w:hint="eastAsia" w:ascii="宋体" w:hAnsi="宋体" w:cs="宋体"/>
                <w:color w:val="auto"/>
                <w:kern w:val="0"/>
                <w:lang w:bidi="ar"/>
              </w:rPr>
              <w:t>锅炉废水</w:t>
            </w:r>
          </w:p>
          <w:p>
            <w:pPr>
              <w:ind w:firstLine="480"/>
              <w:rPr>
                <w:color w:val="auto"/>
                <w:kern w:val="44"/>
              </w:rPr>
            </w:pPr>
            <w:r>
              <w:rPr>
                <w:color w:val="auto"/>
                <w:kern w:val="44"/>
              </w:rPr>
              <w:t>项目</w:t>
            </w:r>
            <w:r>
              <w:rPr>
                <w:rFonts w:hint="eastAsia"/>
                <w:color w:val="auto"/>
                <w:kern w:val="44"/>
              </w:rPr>
              <w:t>沼气锅炉</w:t>
            </w:r>
            <w:r>
              <w:rPr>
                <w:color w:val="auto"/>
                <w:kern w:val="44"/>
              </w:rPr>
              <w:t>废水主要</w:t>
            </w:r>
            <w:r>
              <w:rPr>
                <w:rFonts w:hint="eastAsia"/>
                <w:color w:val="auto"/>
                <w:kern w:val="44"/>
              </w:rPr>
              <w:t>为</w:t>
            </w:r>
            <w:r>
              <w:rPr>
                <w:rFonts w:hint="eastAsia"/>
                <w:color w:val="auto"/>
              </w:rPr>
              <w:t>离子交换树脂再生废水、</w:t>
            </w:r>
            <w:r>
              <w:rPr>
                <w:color w:val="auto"/>
                <w:kern w:val="44"/>
              </w:rPr>
              <w:t>软水系统排污水、</w:t>
            </w:r>
            <w:r>
              <w:rPr>
                <w:rFonts w:hint="eastAsia"/>
                <w:color w:val="auto"/>
                <w:kern w:val="44"/>
              </w:rPr>
              <w:t>锅炉排污水，</w:t>
            </w:r>
            <w:r>
              <w:rPr>
                <w:color w:val="auto"/>
                <w:kern w:val="44"/>
              </w:rPr>
              <w:t>参考《排放源统计调查产排污核算方法和系数手册》（生态环境部，公告2021年第24号）</w:t>
            </w:r>
            <w:r>
              <w:rPr>
                <w:rFonts w:hint="eastAsia"/>
                <w:color w:val="auto"/>
                <w:kern w:val="44"/>
              </w:rPr>
              <w:t>中</w:t>
            </w:r>
            <w:r>
              <w:rPr>
                <w:color w:val="auto"/>
                <w:kern w:val="44"/>
              </w:rPr>
              <w:t>4430工业锅炉（热力生产和供应行业）产污系数表-工业废水量和化学需氧量，</w:t>
            </w:r>
            <w:r>
              <w:rPr>
                <w:rFonts w:hint="eastAsia"/>
                <w:color w:val="auto"/>
                <w:kern w:val="44"/>
              </w:rPr>
              <w:t>工业</w:t>
            </w:r>
            <w:r>
              <w:rPr>
                <w:color w:val="auto"/>
                <w:kern w:val="44"/>
              </w:rPr>
              <w:t>废水</w:t>
            </w:r>
            <w:r>
              <w:rPr>
                <w:rFonts w:hint="eastAsia"/>
                <w:color w:val="auto"/>
                <w:kern w:val="44"/>
              </w:rPr>
              <w:t>量</w:t>
            </w:r>
            <w:r>
              <w:rPr>
                <w:color w:val="auto"/>
                <w:kern w:val="44"/>
              </w:rPr>
              <w:t>产生系数为</w:t>
            </w:r>
            <w:r>
              <w:rPr>
                <w:rFonts w:hint="eastAsia"/>
                <w:color w:val="auto"/>
                <w:kern w:val="44"/>
              </w:rPr>
              <w:t>13.56吨/吨-原料（锅炉排污水+软化处理废水）。则项目沼气锅炉废水（锅炉排污水+软化处理废水）产生量为3535.816t/a（约10.715t/d），</w:t>
            </w:r>
            <w:r>
              <w:rPr>
                <w:color w:val="auto"/>
                <w:kern w:val="44"/>
              </w:rPr>
              <w:t>其中软水系统排污水为</w:t>
            </w:r>
            <w:r>
              <w:rPr>
                <w:rFonts w:hint="eastAsia"/>
                <w:color w:val="auto"/>
                <w:kern w:val="44"/>
              </w:rPr>
              <w:t>1313.870</w:t>
            </w:r>
            <w:r>
              <w:rPr>
                <w:color w:val="auto"/>
                <w:kern w:val="44"/>
              </w:rPr>
              <w:t>t/a</w:t>
            </w:r>
            <w:r>
              <w:rPr>
                <w:rFonts w:hint="eastAsia"/>
                <w:color w:val="auto"/>
                <w:kern w:val="44"/>
              </w:rPr>
              <w:t>、锅炉</w:t>
            </w:r>
            <w:r>
              <w:rPr>
                <w:color w:val="auto"/>
                <w:kern w:val="44"/>
              </w:rPr>
              <w:t>排污水为</w:t>
            </w:r>
            <w:r>
              <w:rPr>
                <w:rFonts w:hint="eastAsia"/>
                <w:color w:val="auto"/>
                <w:kern w:val="44"/>
              </w:rPr>
              <w:t>2221.945</w:t>
            </w:r>
            <w:r>
              <w:rPr>
                <w:color w:val="auto"/>
                <w:kern w:val="44"/>
              </w:rPr>
              <w:t>t/a</w:t>
            </w:r>
            <w:r>
              <w:rPr>
                <w:rFonts w:hint="eastAsia"/>
                <w:color w:val="auto"/>
                <w:kern w:val="44"/>
              </w:rPr>
              <w:t>、</w:t>
            </w:r>
            <w:r>
              <w:rPr>
                <w:rFonts w:hint="eastAsia"/>
                <w:color w:val="auto"/>
              </w:rPr>
              <w:t>离子交换树脂再生用水量约为</w:t>
            </w:r>
            <w:r>
              <w:rPr>
                <w:rFonts w:hint="eastAsia"/>
                <w:color w:val="auto"/>
                <w:kern w:val="44"/>
              </w:rPr>
              <w:t>1t/d（330t/a）。</w:t>
            </w:r>
          </w:p>
          <w:p>
            <w:pPr>
              <w:ind w:firstLine="480"/>
              <w:rPr>
                <w:color w:val="auto"/>
                <w:kern w:val="44"/>
              </w:rPr>
            </w:pPr>
            <w:r>
              <w:rPr>
                <w:rFonts w:hint="eastAsia"/>
                <w:color w:val="auto"/>
                <w:kern w:val="44"/>
              </w:rPr>
              <w:t>锅炉排污水：锅炉需要定期排放废水，参考《排放源统计调查产排污核算方法和系数手册》（生态环境部，公告2021年第24号）中4430工业锅炉（热力生产和供应行业）产污系数表-工业废水量和化学需氧量，锅炉锅外水处理化学需氧量产生系数为1080克/万立方米，则锅炉排污水COD产生量为2.4t/a。锅炉排污水</w:t>
            </w:r>
            <w:r>
              <w:rPr>
                <w:rFonts w:hint="eastAsia"/>
                <w:bCs/>
                <w:color w:val="auto"/>
                <w:szCs w:val="21"/>
              </w:rPr>
              <w:t>依托厂区污水处理系统处理，达到《污水综合排放标准》GB8978-1996表4中三级标准后，进入衡阳第二生活垃圾填埋场渗滤液污水处理站进行深化处理。</w:t>
            </w:r>
          </w:p>
          <w:p>
            <w:pPr>
              <w:adjustRightInd w:val="0"/>
              <w:snapToGrid w:val="0"/>
              <w:ind w:firstLine="480"/>
              <w:rPr>
                <w:bCs/>
                <w:color w:val="auto"/>
                <w:szCs w:val="21"/>
              </w:rPr>
            </w:pPr>
            <w:r>
              <w:rPr>
                <w:rFonts w:hint="eastAsia"/>
                <w:color w:val="auto"/>
                <w:kern w:val="44"/>
              </w:rPr>
              <w:t>软水系统软化水：锅炉软化水制备系统钠离子交换树脂循环再生过程会产生废溶盐水和清洗废水，主要污染物为全盐量，主要成分为钙、镁离子和多余的氯化钠。其产生量为1313.870t/a（约3.981t/d）。软水系统排污水为清净下水，</w:t>
            </w:r>
            <w:r>
              <w:rPr>
                <w:rFonts w:hint="eastAsia"/>
                <w:bCs/>
                <w:color w:val="auto"/>
                <w:szCs w:val="21"/>
              </w:rPr>
              <w:t>依托厂区污水处理系统处理，达到《污水综合排放标准》GB8978-1996表4中三级标准后，进入</w:t>
            </w:r>
            <w:r>
              <w:rPr>
                <w:color w:val="auto"/>
              </w:rPr>
              <w:t>衡阳第二生活垃圾填埋场渗滤液污水处理站</w:t>
            </w:r>
            <w:r>
              <w:rPr>
                <w:rFonts w:hint="eastAsia"/>
                <w:bCs/>
                <w:color w:val="auto"/>
                <w:szCs w:val="21"/>
              </w:rPr>
              <w:t>进行深化处理。</w:t>
            </w:r>
          </w:p>
          <w:p>
            <w:pPr>
              <w:pStyle w:val="10"/>
              <w:spacing w:after="0"/>
              <w:ind w:left="0" w:leftChars="0" w:firstLine="480"/>
              <w:rPr>
                <w:color w:val="auto"/>
              </w:rPr>
            </w:pPr>
            <w:r>
              <w:rPr>
                <w:rFonts w:hint="eastAsia"/>
                <w:color w:val="auto"/>
              </w:rPr>
              <w:t>由上述给水工程可知，</w:t>
            </w:r>
            <w:r>
              <w:rPr>
                <w:rFonts w:hint="eastAsia"/>
                <w:color w:val="auto"/>
                <w:kern w:val="44"/>
                <w:szCs w:val="24"/>
              </w:rPr>
              <w:t>锅炉的</w:t>
            </w:r>
            <w:r>
              <w:rPr>
                <w:rFonts w:hint="eastAsia"/>
                <w:color w:val="auto"/>
              </w:rPr>
              <w:t>离子交换树脂再生用水量约为</w:t>
            </w:r>
            <w:r>
              <w:rPr>
                <w:rFonts w:hint="eastAsia"/>
                <w:color w:val="auto"/>
                <w:kern w:val="44"/>
                <w:szCs w:val="24"/>
              </w:rPr>
              <w:t>1t/d（330t/a）</w:t>
            </w:r>
            <w:r>
              <w:rPr>
                <w:rFonts w:hint="eastAsia"/>
                <w:color w:val="auto"/>
                <w:kern w:val="44"/>
              </w:rPr>
              <w:t>，因系统不考虑回用，与</w:t>
            </w:r>
            <w:r>
              <w:rPr>
                <w:color w:val="auto"/>
                <w:kern w:val="44"/>
                <w:szCs w:val="24"/>
              </w:rPr>
              <w:t>软水系统排污水、</w:t>
            </w:r>
            <w:r>
              <w:rPr>
                <w:rFonts w:hint="eastAsia"/>
                <w:color w:val="auto"/>
                <w:kern w:val="44"/>
                <w:szCs w:val="24"/>
              </w:rPr>
              <w:t>锅炉排污水一同</w:t>
            </w:r>
            <w:r>
              <w:rPr>
                <w:rFonts w:hint="eastAsia"/>
                <w:color w:val="auto"/>
                <w:kern w:val="44"/>
              </w:rPr>
              <w:t>进入厂区污水处理站，故离子交换树脂废水量为</w:t>
            </w:r>
            <w:r>
              <w:rPr>
                <w:rFonts w:hint="eastAsia"/>
                <w:color w:val="auto"/>
                <w:kern w:val="44"/>
                <w:szCs w:val="24"/>
              </w:rPr>
              <w:t>1t/d（330t/a）。</w:t>
            </w:r>
          </w:p>
          <w:p>
            <w:pPr>
              <w:ind w:firstLine="480"/>
              <w:rPr>
                <w:color w:val="auto"/>
              </w:rPr>
            </w:pPr>
            <w:r>
              <w:rPr>
                <w:rFonts w:hint="eastAsia"/>
                <w:color w:val="auto"/>
              </w:rPr>
              <w:t>本项目</w:t>
            </w:r>
            <w:r>
              <w:rPr>
                <w:color w:val="auto"/>
              </w:rPr>
              <w:t>给排水量</w:t>
            </w:r>
            <w:r>
              <w:rPr>
                <w:rFonts w:hint="eastAsia"/>
                <w:color w:val="auto"/>
              </w:rPr>
              <w:t>情况详</w:t>
            </w:r>
            <w:r>
              <w:rPr>
                <w:color w:val="auto"/>
              </w:rPr>
              <w:t>见表2-</w:t>
            </w:r>
            <w:r>
              <w:rPr>
                <w:rFonts w:hint="eastAsia"/>
                <w:color w:val="auto"/>
              </w:rPr>
              <w:t>9，</w:t>
            </w:r>
            <w:r>
              <w:rPr>
                <w:color w:val="auto"/>
              </w:rPr>
              <w:t>水平衡图详见</w:t>
            </w:r>
            <w:r>
              <w:rPr>
                <w:rFonts w:hint="eastAsia" w:ascii="宋体" w:hAnsi="宋体" w:cs="宋体"/>
                <w:color w:val="auto"/>
              </w:rPr>
              <w:t>图</w:t>
            </w:r>
            <w:r>
              <w:rPr>
                <w:rFonts w:hint="eastAsia"/>
                <w:color w:val="auto"/>
              </w:rPr>
              <w:t>2</w:t>
            </w:r>
            <w:r>
              <w:rPr>
                <w:color w:val="auto"/>
              </w:rPr>
              <w:t>-</w:t>
            </w:r>
            <w:r>
              <w:rPr>
                <w:rFonts w:hint="eastAsia"/>
                <w:color w:val="auto"/>
              </w:rPr>
              <w:t>1</w:t>
            </w:r>
            <w:r>
              <w:rPr>
                <w:color w:val="auto"/>
              </w:rPr>
              <w:t>。</w:t>
            </w:r>
          </w:p>
          <w:p>
            <w:pPr>
              <w:pStyle w:val="32"/>
              <w:ind w:left="480" w:firstLine="480"/>
              <w:rPr>
                <w:color w:val="auto"/>
              </w:rPr>
            </w:pPr>
            <w:r>
              <w:rPr>
                <w:color w:val="auto"/>
              </w:rPr>
              <w:t>表2-</w:t>
            </w:r>
            <w:r>
              <w:rPr>
                <w:color w:val="auto"/>
              </w:rPr>
              <w:fldChar w:fldCharType="begin"/>
            </w:r>
            <w:r>
              <w:rPr>
                <w:color w:val="auto"/>
              </w:rPr>
              <w:instrText xml:space="preserve"> SEQ 表2- </w:instrText>
            </w:r>
            <w:r>
              <w:rPr>
                <w:color w:val="auto"/>
              </w:rPr>
              <w:fldChar w:fldCharType="separate"/>
            </w:r>
            <w:r>
              <w:rPr>
                <w:color w:val="auto"/>
              </w:rPr>
              <w:t>9</w:t>
            </w:r>
            <w:r>
              <w:rPr>
                <w:color w:val="auto"/>
              </w:rPr>
              <w:fldChar w:fldCharType="end"/>
            </w:r>
            <w:r>
              <w:rPr>
                <w:rFonts w:hint="eastAsia"/>
                <w:color w:val="auto"/>
              </w:rPr>
              <w:t xml:space="preserve">  本项目给</w:t>
            </w:r>
            <w:r>
              <w:rPr>
                <w:color w:val="auto"/>
              </w:rPr>
              <w:t>排水量一览</w:t>
            </w:r>
            <w:r>
              <w:rPr>
                <w:rFonts w:hint="eastAsia"/>
                <w:color w:val="auto"/>
              </w:rPr>
              <w:t>表（t</w:t>
            </w:r>
            <w:r>
              <w:rPr>
                <w:color w:val="auto"/>
              </w:rPr>
              <w:t>/</w:t>
            </w:r>
            <w:r>
              <w:rPr>
                <w:rFonts w:hint="eastAsia"/>
                <w:color w:val="auto"/>
              </w:rPr>
              <w:t>a）</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1109"/>
              <w:gridCol w:w="1004"/>
              <w:gridCol w:w="1004"/>
              <w:gridCol w:w="33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1" w:type="dxa"/>
                  <w:vAlign w:val="center"/>
                </w:tcPr>
                <w:p>
                  <w:pPr>
                    <w:pStyle w:val="31"/>
                    <w:rPr>
                      <w:color w:val="auto"/>
                      <w:szCs w:val="21"/>
                    </w:rPr>
                  </w:pPr>
                  <w:r>
                    <w:rPr>
                      <w:rFonts w:hint="eastAsia"/>
                      <w:color w:val="auto"/>
                      <w:szCs w:val="21"/>
                    </w:rPr>
                    <w:t>用水工序</w:t>
                  </w:r>
                </w:p>
              </w:tc>
              <w:tc>
                <w:tcPr>
                  <w:tcW w:w="0" w:type="auto"/>
                  <w:vAlign w:val="center"/>
                </w:tcPr>
                <w:p>
                  <w:pPr>
                    <w:pStyle w:val="31"/>
                    <w:rPr>
                      <w:color w:val="auto"/>
                      <w:szCs w:val="21"/>
                    </w:rPr>
                  </w:pPr>
                  <w:r>
                    <w:rPr>
                      <w:rFonts w:hint="eastAsia"/>
                      <w:color w:val="auto"/>
                      <w:szCs w:val="21"/>
                    </w:rPr>
                    <w:t>用水量</w:t>
                  </w:r>
                </w:p>
              </w:tc>
              <w:tc>
                <w:tcPr>
                  <w:tcW w:w="0" w:type="auto"/>
                  <w:vAlign w:val="center"/>
                </w:tcPr>
                <w:p>
                  <w:pPr>
                    <w:pStyle w:val="31"/>
                    <w:rPr>
                      <w:color w:val="auto"/>
                      <w:szCs w:val="21"/>
                    </w:rPr>
                  </w:pPr>
                  <w:r>
                    <w:rPr>
                      <w:rFonts w:hint="eastAsia"/>
                      <w:color w:val="auto"/>
                      <w:szCs w:val="21"/>
                    </w:rPr>
                    <w:t>损耗量</w:t>
                  </w:r>
                </w:p>
              </w:tc>
              <w:tc>
                <w:tcPr>
                  <w:tcW w:w="0" w:type="auto"/>
                  <w:vAlign w:val="center"/>
                </w:tcPr>
                <w:p>
                  <w:pPr>
                    <w:pStyle w:val="31"/>
                    <w:rPr>
                      <w:color w:val="auto"/>
                      <w:szCs w:val="21"/>
                    </w:rPr>
                  </w:pPr>
                  <w:r>
                    <w:rPr>
                      <w:rFonts w:hint="eastAsia"/>
                      <w:color w:val="auto"/>
                      <w:szCs w:val="21"/>
                    </w:rPr>
                    <w:t>排水量</w:t>
                  </w:r>
                </w:p>
              </w:tc>
              <w:tc>
                <w:tcPr>
                  <w:tcW w:w="3346" w:type="dxa"/>
                  <w:vAlign w:val="center"/>
                </w:tcPr>
                <w:p>
                  <w:pPr>
                    <w:pStyle w:val="31"/>
                    <w:rPr>
                      <w:color w:val="auto"/>
                      <w:szCs w:val="21"/>
                    </w:rPr>
                  </w:pPr>
                  <w:r>
                    <w:rPr>
                      <w:rFonts w:hint="eastAsia"/>
                      <w:color w:val="auto"/>
                      <w:szCs w:val="21"/>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1" w:type="dxa"/>
                  <w:vAlign w:val="center"/>
                </w:tcPr>
                <w:p>
                  <w:pPr>
                    <w:pStyle w:val="31"/>
                    <w:rPr>
                      <w:color w:val="auto"/>
                      <w:szCs w:val="21"/>
                    </w:rPr>
                  </w:pPr>
                  <w:r>
                    <w:rPr>
                      <w:rFonts w:hint="eastAsia"/>
                      <w:color w:val="auto"/>
                      <w:szCs w:val="21"/>
                    </w:rPr>
                    <w:t>离子交换树脂再生废水</w:t>
                  </w:r>
                </w:p>
              </w:tc>
              <w:tc>
                <w:tcPr>
                  <w:tcW w:w="0" w:type="auto"/>
                  <w:vAlign w:val="center"/>
                </w:tcPr>
                <w:p>
                  <w:pPr>
                    <w:pStyle w:val="31"/>
                    <w:rPr>
                      <w:color w:val="auto"/>
                      <w:szCs w:val="21"/>
                    </w:rPr>
                  </w:pPr>
                  <w:r>
                    <w:rPr>
                      <w:rFonts w:hint="eastAsia"/>
                      <w:bCs w:val="0"/>
                      <w:color w:val="auto"/>
                      <w:kern w:val="44"/>
                      <w:szCs w:val="21"/>
                    </w:rPr>
                    <w:t>330</w:t>
                  </w:r>
                </w:p>
              </w:tc>
              <w:tc>
                <w:tcPr>
                  <w:tcW w:w="0" w:type="auto"/>
                  <w:vAlign w:val="center"/>
                </w:tcPr>
                <w:p>
                  <w:pPr>
                    <w:pStyle w:val="31"/>
                    <w:rPr>
                      <w:color w:val="auto"/>
                      <w:szCs w:val="21"/>
                    </w:rPr>
                  </w:pPr>
                  <w:r>
                    <w:rPr>
                      <w:rFonts w:hint="eastAsia"/>
                      <w:color w:val="auto"/>
                      <w:szCs w:val="21"/>
                    </w:rPr>
                    <w:t>0</w:t>
                  </w:r>
                </w:p>
              </w:tc>
              <w:tc>
                <w:tcPr>
                  <w:tcW w:w="0" w:type="auto"/>
                  <w:vAlign w:val="center"/>
                </w:tcPr>
                <w:p>
                  <w:pPr>
                    <w:pStyle w:val="31"/>
                    <w:rPr>
                      <w:color w:val="auto"/>
                      <w:szCs w:val="21"/>
                    </w:rPr>
                  </w:pPr>
                  <w:r>
                    <w:rPr>
                      <w:color w:val="auto"/>
                      <w:szCs w:val="21"/>
                    </w:rPr>
                    <w:t>330</w:t>
                  </w:r>
                </w:p>
              </w:tc>
              <w:tc>
                <w:tcPr>
                  <w:tcW w:w="3346" w:type="dxa"/>
                  <w:vAlign w:val="center"/>
                </w:tcPr>
                <w:p>
                  <w:pPr>
                    <w:pStyle w:val="31"/>
                    <w:rPr>
                      <w:color w:val="auto"/>
                      <w:szCs w:val="21"/>
                    </w:rPr>
                  </w:pPr>
                  <w:r>
                    <w:rPr>
                      <w:rFonts w:hint="eastAsia"/>
                      <w:color w:val="auto"/>
                      <w:szCs w:val="21"/>
                    </w:rPr>
                    <w:t>厂区污水处理站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1" w:type="dxa"/>
                  <w:vAlign w:val="center"/>
                </w:tcPr>
                <w:p>
                  <w:pPr>
                    <w:pStyle w:val="31"/>
                    <w:rPr>
                      <w:color w:val="auto"/>
                      <w:szCs w:val="21"/>
                    </w:rPr>
                  </w:pPr>
                  <w:r>
                    <w:rPr>
                      <w:bCs w:val="0"/>
                      <w:color w:val="auto"/>
                      <w:kern w:val="44"/>
                      <w:szCs w:val="21"/>
                    </w:rPr>
                    <w:t>软水系统排污水</w:t>
                  </w:r>
                </w:p>
              </w:tc>
              <w:tc>
                <w:tcPr>
                  <w:tcW w:w="0" w:type="auto"/>
                  <w:vAlign w:val="center"/>
                </w:tcPr>
                <w:p>
                  <w:pPr>
                    <w:pStyle w:val="31"/>
                    <w:rPr>
                      <w:color w:val="auto"/>
                      <w:szCs w:val="21"/>
                    </w:rPr>
                  </w:pPr>
                  <w:r>
                    <w:rPr>
                      <w:color w:val="auto"/>
                      <w:szCs w:val="21"/>
                    </w:rPr>
                    <w:t>24963.538</w:t>
                  </w:r>
                </w:p>
              </w:tc>
              <w:tc>
                <w:tcPr>
                  <w:tcW w:w="0" w:type="auto"/>
                  <w:vAlign w:val="center"/>
                </w:tcPr>
                <w:p>
                  <w:pPr>
                    <w:pStyle w:val="31"/>
                    <w:rPr>
                      <w:color w:val="auto"/>
                      <w:szCs w:val="21"/>
                    </w:rPr>
                  </w:pPr>
                  <w:r>
                    <w:rPr>
                      <w:rFonts w:hint="eastAsia"/>
                      <w:color w:val="auto"/>
                      <w:szCs w:val="21"/>
                    </w:rPr>
                    <w:t>2446.427</w:t>
                  </w:r>
                </w:p>
              </w:tc>
              <w:tc>
                <w:tcPr>
                  <w:tcW w:w="0" w:type="auto"/>
                  <w:vAlign w:val="center"/>
                </w:tcPr>
                <w:p>
                  <w:pPr>
                    <w:pStyle w:val="31"/>
                    <w:rPr>
                      <w:color w:val="auto"/>
                      <w:szCs w:val="21"/>
                    </w:rPr>
                  </w:pPr>
                  <w:r>
                    <w:rPr>
                      <w:rFonts w:hint="eastAsia"/>
                      <w:color w:val="auto"/>
                      <w:szCs w:val="21"/>
                    </w:rPr>
                    <w:t>1313.870</w:t>
                  </w:r>
                </w:p>
              </w:tc>
              <w:tc>
                <w:tcPr>
                  <w:tcW w:w="3346" w:type="dxa"/>
                  <w:vAlign w:val="center"/>
                </w:tcPr>
                <w:p>
                  <w:pPr>
                    <w:pStyle w:val="31"/>
                    <w:rPr>
                      <w:color w:val="auto"/>
                      <w:szCs w:val="21"/>
                    </w:rPr>
                  </w:pPr>
                  <w:r>
                    <w:rPr>
                      <w:rFonts w:hint="eastAsia"/>
                      <w:color w:val="auto"/>
                      <w:szCs w:val="21"/>
                    </w:rPr>
                    <w:t>厂区污水处理站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1" w:type="dxa"/>
                  <w:vAlign w:val="center"/>
                </w:tcPr>
                <w:p>
                  <w:pPr>
                    <w:pStyle w:val="31"/>
                    <w:rPr>
                      <w:color w:val="auto"/>
                      <w:szCs w:val="21"/>
                    </w:rPr>
                  </w:pPr>
                  <w:r>
                    <w:rPr>
                      <w:rFonts w:hint="eastAsia"/>
                      <w:bCs w:val="0"/>
                      <w:color w:val="auto"/>
                      <w:kern w:val="44"/>
                      <w:szCs w:val="21"/>
                    </w:rPr>
                    <w:t>锅炉排污水</w:t>
                  </w:r>
                </w:p>
              </w:tc>
              <w:tc>
                <w:tcPr>
                  <w:tcW w:w="0" w:type="auto"/>
                  <w:vAlign w:val="center"/>
                </w:tcPr>
                <w:p>
                  <w:pPr>
                    <w:pStyle w:val="31"/>
                    <w:rPr>
                      <w:color w:val="auto"/>
                      <w:szCs w:val="21"/>
                    </w:rPr>
                  </w:pPr>
                  <w:r>
                    <w:rPr>
                      <w:rFonts w:hint="eastAsia"/>
                      <w:color w:val="auto"/>
                      <w:szCs w:val="21"/>
                    </w:rPr>
                    <w:t>22219.451</w:t>
                  </w:r>
                </w:p>
              </w:tc>
              <w:tc>
                <w:tcPr>
                  <w:tcW w:w="0" w:type="auto"/>
                  <w:vAlign w:val="center"/>
                </w:tcPr>
                <w:p>
                  <w:pPr>
                    <w:pStyle w:val="31"/>
                    <w:rPr>
                      <w:color w:val="auto"/>
                      <w:szCs w:val="21"/>
                    </w:rPr>
                  </w:pPr>
                  <w:r>
                    <w:rPr>
                      <w:rFonts w:hint="eastAsia"/>
                      <w:color w:val="auto"/>
                      <w:szCs w:val="21"/>
                    </w:rPr>
                    <w:t>2177.506</w:t>
                  </w:r>
                </w:p>
              </w:tc>
              <w:tc>
                <w:tcPr>
                  <w:tcW w:w="0" w:type="auto"/>
                  <w:vAlign w:val="center"/>
                </w:tcPr>
                <w:p>
                  <w:pPr>
                    <w:pStyle w:val="31"/>
                    <w:rPr>
                      <w:color w:val="auto"/>
                      <w:szCs w:val="21"/>
                    </w:rPr>
                  </w:pPr>
                  <w:r>
                    <w:rPr>
                      <w:rFonts w:hint="eastAsia"/>
                      <w:color w:val="auto"/>
                      <w:szCs w:val="21"/>
                    </w:rPr>
                    <w:t>2221.945</w:t>
                  </w:r>
                </w:p>
              </w:tc>
              <w:tc>
                <w:tcPr>
                  <w:tcW w:w="3346" w:type="dxa"/>
                  <w:vAlign w:val="center"/>
                </w:tcPr>
                <w:p>
                  <w:pPr>
                    <w:pStyle w:val="31"/>
                    <w:rPr>
                      <w:color w:val="auto"/>
                      <w:szCs w:val="21"/>
                    </w:rPr>
                  </w:pPr>
                  <w:r>
                    <w:rPr>
                      <w:rFonts w:hint="eastAsia"/>
                      <w:color w:val="auto"/>
                      <w:szCs w:val="21"/>
                    </w:rPr>
                    <w:t>厂区污水处理站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1381" w:type="dxa"/>
                  <w:vAlign w:val="center"/>
                </w:tcPr>
                <w:p>
                  <w:pPr>
                    <w:pStyle w:val="31"/>
                    <w:rPr>
                      <w:color w:val="auto"/>
                      <w:szCs w:val="21"/>
                    </w:rPr>
                  </w:pPr>
                  <w:r>
                    <w:rPr>
                      <w:rFonts w:hint="eastAsia"/>
                      <w:bCs w:val="0"/>
                      <w:color w:val="auto"/>
                      <w:kern w:val="44"/>
                      <w:szCs w:val="21"/>
                    </w:rPr>
                    <w:t>锅炉冷凝水</w:t>
                  </w:r>
                </w:p>
              </w:tc>
              <w:tc>
                <w:tcPr>
                  <w:tcW w:w="0" w:type="auto"/>
                  <w:vAlign w:val="center"/>
                </w:tcPr>
                <w:p>
                  <w:pPr>
                    <w:pStyle w:val="31"/>
                    <w:rPr>
                      <w:color w:val="auto"/>
                      <w:szCs w:val="21"/>
                    </w:rPr>
                  </w:pPr>
                  <w:r>
                    <w:rPr>
                      <w:rFonts w:hint="eastAsia"/>
                      <w:color w:val="auto"/>
                      <w:szCs w:val="21"/>
                    </w:rPr>
                    <w:t>8910</w:t>
                  </w:r>
                </w:p>
              </w:tc>
              <w:tc>
                <w:tcPr>
                  <w:tcW w:w="0" w:type="auto"/>
                  <w:vAlign w:val="center"/>
                </w:tcPr>
                <w:p>
                  <w:pPr>
                    <w:pStyle w:val="31"/>
                    <w:rPr>
                      <w:color w:val="auto"/>
                      <w:szCs w:val="21"/>
                    </w:rPr>
                  </w:pPr>
                  <w:r>
                    <w:rPr>
                      <w:rFonts w:hint="eastAsia"/>
                      <w:color w:val="auto"/>
                      <w:szCs w:val="21"/>
                    </w:rPr>
                    <w:t>0</w:t>
                  </w:r>
                </w:p>
              </w:tc>
              <w:tc>
                <w:tcPr>
                  <w:tcW w:w="0" w:type="auto"/>
                  <w:vAlign w:val="center"/>
                </w:tcPr>
                <w:p>
                  <w:pPr>
                    <w:pStyle w:val="31"/>
                    <w:rPr>
                      <w:color w:val="auto"/>
                      <w:szCs w:val="21"/>
                    </w:rPr>
                  </w:pPr>
                  <w:r>
                    <w:rPr>
                      <w:rFonts w:hint="eastAsia"/>
                      <w:color w:val="auto"/>
                      <w:szCs w:val="21"/>
                    </w:rPr>
                    <w:t>0</w:t>
                  </w:r>
                </w:p>
              </w:tc>
              <w:tc>
                <w:tcPr>
                  <w:tcW w:w="3346" w:type="dxa"/>
                  <w:vAlign w:val="center"/>
                </w:tcPr>
                <w:p>
                  <w:pPr>
                    <w:pStyle w:val="31"/>
                    <w:rPr>
                      <w:color w:val="auto"/>
                      <w:szCs w:val="21"/>
                    </w:rPr>
                  </w:pPr>
                  <w:r>
                    <w:rPr>
                      <w:rFonts w:hint="eastAsia"/>
                      <w:bCs w:val="0"/>
                      <w:color w:val="auto"/>
                      <w:kern w:val="44"/>
                      <w:szCs w:val="21"/>
                    </w:rPr>
                    <w:t>直接回用至</w:t>
                  </w:r>
                  <w:r>
                    <w:rPr>
                      <w:rFonts w:hint="eastAsia"/>
                      <w:color w:val="auto"/>
                      <w:szCs w:val="21"/>
                    </w:rPr>
                    <w:t>锅炉</w:t>
                  </w:r>
                  <w:r>
                    <w:rPr>
                      <w:rFonts w:hint="eastAsia"/>
                      <w:bCs w:val="0"/>
                      <w:color w:val="auto"/>
                      <w:kern w:val="44"/>
                      <w:szCs w:val="21"/>
                    </w:rPr>
                    <w:t>循环补水</w:t>
                  </w:r>
                </w:p>
              </w:tc>
            </w:tr>
          </w:tbl>
          <w:p>
            <w:pPr>
              <w:ind w:firstLine="0" w:firstLineChars="0"/>
              <w:rPr>
                <w:color w:val="auto"/>
              </w:rPr>
            </w:pPr>
          </w:p>
          <w:p>
            <w:pPr>
              <w:pStyle w:val="32"/>
              <w:rPr>
                <w:color w:val="auto"/>
              </w:rPr>
            </w:pPr>
            <w:r>
              <w:rPr>
                <w:color w:val="auto"/>
              </w:rPr>
              <w:drawing>
                <wp:inline distT="0" distB="0" distL="114300" distR="114300">
                  <wp:extent cx="5030470" cy="3054350"/>
                  <wp:effectExtent l="0" t="0" r="17780" b="1270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3"/>
                          <a:stretch>
                            <a:fillRect/>
                          </a:stretch>
                        </pic:blipFill>
                        <pic:spPr>
                          <a:xfrm>
                            <a:off x="0" y="0"/>
                            <a:ext cx="5030470" cy="3054350"/>
                          </a:xfrm>
                          <a:prstGeom prst="rect">
                            <a:avLst/>
                          </a:prstGeom>
                          <a:noFill/>
                          <a:ln>
                            <a:noFill/>
                          </a:ln>
                        </pic:spPr>
                      </pic:pic>
                    </a:graphicData>
                  </a:graphic>
                </wp:inline>
              </w:drawing>
            </w:r>
            <w:r>
              <w:rPr>
                <w:rFonts w:hint="eastAsia"/>
                <w:color w:val="auto"/>
                <w:szCs w:val="18"/>
              </w:rPr>
              <w:t>图2</w:t>
            </w:r>
            <w:r>
              <w:rPr>
                <w:color w:val="auto"/>
                <w:szCs w:val="18"/>
              </w:rPr>
              <w:t>-</w:t>
            </w:r>
            <w:r>
              <w:rPr>
                <w:color w:val="auto"/>
                <w:szCs w:val="18"/>
              </w:rPr>
              <w:fldChar w:fldCharType="begin"/>
            </w:r>
            <w:r>
              <w:rPr>
                <w:color w:val="auto"/>
                <w:szCs w:val="18"/>
              </w:rPr>
              <w:instrText xml:space="preserve"> SEQ 图2- \* MERGEFORMAT </w:instrText>
            </w:r>
            <w:r>
              <w:rPr>
                <w:color w:val="auto"/>
                <w:szCs w:val="18"/>
              </w:rPr>
              <w:fldChar w:fldCharType="separate"/>
            </w:r>
            <w:r>
              <w:rPr>
                <w:color w:val="auto"/>
                <w:szCs w:val="18"/>
              </w:rPr>
              <w:t>1</w:t>
            </w:r>
            <w:r>
              <w:rPr>
                <w:color w:val="auto"/>
                <w:szCs w:val="18"/>
              </w:rPr>
              <w:fldChar w:fldCharType="end"/>
            </w:r>
            <w:r>
              <w:rPr>
                <w:rFonts w:hint="eastAsia"/>
                <w:color w:val="auto"/>
                <w:szCs w:val="18"/>
              </w:rPr>
              <w:t xml:space="preserve">  本项目给排水水平衡图（单位：t/a）</w:t>
            </w:r>
          </w:p>
          <w:p>
            <w:pPr>
              <w:ind w:firstLine="480"/>
              <w:rPr>
                <w:bCs/>
                <w:color w:val="auto"/>
                <w:szCs w:val="21"/>
              </w:rPr>
            </w:pPr>
            <w:r>
              <w:rPr>
                <w:bCs/>
                <w:color w:val="auto"/>
                <w:szCs w:val="21"/>
              </w:rPr>
              <w:t>（</w:t>
            </w:r>
            <w:r>
              <w:rPr>
                <w:rFonts w:hint="eastAsia"/>
                <w:bCs/>
                <w:color w:val="auto"/>
                <w:szCs w:val="21"/>
              </w:rPr>
              <w:t>3</w:t>
            </w:r>
            <w:r>
              <w:rPr>
                <w:bCs/>
                <w:color w:val="auto"/>
                <w:szCs w:val="21"/>
              </w:rPr>
              <w:t>）供电</w:t>
            </w:r>
          </w:p>
          <w:p>
            <w:pPr>
              <w:ind w:firstLine="480"/>
              <w:rPr>
                <w:bCs/>
                <w:color w:val="auto"/>
                <w:szCs w:val="21"/>
              </w:rPr>
            </w:pPr>
            <w:r>
              <w:rPr>
                <w:bCs/>
                <w:color w:val="auto"/>
                <w:szCs w:val="21"/>
              </w:rPr>
              <w:t>国家电网供电，依托现有厂区供配电设施</w:t>
            </w:r>
            <w:r>
              <w:rPr>
                <w:rFonts w:hint="eastAsia"/>
                <w:bCs/>
                <w:color w:val="auto"/>
                <w:szCs w:val="21"/>
              </w:rPr>
              <w:t>。</w:t>
            </w:r>
          </w:p>
          <w:p>
            <w:pPr>
              <w:numPr>
                <w:ilvl w:val="0"/>
                <w:numId w:val="3"/>
              </w:numPr>
              <w:ind w:firstLine="480"/>
              <w:rPr>
                <w:bCs/>
                <w:color w:val="auto"/>
                <w:szCs w:val="21"/>
              </w:rPr>
            </w:pPr>
            <w:r>
              <w:rPr>
                <w:rFonts w:hint="eastAsia"/>
                <w:bCs/>
                <w:color w:val="auto"/>
                <w:szCs w:val="21"/>
              </w:rPr>
              <w:t>沼气</w:t>
            </w:r>
          </w:p>
          <w:p>
            <w:pPr>
              <w:pStyle w:val="10"/>
              <w:ind w:left="0" w:leftChars="0" w:firstLine="480"/>
              <w:rPr>
                <w:color w:val="auto"/>
              </w:rPr>
            </w:pPr>
            <w:r>
              <w:rPr>
                <w:rFonts w:hint="eastAsia"/>
                <w:color w:val="auto"/>
              </w:rPr>
              <w:t>本项目使用的沼气来自现有工程，主要为沼气脱硫罐处理后，通过管道输送至锅炉。</w:t>
            </w:r>
          </w:p>
          <w:p>
            <w:pPr>
              <w:pStyle w:val="9"/>
              <w:ind w:firstLine="0" w:firstLineChars="0"/>
              <w:rPr>
                <w:b/>
                <w:bCs/>
                <w:color w:val="auto"/>
              </w:rPr>
            </w:pPr>
            <w:r>
              <w:rPr>
                <w:rFonts w:hint="eastAsia"/>
                <w:b/>
                <w:bCs/>
                <w:color w:val="auto"/>
              </w:rPr>
              <w:t>11、劳动定员及工作制度</w:t>
            </w:r>
          </w:p>
          <w:p>
            <w:pPr>
              <w:pStyle w:val="12"/>
              <w:ind w:firstLine="480"/>
              <w:rPr>
                <w:color w:val="auto"/>
              </w:rPr>
            </w:pPr>
            <w:r>
              <w:rPr>
                <w:rFonts w:hint="eastAsia"/>
                <w:color w:val="auto"/>
              </w:rPr>
              <w:t>本项目不新增劳动定员，不在厂内食宿。年工作330天，总工作时间2640小时</w:t>
            </w:r>
            <w:r>
              <w:rPr>
                <w:color w:val="auto"/>
              </w:rPr>
              <w:t>。</w:t>
            </w:r>
          </w:p>
          <w:p>
            <w:pPr>
              <w:ind w:firstLine="0" w:firstLineChars="0"/>
              <w:rPr>
                <w:b/>
                <w:bCs/>
                <w:color w:val="auto"/>
              </w:rPr>
            </w:pPr>
            <w:r>
              <w:rPr>
                <w:rFonts w:hint="eastAsia"/>
                <w:b/>
                <w:bCs/>
                <w:color w:val="auto"/>
              </w:rPr>
              <w:t>12、总平面布置及周围概况</w:t>
            </w:r>
          </w:p>
          <w:p>
            <w:pPr>
              <w:ind w:firstLine="480"/>
              <w:rPr>
                <w:color w:val="auto"/>
              </w:rPr>
            </w:pPr>
            <w:r>
              <w:rPr>
                <w:rFonts w:hint="eastAsia"/>
                <w:color w:val="auto"/>
              </w:rPr>
              <w:t>衡阳桑德凯天再生资源科技有限公司的厂区平面布置已形成格局。本次扩建主要是在原有锅炉内进行设备调整，锅炉房位于衡阳桑德凯天再生资源科技有限公司预处理车间旁，无新增建筑面积，总图布置基本维持现有布置格局。</w:t>
            </w:r>
          </w:p>
          <w:p>
            <w:pPr>
              <w:ind w:firstLine="480"/>
              <w:rPr>
                <w:color w:val="auto"/>
              </w:rPr>
            </w:pPr>
            <w:r>
              <w:rPr>
                <w:rFonts w:hint="eastAsia"/>
                <w:color w:val="auto"/>
              </w:rPr>
              <w:t>综上所述，本项目</w:t>
            </w:r>
            <w:r>
              <w:rPr>
                <w:color w:val="auto"/>
              </w:rPr>
              <w:t>总平面布置合理</w:t>
            </w:r>
            <w:r>
              <w:rPr>
                <w:rFonts w:hint="eastAsia"/>
                <w:color w:val="auto"/>
              </w:rPr>
              <w:t>，</w:t>
            </w:r>
            <w:r>
              <w:rPr>
                <w:color w:val="auto"/>
              </w:rPr>
              <w:t>功能布局合理</w:t>
            </w:r>
            <w:r>
              <w:rPr>
                <w:rFonts w:hint="eastAsia"/>
                <w:color w:val="auto"/>
              </w:rPr>
              <w:t>，</w:t>
            </w:r>
            <w:r>
              <w:rPr>
                <w:color w:val="auto"/>
              </w:rPr>
              <w:t>节约用地</w:t>
            </w:r>
            <w:r>
              <w:rPr>
                <w:rFonts w:hint="eastAsia"/>
                <w:color w:val="auto"/>
              </w:rPr>
              <w:t>，满足</w:t>
            </w:r>
            <w:r>
              <w:rPr>
                <w:color w:val="auto"/>
              </w:rPr>
              <w:t>安全、环保、卫生等</w:t>
            </w:r>
            <w:r>
              <w:rPr>
                <w:rFonts w:hint="eastAsia"/>
                <w:color w:val="auto"/>
              </w:rPr>
              <w:t>相关</w:t>
            </w:r>
            <w:r>
              <w:rPr>
                <w:color w:val="auto"/>
              </w:rPr>
              <w:t>要求</w:t>
            </w:r>
            <w:r>
              <w:rPr>
                <w:rFonts w:hint="eastAsia"/>
                <w:color w:val="auto"/>
              </w:rPr>
              <w:t>。项目平面布置图详见附图。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703" w:type="dxa"/>
            <w:vAlign w:val="center"/>
          </w:tcPr>
          <w:p>
            <w:pPr>
              <w:ind w:firstLine="0" w:firstLineChars="0"/>
              <w:jc w:val="center"/>
              <w:rPr>
                <w:color w:val="auto"/>
              </w:rPr>
            </w:pPr>
            <w:r>
              <w:rPr>
                <w:rFonts w:hint="eastAsia"/>
                <w:color w:val="auto"/>
              </w:rPr>
              <w:t>工艺流程和产排污环节</w:t>
            </w:r>
          </w:p>
        </w:tc>
        <w:tc>
          <w:tcPr>
            <w:tcW w:w="7819" w:type="dxa"/>
          </w:tcPr>
          <w:p>
            <w:pPr>
              <w:ind w:firstLine="0" w:firstLineChars="0"/>
              <w:rPr>
                <w:b/>
                <w:bCs/>
                <w:color w:val="auto"/>
              </w:rPr>
            </w:pPr>
            <w:r>
              <w:rPr>
                <w:rFonts w:hint="eastAsia"/>
                <w:b/>
                <w:bCs/>
                <w:color w:val="auto"/>
              </w:rPr>
              <w:t>1、施工期工艺流程及产污环节</w:t>
            </w:r>
          </w:p>
          <w:p>
            <w:pPr>
              <w:widowControl/>
              <w:ind w:firstLine="480"/>
              <w:jc w:val="left"/>
              <w:rPr>
                <w:b/>
                <w:bCs/>
                <w:color w:val="auto"/>
              </w:rPr>
            </w:pPr>
            <w:r>
              <w:rPr>
                <w:rFonts w:hint="eastAsia"/>
                <w:color w:val="auto"/>
                <w:szCs w:val="21"/>
              </w:rPr>
              <w:t>本项目依托现有项目锅炉房进行</w:t>
            </w:r>
            <w:r>
              <w:rPr>
                <w:rFonts w:hint="eastAsia"/>
                <w:bCs/>
                <w:color w:val="auto"/>
              </w:rPr>
              <w:t>建设。</w:t>
            </w:r>
            <w:r>
              <w:rPr>
                <w:bCs/>
                <w:color w:val="auto"/>
              </w:rPr>
              <w:t>施工期间</w:t>
            </w:r>
            <w:r>
              <w:rPr>
                <w:rFonts w:hint="eastAsia"/>
                <w:bCs/>
                <w:color w:val="auto"/>
              </w:rPr>
              <w:t>主要进行设备安装调试等</w:t>
            </w:r>
            <w:r>
              <w:rPr>
                <w:bCs/>
                <w:color w:val="auto"/>
              </w:rPr>
              <w:t>，不可避免</w:t>
            </w:r>
            <w:r>
              <w:rPr>
                <w:rFonts w:hint="eastAsia"/>
                <w:bCs/>
                <w:color w:val="auto"/>
              </w:rPr>
              <w:t>地</w:t>
            </w:r>
            <w:r>
              <w:rPr>
                <w:bCs/>
                <w:color w:val="auto"/>
              </w:rPr>
              <w:t>将对项目所在地周围环境产生一定的影响。</w:t>
            </w:r>
            <w:r>
              <w:rPr>
                <w:rFonts w:hint="eastAsia"/>
                <w:bCs/>
                <w:color w:val="auto"/>
              </w:rPr>
              <w:t>但</w:t>
            </w:r>
            <w:r>
              <w:rPr>
                <w:rFonts w:hint="eastAsia" w:ascii="宋体" w:hAnsi="宋体" w:cs="宋体"/>
                <w:color w:val="auto"/>
                <w:kern w:val="0"/>
                <w:lang w:bidi="ar"/>
              </w:rPr>
              <w:t>该过程产生污染物类型少，且为短暂性影响，对周围环境影响较小。</w:t>
            </w:r>
          </w:p>
          <w:p>
            <w:pPr>
              <w:ind w:firstLine="0" w:firstLineChars="0"/>
              <w:rPr>
                <w:b/>
                <w:bCs/>
                <w:color w:val="auto"/>
              </w:rPr>
            </w:pPr>
            <w:r>
              <w:rPr>
                <w:rFonts w:hint="eastAsia"/>
                <w:b/>
                <w:bCs/>
                <w:color w:val="auto"/>
              </w:rPr>
              <w:t>2、运营期工艺流程及产污环节</w:t>
            </w:r>
          </w:p>
          <w:p>
            <w:pPr>
              <w:ind w:firstLine="480"/>
              <w:rPr>
                <w:color w:val="auto"/>
              </w:rPr>
            </w:pPr>
            <w:r>
              <w:rPr>
                <w:rFonts w:hint="eastAsia"/>
                <w:color w:val="auto"/>
              </w:rPr>
              <w:t>本项目运营期无新增生产设备，本次不对其进行赘述。本次扩建项目运营期工艺流程见图2-2。</w:t>
            </w:r>
          </w:p>
          <w:p>
            <w:pPr>
              <w:pStyle w:val="10"/>
              <w:spacing w:after="0" w:line="240" w:lineRule="auto"/>
              <w:ind w:left="0" w:leftChars="0" w:firstLine="0" w:firstLineChars="0"/>
              <w:jc w:val="center"/>
              <w:rPr>
                <w:color w:val="auto"/>
              </w:rPr>
            </w:pPr>
            <w:r>
              <w:rPr>
                <w:color w:val="auto"/>
              </w:rPr>
              <w:drawing>
                <wp:inline distT="0" distB="0" distL="114300" distR="114300">
                  <wp:extent cx="4331970" cy="1607185"/>
                  <wp:effectExtent l="0" t="0" r="11430" b="1206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
                          <a:stretch>
                            <a:fillRect/>
                          </a:stretch>
                        </pic:blipFill>
                        <pic:spPr>
                          <a:xfrm>
                            <a:off x="0" y="0"/>
                            <a:ext cx="4331970" cy="1607185"/>
                          </a:xfrm>
                          <a:prstGeom prst="rect">
                            <a:avLst/>
                          </a:prstGeom>
                          <a:noFill/>
                          <a:ln>
                            <a:noFill/>
                          </a:ln>
                        </pic:spPr>
                      </pic:pic>
                    </a:graphicData>
                  </a:graphic>
                </wp:inline>
              </w:drawing>
            </w:r>
          </w:p>
          <w:p>
            <w:pPr>
              <w:pStyle w:val="32"/>
              <w:rPr>
                <w:color w:val="auto"/>
              </w:rPr>
            </w:pPr>
            <w:r>
              <w:rPr>
                <w:rFonts w:hint="eastAsia"/>
                <w:color w:val="auto"/>
                <w:szCs w:val="18"/>
              </w:rPr>
              <w:t>图2</w:t>
            </w:r>
            <w:r>
              <w:rPr>
                <w:color w:val="auto"/>
                <w:szCs w:val="18"/>
              </w:rPr>
              <w:t>-</w:t>
            </w:r>
            <w:r>
              <w:rPr>
                <w:rFonts w:hint="eastAsia"/>
                <w:color w:val="auto"/>
                <w:szCs w:val="18"/>
              </w:rPr>
              <w:t>2  本次扩建项目运营期工艺流程示意图</w:t>
            </w:r>
          </w:p>
          <w:p>
            <w:pPr>
              <w:pStyle w:val="32"/>
              <w:spacing w:line="360" w:lineRule="auto"/>
              <w:ind w:firstLine="480" w:firstLineChars="200"/>
              <w:jc w:val="both"/>
              <w:rPr>
                <w:b w:val="0"/>
                <w:bCs w:val="0"/>
                <w:color w:val="auto"/>
                <w:sz w:val="24"/>
                <w:szCs w:val="24"/>
              </w:rPr>
            </w:pPr>
            <w:r>
              <w:rPr>
                <w:rFonts w:hint="eastAsia"/>
                <w:b w:val="0"/>
                <w:bCs w:val="0"/>
                <w:color w:val="auto"/>
                <w:sz w:val="24"/>
                <w:szCs w:val="24"/>
              </w:rPr>
              <w:t>工艺简述：</w:t>
            </w:r>
          </w:p>
          <w:p>
            <w:pPr>
              <w:pStyle w:val="32"/>
              <w:spacing w:line="360" w:lineRule="auto"/>
              <w:ind w:firstLine="480" w:firstLineChars="200"/>
              <w:jc w:val="both"/>
              <w:rPr>
                <w:b w:val="0"/>
                <w:bCs w:val="0"/>
                <w:color w:val="auto"/>
                <w:sz w:val="24"/>
                <w:szCs w:val="24"/>
              </w:rPr>
            </w:pPr>
            <w:r>
              <w:rPr>
                <w:rFonts w:hint="eastAsia"/>
                <w:b w:val="0"/>
                <w:bCs w:val="0"/>
                <w:color w:val="auto"/>
                <w:sz w:val="24"/>
                <w:szCs w:val="24"/>
              </w:rPr>
              <w:t>（1）沼气前处理</w:t>
            </w:r>
          </w:p>
          <w:p>
            <w:pPr>
              <w:pStyle w:val="32"/>
              <w:spacing w:line="360" w:lineRule="auto"/>
              <w:ind w:firstLine="480" w:firstLineChars="200"/>
              <w:jc w:val="both"/>
              <w:rPr>
                <w:b w:val="0"/>
                <w:bCs w:val="0"/>
                <w:color w:val="auto"/>
                <w:sz w:val="24"/>
                <w:szCs w:val="24"/>
              </w:rPr>
            </w:pPr>
            <w:r>
              <w:rPr>
                <w:rFonts w:hint="eastAsia"/>
                <w:b w:val="0"/>
                <w:bCs w:val="0"/>
                <w:color w:val="auto"/>
                <w:sz w:val="24"/>
                <w:szCs w:val="24"/>
              </w:rPr>
              <w:t>依托现有工艺产生沼气，沼气进入净化系统，净化后的沼气通过管道运输至本项目燃气锅炉，供本项目沼气锅炉使用。</w:t>
            </w:r>
          </w:p>
          <w:p>
            <w:pPr>
              <w:pStyle w:val="32"/>
              <w:spacing w:line="360" w:lineRule="auto"/>
              <w:ind w:firstLine="480" w:firstLineChars="200"/>
              <w:jc w:val="both"/>
              <w:rPr>
                <w:b w:val="0"/>
                <w:bCs w:val="0"/>
                <w:color w:val="auto"/>
                <w:sz w:val="24"/>
                <w:szCs w:val="24"/>
              </w:rPr>
            </w:pPr>
            <w:r>
              <w:rPr>
                <w:rFonts w:hint="eastAsia"/>
                <w:b w:val="0"/>
                <w:bCs w:val="0"/>
                <w:color w:val="auto"/>
                <w:sz w:val="24"/>
                <w:szCs w:val="24"/>
              </w:rPr>
              <w:t>（2）纯水制备</w:t>
            </w:r>
          </w:p>
          <w:p>
            <w:pPr>
              <w:pStyle w:val="32"/>
              <w:spacing w:line="360" w:lineRule="auto"/>
              <w:ind w:firstLine="480" w:firstLineChars="200"/>
              <w:jc w:val="both"/>
              <w:rPr>
                <w:b w:val="0"/>
                <w:bCs w:val="0"/>
                <w:color w:val="auto"/>
                <w:sz w:val="24"/>
                <w:szCs w:val="24"/>
              </w:rPr>
            </w:pPr>
            <w:r>
              <w:rPr>
                <w:rFonts w:hint="eastAsia"/>
                <w:b w:val="0"/>
                <w:bCs w:val="0"/>
                <w:color w:val="auto"/>
                <w:sz w:val="24"/>
                <w:szCs w:val="24"/>
              </w:rPr>
              <w:t>纯水制备：锅炉补充水为纯水，采用自来水通过反渗透过滤制备，此过程产生纯水制备浓水（W</w:t>
            </w:r>
            <w:r>
              <w:rPr>
                <w:rFonts w:hint="eastAsia"/>
                <w:b w:val="0"/>
                <w:bCs w:val="0"/>
                <w:color w:val="auto"/>
                <w:sz w:val="24"/>
                <w:szCs w:val="24"/>
                <w:vertAlign w:val="subscript"/>
              </w:rPr>
              <w:t>1</w:t>
            </w:r>
            <w:r>
              <w:rPr>
                <w:rFonts w:hint="eastAsia"/>
                <w:b w:val="0"/>
                <w:bCs w:val="0"/>
                <w:color w:val="auto"/>
                <w:sz w:val="24"/>
                <w:szCs w:val="24"/>
              </w:rPr>
              <w:t>）及废过滤材料（S</w:t>
            </w:r>
            <w:r>
              <w:rPr>
                <w:rFonts w:hint="eastAsia"/>
                <w:b w:val="0"/>
                <w:bCs w:val="0"/>
                <w:color w:val="auto"/>
                <w:sz w:val="24"/>
                <w:szCs w:val="24"/>
                <w:vertAlign w:val="subscript"/>
              </w:rPr>
              <w:t>1</w:t>
            </w:r>
            <w:r>
              <w:rPr>
                <w:rFonts w:hint="eastAsia"/>
                <w:b w:val="0"/>
                <w:bCs w:val="0"/>
                <w:color w:val="auto"/>
                <w:sz w:val="24"/>
                <w:szCs w:val="24"/>
              </w:rPr>
              <w:t>）。</w:t>
            </w:r>
          </w:p>
          <w:p>
            <w:pPr>
              <w:pStyle w:val="32"/>
              <w:spacing w:line="360" w:lineRule="auto"/>
              <w:ind w:firstLine="480" w:firstLineChars="200"/>
              <w:jc w:val="both"/>
              <w:rPr>
                <w:b w:val="0"/>
                <w:bCs w:val="0"/>
                <w:color w:val="auto"/>
                <w:sz w:val="24"/>
                <w:szCs w:val="24"/>
              </w:rPr>
            </w:pPr>
            <w:r>
              <w:rPr>
                <w:rFonts w:hint="eastAsia"/>
                <w:b w:val="0"/>
                <w:bCs w:val="0"/>
                <w:color w:val="auto"/>
                <w:sz w:val="24"/>
                <w:szCs w:val="24"/>
              </w:rPr>
              <w:t>（3）锅炉燃烧</w:t>
            </w:r>
          </w:p>
          <w:p>
            <w:pPr>
              <w:pStyle w:val="32"/>
              <w:spacing w:line="360" w:lineRule="auto"/>
              <w:ind w:firstLine="480" w:firstLineChars="200"/>
              <w:jc w:val="both"/>
              <w:rPr>
                <w:b w:val="0"/>
                <w:bCs w:val="0"/>
                <w:color w:val="auto"/>
                <w:sz w:val="24"/>
                <w:szCs w:val="24"/>
              </w:rPr>
            </w:pPr>
            <w:r>
              <w:rPr>
                <w:rFonts w:hint="eastAsia"/>
                <w:b w:val="0"/>
                <w:bCs w:val="0"/>
                <w:color w:val="auto"/>
                <w:sz w:val="24"/>
                <w:szCs w:val="24"/>
              </w:rPr>
              <w:t>锅炉运行：锅炉燃烧产生蒸汽供高温蒸煮工序使用。燃气锅炉在燃烧的过程中产生燃沼气废气（G</w:t>
            </w:r>
            <w:r>
              <w:rPr>
                <w:rFonts w:hint="eastAsia"/>
                <w:b w:val="0"/>
                <w:bCs w:val="0"/>
                <w:color w:val="auto"/>
                <w:sz w:val="24"/>
                <w:szCs w:val="24"/>
                <w:vertAlign w:val="subscript"/>
              </w:rPr>
              <w:t>1</w:t>
            </w:r>
            <w:r>
              <w:rPr>
                <w:rFonts w:hint="eastAsia"/>
                <w:b w:val="0"/>
                <w:bCs w:val="0"/>
                <w:color w:val="auto"/>
                <w:sz w:val="24"/>
                <w:szCs w:val="24"/>
              </w:rPr>
              <w:t>）、锅炉排污水（W</w:t>
            </w:r>
            <w:r>
              <w:rPr>
                <w:rFonts w:hint="eastAsia"/>
                <w:b w:val="0"/>
                <w:bCs w:val="0"/>
                <w:color w:val="auto"/>
                <w:sz w:val="24"/>
                <w:szCs w:val="24"/>
                <w:vertAlign w:val="subscript"/>
              </w:rPr>
              <w:t>2</w:t>
            </w:r>
            <w:r>
              <w:rPr>
                <w:rFonts w:hint="eastAsia"/>
                <w:b w:val="0"/>
                <w:bCs w:val="0"/>
                <w:color w:val="auto"/>
                <w:sz w:val="24"/>
                <w:szCs w:val="24"/>
              </w:rPr>
              <w:t>）和噪声（N）。</w:t>
            </w:r>
          </w:p>
          <w:p>
            <w:pPr>
              <w:pStyle w:val="32"/>
              <w:spacing w:line="360" w:lineRule="auto"/>
              <w:ind w:firstLine="480" w:firstLineChars="200"/>
              <w:jc w:val="both"/>
              <w:rPr>
                <w:b w:val="0"/>
                <w:bCs w:val="0"/>
                <w:color w:val="auto"/>
                <w:sz w:val="24"/>
                <w:szCs w:val="24"/>
              </w:rPr>
            </w:pPr>
            <w:r>
              <w:rPr>
                <w:rFonts w:hint="eastAsia"/>
                <w:b w:val="0"/>
                <w:bCs w:val="0"/>
                <w:color w:val="auto"/>
                <w:sz w:val="24"/>
                <w:szCs w:val="24"/>
              </w:rPr>
              <w:t>本项目运营期产污环节汇总见表2-9。</w:t>
            </w:r>
          </w:p>
          <w:p>
            <w:pPr>
              <w:pStyle w:val="32"/>
              <w:rPr>
                <w:color w:val="auto"/>
                <w:szCs w:val="18"/>
              </w:rPr>
            </w:pPr>
            <w:r>
              <w:rPr>
                <w:rFonts w:hint="eastAsia"/>
                <w:color w:val="auto"/>
                <w:szCs w:val="18"/>
              </w:rPr>
              <w:t>表2-9  本次改建项目产排污一览表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1379"/>
              <w:gridCol w:w="1446"/>
              <w:gridCol w:w="1446"/>
              <w:gridCol w:w="26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942" w:type="dxa"/>
                  <w:vAlign w:val="center"/>
                </w:tcPr>
                <w:p>
                  <w:pPr>
                    <w:pStyle w:val="31"/>
                    <w:rPr>
                      <w:color w:val="auto"/>
                    </w:rPr>
                  </w:pPr>
                  <w:r>
                    <w:rPr>
                      <w:rFonts w:hint="eastAsia"/>
                      <w:color w:val="auto"/>
                    </w:rPr>
                    <w:t>污染因素</w:t>
                  </w:r>
                </w:p>
              </w:tc>
              <w:tc>
                <w:tcPr>
                  <w:tcW w:w="1379" w:type="dxa"/>
                  <w:vAlign w:val="center"/>
                </w:tcPr>
                <w:p>
                  <w:pPr>
                    <w:pStyle w:val="31"/>
                    <w:rPr>
                      <w:color w:val="auto"/>
                    </w:rPr>
                  </w:pPr>
                  <w:r>
                    <w:rPr>
                      <w:color w:val="auto"/>
                    </w:rPr>
                    <w:t>名称</w:t>
                  </w:r>
                </w:p>
              </w:tc>
              <w:tc>
                <w:tcPr>
                  <w:tcW w:w="1446" w:type="dxa"/>
                  <w:vAlign w:val="center"/>
                </w:tcPr>
                <w:p>
                  <w:pPr>
                    <w:pStyle w:val="31"/>
                    <w:rPr>
                      <w:color w:val="auto"/>
                    </w:rPr>
                  </w:pPr>
                  <w:r>
                    <w:rPr>
                      <w:rFonts w:hint="eastAsia"/>
                      <w:color w:val="auto"/>
                    </w:rPr>
                    <w:t>产污工序</w:t>
                  </w:r>
                </w:p>
              </w:tc>
              <w:tc>
                <w:tcPr>
                  <w:tcW w:w="1446" w:type="dxa"/>
                  <w:vAlign w:val="center"/>
                </w:tcPr>
                <w:p>
                  <w:pPr>
                    <w:pStyle w:val="31"/>
                    <w:rPr>
                      <w:color w:val="auto"/>
                    </w:rPr>
                  </w:pPr>
                  <w:r>
                    <w:rPr>
                      <w:rFonts w:hint="eastAsia"/>
                      <w:color w:val="auto"/>
                    </w:rPr>
                    <w:t>污染因子</w:t>
                  </w:r>
                </w:p>
              </w:tc>
              <w:tc>
                <w:tcPr>
                  <w:tcW w:w="2626" w:type="dxa"/>
                  <w:vAlign w:val="center"/>
                </w:tcPr>
                <w:p>
                  <w:pPr>
                    <w:pStyle w:val="31"/>
                    <w:rPr>
                      <w:color w:val="auto"/>
                    </w:rPr>
                  </w:pPr>
                  <w:r>
                    <w:rPr>
                      <w:rFonts w:hint="eastAsia"/>
                      <w:color w:val="auto"/>
                    </w:rPr>
                    <w:t>去向（</w:t>
                  </w:r>
                  <w:r>
                    <w:rPr>
                      <w:color w:val="auto"/>
                    </w:rPr>
                    <w:t>拟采取的污染防治措施</w:t>
                  </w: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942" w:type="dxa"/>
                  <w:vAlign w:val="center"/>
                </w:tcPr>
                <w:p>
                  <w:pPr>
                    <w:pStyle w:val="31"/>
                    <w:rPr>
                      <w:color w:val="auto"/>
                    </w:rPr>
                  </w:pPr>
                  <w:r>
                    <w:rPr>
                      <w:rFonts w:hint="eastAsia"/>
                      <w:color w:val="auto"/>
                    </w:rPr>
                    <w:t>废气</w:t>
                  </w:r>
                </w:p>
              </w:tc>
              <w:tc>
                <w:tcPr>
                  <w:tcW w:w="1379" w:type="dxa"/>
                  <w:vAlign w:val="center"/>
                </w:tcPr>
                <w:p>
                  <w:pPr>
                    <w:pStyle w:val="31"/>
                    <w:rPr>
                      <w:color w:val="auto"/>
                    </w:rPr>
                  </w:pPr>
                  <w:r>
                    <w:rPr>
                      <w:rFonts w:hint="eastAsia"/>
                      <w:color w:val="auto"/>
                    </w:rPr>
                    <w:t>锅炉的燃烧废气</w:t>
                  </w:r>
                </w:p>
              </w:tc>
              <w:tc>
                <w:tcPr>
                  <w:tcW w:w="1446" w:type="dxa"/>
                  <w:vAlign w:val="center"/>
                </w:tcPr>
                <w:p>
                  <w:pPr>
                    <w:pStyle w:val="31"/>
                    <w:rPr>
                      <w:color w:val="auto"/>
                    </w:rPr>
                  </w:pPr>
                  <w:r>
                    <w:rPr>
                      <w:rFonts w:hint="eastAsia"/>
                      <w:color w:val="auto"/>
                    </w:rPr>
                    <w:t>沼气锅炉</w:t>
                  </w:r>
                </w:p>
              </w:tc>
              <w:tc>
                <w:tcPr>
                  <w:tcW w:w="1446" w:type="dxa"/>
                  <w:vAlign w:val="center"/>
                </w:tcPr>
                <w:p>
                  <w:pPr>
                    <w:pStyle w:val="31"/>
                    <w:rPr>
                      <w:color w:val="auto"/>
                    </w:rPr>
                  </w:pPr>
                  <w:r>
                    <w:rPr>
                      <w:rFonts w:hint="eastAsia"/>
                      <w:color w:val="auto"/>
                    </w:rPr>
                    <w:t>颗粒物、SO</w:t>
                  </w:r>
                  <w:r>
                    <w:rPr>
                      <w:rFonts w:hint="eastAsia"/>
                      <w:color w:val="auto"/>
                      <w:vertAlign w:val="subscript"/>
                    </w:rPr>
                    <w:t>2</w:t>
                  </w:r>
                  <w:r>
                    <w:rPr>
                      <w:rFonts w:hint="eastAsia"/>
                      <w:color w:val="auto"/>
                    </w:rPr>
                    <w:t>、NO</w:t>
                  </w:r>
                  <w:r>
                    <w:rPr>
                      <w:rFonts w:hint="eastAsia"/>
                      <w:color w:val="auto"/>
                      <w:vertAlign w:val="subscript"/>
                    </w:rPr>
                    <w:t>X</w:t>
                  </w:r>
                </w:p>
              </w:tc>
              <w:tc>
                <w:tcPr>
                  <w:tcW w:w="2626" w:type="dxa"/>
                  <w:vAlign w:val="center"/>
                </w:tcPr>
                <w:p>
                  <w:pPr>
                    <w:pStyle w:val="31"/>
                    <w:rPr>
                      <w:color w:val="auto"/>
                    </w:rPr>
                  </w:pPr>
                  <w:r>
                    <w:rPr>
                      <w:rFonts w:hint="eastAsia"/>
                      <w:color w:val="auto"/>
                    </w:rPr>
                    <w:t>DA001排气筒（15m）排放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42" w:type="dxa"/>
                  <w:vAlign w:val="center"/>
                </w:tcPr>
                <w:p>
                  <w:pPr>
                    <w:pStyle w:val="31"/>
                    <w:rPr>
                      <w:color w:val="auto"/>
                    </w:rPr>
                  </w:pPr>
                  <w:r>
                    <w:rPr>
                      <w:rFonts w:hint="eastAsia"/>
                      <w:color w:val="auto"/>
                    </w:rPr>
                    <w:t>废水</w:t>
                  </w:r>
                </w:p>
              </w:tc>
              <w:tc>
                <w:tcPr>
                  <w:tcW w:w="1379" w:type="dxa"/>
                  <w:vAlign w:val="center"/>
                </w:tcPr>
                <w:p>
                  <w:pPr>
                    <w:pStyle w:val="31"/>
                    <w:rPr>
                      <w:color w:val="auto"/>
                    </w:rPr>
                  </w:pPr>
                  <w:r>
                    <w:rPr>
                      <w:rFonts w:hint="eastAsia"/>
                      <w:color w:val="auto"/>
                    </w:rPr>
                    <w:t>锅炉废水</w:t>
                  </w:r>
                </w:p>
              </w:tc>
              <w:tc>
                <w:tcPr>
                  <w:tcW w:w="1446" w:type="dxa"/>
                  <w:vAlign w:val="center"/>
                </w:tcPr>
                <w:p>
                  <w:pPr>
                    <w:pStyle w:val="31"/>
                    <w:rPr>
                      <w:color w:val="auto"/>
                    </w:rPr>
                  </w:pPr>
                  <w:r>
                    <w:rPr>
                      <w:rFonts w:hint="eastAsia"/>
                      <w:color w:val="auto"/>
                    </w:rPr>
                    <w:t>沼气锅炉</w:t>
                  </w:r>
                </w:p>
              </w:tc>
              <w:tc>
                <w:tcPr>
                  <w:tcW w:w="1446" w:type="dxa"/>
                  <w:vAlign w:val="center"/>
                </w:tcPr>
                <w:p>
                  <w:pPr>
                    <w:pStyle w:val="31"/>
                    <w:rPr>
                      <w:color w:val="auto"/>
                    </w:rPr>
                  </w:pPr>
                  <w:r>
                    <w:rPr>
                      <w:rFonts w:hint="eastAsia"/>
                      <w:color w:val="auto"/>
                    </w:rPr>
                    <w:t>/</w:t>
                  </w:r>
                </w:p>
              </w:tc>
              <w:tc>
                <w:tcPr>
                  <w:tcW w:w="2626" w:type="dxa"/>
                  <w:vAlign w:val="center"/>
                </w:tcPr>
                <w:p>
                  <w:pPr>
                    <w:pStyle w:val="31"/>
                    <w:rPr>
                      <w:color w:val="auto"/>
                    </w:rPr>
                  </w:pPr>
                  <w:r>
                    <w:rPr>
                      <w:rFonts w:hint="eastAsia"/>
                      <w:color w:val="auto"/>
                    </w:rPr>
                    <w:t>经厂区污水处理站处理达标后通过市政污水管网排入三渡河，最终汇入湘江。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942" w:type="dxa"/>
                  <w:vAlign w:val="center"/>
                </w:tcPr>
                <w:p>
                  <w:pPr>
                    <w:pStyle w:val="31"/>
                    <w:rPr>
                      <w:color w:val="auto"/>
                    </w:rPr>
                  </w:pPr>
                  <w:r>
                    <w:rPr>
                      <w:rFonts w:hint="eastAsia"/>
                      <w:color w:val="auto"/>
                    </w:rPr>
                    <w:t>固废</w:t>
                  </w:r>
                </w:p>
              </w:tc>
              <w:tc>
                <w:tcPr>
                  <w:tcW w:w="2825" w:type="dxa"/>
                  <w:gridSpan w:val="2"/>
                  <w:vAlign w:val="center"/>
                </w:tcPr>
                <w:p>
                  <w:pPr>
                    <w:pStyle w:val="31"/>
                    <w:rPr>
                      <w:color w:val="auto"/>
                    </w:rPr>
                  </w:pPr>
                  <w:r>
                    <w:rPr>
                      <w:rFonts w:hint="eastAsia"/>
                      <w:color w:val="auto"/>
                    </w:rPr>
                    <w:t>纯水制备废过滤材料（含活性炭滤芯和RO膜）</w:t>
                  </w:r>
                </w:p>
              </w:tc>
              <w:tc>
                <w:tcPr>
                  <w:tcW w:w="1446" w:type="dxa"/>
                  <w:vAlign w:val="center"/>
                </w:tcPr>
                <w:p>
                  <w:pPr>
                    <w:pStyle w:val="31"/>
                    <w:rPr>
                      <w:color w:val="auto"/>
                    </w:rPr>
                  </w:pPr>
                  <w:r>
                    <w:rPr>
                      <w:rFonts w:hint="eastAsia"/>
                      <w:color w:val="auto"/>
                    </w:rPr>
                    <w:t>/</w:t>
                  </w:r>
                </w:p>
              </w:tc>
              <w:tc>
                <w:tcPr>
                  <w:tcW w:w="2626" w:type="dxa"/>
                  <w:vAlign w:val="center"/>
                </w:tcPr>
                <w:p>
                  <w:pPr>
                    <w:pStyle w:val="31"/>
                    <w:rPr>
                      <w:color w:val="auto"/>
                    </w:rPr>
                  </w:pPr>
                  <w:r>
                    <w:rPr>
                      <w:rFonts w:hint="eastAsia"/>
                      <w:color w:val="auto"/>
                    </w:rPr>
                    <w:t>由厂家直接回收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2" w:type="dxa"/>
                  <w:vAlign w:val="center"/>
                </w:tcPr>
                <w:p>
                  <w:pPr>
                    <w:pStyle w:val="31"/>
                    <w:rPr>
                      <w:color w:val="auto"/>
                    </w:rPr>
                  </w:pPr>
                  <w:r>
                    <w:rPr>
                      <w:rFonts w:hint="eastAsia"/>
                      <w:color w:val="auto"/>
                    </w:rPr>
                    <w:t>噪声</w:t>
                  </w:r>
                </w:p>
              </w:tc>
              <w:tc>
                <w:tcPr>
                  <w:tcW w:w="1379" w:type="dxa"/>
                  <w:vAlign w:val="center"/>
                </w:tcPr>
                <w:p>
                  <w:pPr>
                    <w:pStyle w:val="31"/>
                    <w:rPr>
                      <w:color w:val="auto"/>
                    </w:rPr>
                  </w:pPr>
                  <w:r>
                    <w:rPr>
                      <w:rFonts w:hint="eastAsia"/>
                      <w:color w:val="auto"/>
                    </w:rPr>
                    <w:t>锅炉设备噪声</w:t>
                  </w:r>
                </w:p>
              </w:tc>
              <w:tc>
                <w:tcPr>
                  <w:tcW w:w="1446" w:type="dxa"/>
                  <w:vAlign w:val="center"/>
                </w:tcPr>
                <w:p>
                  <w:pPr>
                    <w:pStyle w:val="31"/>
                    <w:rPr>
                      <w:color w:val="auto"/>
                    </w:rPr>
                  </w:pPr>
                  <w:r>
                    <w:rPr>
                      <w:rFonts w:hint="eastAsia"/>
                      <w:color w:val="auto"/>
                    </w:rPr>
                    <w:t>设备运转</w:t>
                  </w:r>
                </w:p>
              </w:tc>
              <w:tc>
                <w:tcPr>
                  <w:tcW w:w="1446" w:type="dxa"/>
                  <w:vAlign w:val="center"/>
                </w:tcPr>
                <w:p>
                  <w:pPr>
                    <w:pStyle w:val="31"/>
                    <w:rPr>
                      <w:color w:val="auto"/>
                    </w:rPr>
                  </w:pPr>
                  <w:r>
                    <w:rPr>
                      <w:color w:val="auto"/>
                    </w:rPr>
                    <w:t>Leq（A）</w:t>
                  </w:r>
                </w:p>
              </w:tc>
              <w:tc>
                <w:tcPr>
                  <w:tcW w:w="2626" w:type="dxa"/>
                  <w:vAlign w:val="center"/>
                </w:tcPr>
                <w:p>
                  <w:pPr>
                    <w:pStyle w:val="31"/>
                    <w:rPr>
                      <w:color w:val="auto"/>
                    </w:rPr>
                  </w:pPr>
                  <w:r>
                    <w:rPr>
                      <w:rFonts w:hint="eastAsia"/>
                      <w:color w:val="auto"/>
                    </w:rPr>
                    <w:t>合理布局，</w:t>
                  </w:r>
                  <w:r>
                    <w:rPr>
                      <w:color w:val="auto"/>
                    </w:rPr>
                    <w:t>减震、隔声、距离衰减等</w:t>
                  </w:r>
                </w:p>
              </w:tc>
            </w:tr>
          </w:tbl>
          <w:p>
            <w:pPr>
              <w:ind w:firstLine="0" w:firstLineChars="0"/>
              <w:rPr>
                <w:b/>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703" w:type="dxa"/>
            <w:vAlign w:val="center"/>
          </w:tcPr>
          <w:p>
            <w:pPr>
              <w:ind w:firstLine="0" w:firstLineChars="0"/>
              <w:jc w:val="center"/>
              <w:rPr>
                <w:color w:val="auto"/>
              </w:rPr>
            </w:pPr>
            <w:r>
              <w:rPr>
                <w:rFonts w:hint="eastAsia"/>
                <w:color w:val="auto"/>
              </w:rPr>
              <w:t>与项目有关的原有环境污染问题</w:t>
            </w:r>
          </w:p>
        </w:tc>
        <w:tc>
          <w:tcPr>
            <w:tcW w:w="7819" w:type="dxa"/>
          </w:tcPr>
          <w:p>
            <w:pPr>
              <w:ind w:firstLine="0" w:firstLineChars="0"/>
              <w:rPr>
                <w:b/>
                <w:bCs/>
                <w:color w:val="auto"/>
              </w:rPr>
            </w:pPr>
            <w:r>
              <w:rPr>
                <w:rFonts w:hint="eastAsia"/>
                <w:b/>
                <w:bCs/>
                <w:color w:val="auto"/>
              </w:rPr>
              <w:t>1、现有项目环保审批及验收情况</w:t>
            </w:r>
          </w:p>
          <w:p>
            <w:pPr>
              <w:widowControl/>
              <w:ind w:firstLine="480"/>
              <w:jc w:val="left"/>
              <w:rPr>
                <w:bCs/>
                <w:color w:val="auto"/>
              </w:rPr>
            </w:pPr>
            <w:r>
              <w:rPr>
                <w:rFonts w:hint="eastAsia"/>
                <w:color w:val="auto"/>
              </w:rPr>
              <w:t>衡阳桑德凯天再生资源科技有限公司</w:t>
            </w:r>
            <w:r>
              <w:rPr>
                <w:bCs/>
                <w:color w:val="auto"/>
              </w:rPr>
              <w:t>现有项目属于排污许可</w:t>
            </w:r>
            <w:r>
              <w:rPr>
                <w:rFonts w:hint="eastAsia"/>
                <w:bCs/>
                <w:color w:val="auto"/>
              </w:rPr>
              <w:t>简化</w:t>
            </w:r>
            <w:r>
              <w:rPr>
                <w:bCs/>
                <w:color w:val="auto"/>
              </w:rPr>
              <w:t>管理类，已取得排放污染物许可证（许可证编号：91430400077170200D001U）。</w:t>
            </w:r>
          </w:p>
          <w:p>
            <w:pPr>
              <w:widowControl/>
              <w:ind w:firstLine="480"/>
              <w:jc w:val="left"/>
              <w:rPr>
                <w:bCs/>
                <w:color w:val="auto"/>
                <w:szCs w:val="21"/>
              </w:rPr>
            </w:pPr>
            <w:r>
              <w:rPr>
                <w:rFonts w:hint="eastAsia" w:ascii="宋体" w:hAnsi="宋体" w:cs="宋体"/>
                <w:color w:val="auto"/>
                <w:kern w:val="0"/>
                <w:lang w:bidi="ar"/>
              </w:rPr>
              <w:t>现有工程环保手续履行情况如下表所示：</w:t>
            </w:r>
          </w:p>
          <w:p>
            <w:pPr>
              <w:spacing w:line="264" w:lineRule="auto"/>
              <w:ind w:firstLine="422"/>
              <w:jc w:val="center"/>
              <w:rPr>
                <w:b/>
                <w:color w:val="auto"/>
                <w:sz w:val="21"/>
                <w:szCs w:val="21"/>
              </w:rPr>
            </w:pPr>
            <w:r>
              <w:rPr>
                <w:b/>
                <w:color w:val="auto"/>
                <w:sz w:val="21"/>
                <w:szCs w:val="21"/>
              </w:rPr>
              <w:t>表2-</w:t>
            </w:r>
            <w:r>
              <w:rPr>
                <w:rFonts w:hint="eastAsia"/>
                <w:b/>
                <w:color w:val="auto"/>
                <w:sz w:val="21"/>
                <w:szCs w:val="21"/>
              </w:rPr>
              <w:t>10</w:t>
            </w:r>
            <w:r>
              <w:rPr>
                <w:b/>
                <w:color w:val="auto"/>
                <w:sz w:val="21"/>
                <w:szCs w:val="21"/>
              </w:rPr>
              <w:t xml:space="preserve"> </w:t>
            </w:r>
            <w:r>
              <w:rPr>
                <w:rFonts w:hint="eastAsia"/>
                <w:b/>
                <w:color w:val="auto"/>
                <w:sz w:val="21"/>
                <w:szCs w:val="21"/>
              </w:rPr>
              <w:t>现有工程环保手续履行情况</w:t>
            </w:r>
            <w:r>
              <w:rPr>
                <w:b/>
                <w:color w:val="auto"/>
                <w:sz w:val="21"/>
                <w:szCs w:val="21"/>
              </w:rPr>
              <w:t>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7"/>
              <w:gridCol w:w="2070"/>
              <w:gridCol w:w="1350"/>
              <w:gridCol w:w="2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307" w:type="dxa"/>
                  <w:vAlign w:val="center"/>
                </w:tcPr>
                <w:p>
                  <w:pPr>
                    <w:pStyle w:val="31"/>
                    <w:rPr>
                      <w:color w:val="auto"/>
                      <w:szCs w:val="21"/>
                    </w:rPr>
                  </w:pPr>
                  <w:r>
                    <w:rPr>
                      <w:rFonts w:hint="eastAsia"/>
                      <w:color w:val="auto"/>
                      <w:szCs w:val="21"/>
                    </w:rPr>
                    <w:t>现有项目</w:t>
                  </w:r>
                </w:p>
              </w:tc>
              <w:tc>
                <w:tcPr>
                  <w:tcW w:w="2070" w:type="dxa"/>
                  <w:vAlign w:val="center"/>
                </w:tcPr>
                <w:p>
                  <w:pPr>
                    <w:pStyle w:val="31"/>
                    <w:rPr>
                      <w:color w:val="auto"/>
                      <w:szCs w:val="21"/>
                    </w:rPr>
                  </w:pPr>
                  <w:r>
                    <w:rPr>
                      <w:rFonts w:hint="eastAsia"/>
                      <w:color w:val="auto"/>
                      <w:szCs w:val="21"/>
                    </w:rPr>
                    <w:t>批复部门</w:t>
                  </w:r>
                </w:p>
              </w:tc>
              <w:tc>
                <w:tcPr>
                  <w:tcW w:w="1350" w:type="dxa"/>
                  <w:vAlign w:val="center"/>
                </w:tcPr>
                <w:p>
                  <w:pPr>
                    <w:pStyle w:val="31"/>
                    <w:rPr>
                      <w:color w:val="auto"/>
                      <w:szCs w:val="21"/>
                    </w:rPr>
                  </w:pPr>
                  <w:r>
                    <w:rPr>
                      <w:rFonts w:hint="eastAsia"/>
                      <w:color w:val="auto"/>
                      <w:szCs w:val="21"/>
                    </w:rPr>
                    <w:t>批复时间</w:t>
                  </w:r>
                </w:p>
              </w:tc>
              <w:tc>
                <w:tcPr>
                  <w:tcW w:w="2115" w:type="dxa"/>
                  <w:vAlign w:val="center"/>
                </w:tcPr>
                <w:p>
                  <w:pPr>
                    <w:pStyle w:val="31"/>
                    <w:rPr>
                      <w:color w:val="auto"/>
                      <w:szCs w:val="21"/>
                    </w:rPr>
                  </w:pPr>
                  <w:r>
                    <w:rPr>
                      <w:rFonts w:hint="eastAsia"/>
                      <w:color w:val="auto"/>
                      <w:szCs w:val="21"/>
                    </w:rPr>
                    <w:t>批复文号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307" w:type="dxa"/>
                  <w:vAlign w:val="center"/>
                </w:tcPr>
                <w:p>
                  <w:pPr>
                    <w:pStyle w:val="31"/>
                    <w:rPr>
                      <w:color w:val="auto"/>
                      <w:szCs w:val="21"/>
                    </w:rPr>
                  </w:pPr>
                  <w:r>
                    <w:rPr>
                      <w:rFonts w:hint="eastAsia"/>
                      <w:color w:val="auto"/>
                      <w:szCs w:val="21"/>
                    </w:rPr>
                    <w:t>《衡阳市吉兴垃圾综合处理有限公司衡阳市餐厨废弃物资源化利用和无害化处理工程环境影响报告书》</w:t>
                  </w:r>
                </w:p>
              </w:tc>
              <w:tc>
                <w:tcPr>
                  <w:tcW w:w="2070" w:type="dxa"/>
                  <w:vAlign w:val="center"/>
                </w:tcPr>
                <w:p>
                  <w:pPr>
                    <w:pStyle w:val="31"/>
                    <w:rPr>
                      <w:color w:val="auto"/>
                      <w:szCs w:val="21"/>
                    </w:rPr>
                  </w:pPr>
                  <w:r>
                    <w:rPr>
                      <w:rFonts w:hint="eastAsia"/>
                      <w:color w:val="auto"/>
                      <w:szCs w:val="21"/>
                    </w:rPr>
                    <w:t>原衡阳市环境保护局</w:t>
                  </w:r>
                </w:p>
              </w:tc>
              <w:tc>
                <w:tcPr>
                  <w:tcW w:w="1350" w:type="dxa"/>
                  <w:vAlign w:val="center"/>
                </w:tcPr>
                <w:p>
                  <w:pPr>
                    <w:pStyle w:val="31"/>
                    <w:rPr>
                      <w:color w:val="auto"/>
                      <w:szCs w:val="21"/>
                    </w:rPr>
                  </w:pPr>
                  <w:r>
                    <w:rPr>
                      <w:rFonts w:hint="eastAsia"/>
                      <w:color w:val="auto"/>
                    </w:rPr>
                    <w:t>2010年7月</w:t>
                  </w:r>
                </w:p>
              </w:tc>
              <w:tc>
                <w:tcPr>
                  <w:tcW w:w="2115" w:type="dxa"/>
                  <w:vAlign w:val="center"/>
                </w:tcPr>
                <w:p>
                  <w:pPr>
                    <w:pStyle w:val="31"/>
                    <w:rPr>
                      <w:color w:val="auto"/>
                      <w:szCs w:val="21"/>
                    </w:rPr>
                  </w:pPr>
                  <w:r>
                    <w:rPr>
                      <w:rFonts w:hint="eastAsia"/>
                      <w:color w:val="auto"/>
                    </w:rPr>
                    <w:t>衡环发[2010]118号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307" w:type="dxa"/>
                  <w:vAlign w:val="center"/>
                </w:tcPr>
                <w:p>
                  <w:pPr>
                    <w:pStyle w:val="31"/>
                    <w:rPr>
                      <w:color w:val="auto"/>
                      <w:szCs w:val="21"/>
                    </w:rPr>
                  </w:pPr>
                  <w:r>
                    <w:rPr>
                      <w:rFonts w:hint="eastAsia"/>
                      <w:color w:val="auto"/>
                    </w:rPr>
                    <w:t>《衡阳市餐厨废弃物资源化利用和无害化处理项目环境影响变更情况说明》</w:t>
                  </w:r>
                </w:p>
              </w:tc>
              <w:tc>
                <w:tcPr>
                  <w:tcW w:w="2070" w:type="dxa"/>
                  <w:vAlign w:val="center"/>
                </w:tcPr>
                <w:p>
                  <w:pPr>
                    <w:pStyle w:val="31"/>
                    <w:rPr>
                      <w:color w:val="auto"/>
                      <w:szCs w:val="21"/>
                    </w:rPr>
                  </w:pPr>
                  <w:r>
                    <w:rPr>
                      <w:rFonts w:hint="eastAsia"/>
                      <w:color w:val="auto"/>
                      <w:szCs w:val="21"/>
                    </w:rPr>
                    <w:t>原衡阳市环境保护局</w:t>
                  </w:r>
                </w:p>
              </w:tc>
              <w:tc>
                <w:tcPr>
                  <w:tcW w:w="1350" w:type="dxa"/>
                  <w:vAlign w:val="center"/>
                </w:tcPr>
                <w:p>
                  <w:pPr>
                    <w:pStyle w:val="31"/>
                    <w:rPr>
                      <w:color w:val="auto"/>
                      <w:szCs w:val="21"/>
                    </w:rPr>
                  </w:pPr>
                  <w:r>
                    <w:rPr>
                      <w:rFonts w:hint="eastAsia"/>
                      <w:color w:val="auto"/>
                    </w:rPr>
                    <w:t>2015年7月</w:t>
                  </w:r>
                </w:p>
              </w:tc>
              <w:tc>
                <w:tcPr>
                  <w:tcW w:w="2115" w:type="dxa"/>
                  <w:vAlign w:val="center"/>
                </w:tcPr>
                <w:p>
                  <w:pPr>
                    <w:pStyle w:val="31"/>
                    <w:rPr>
                      <w:color w:val="auto"/>
                      <w:szCs w:val="21"/>
                    </w:rPr>
                  </w:pPr>
                  <w:r>
                    <w:rPr>
                      <w:rFonts w:hint="eastAsia"/>
                      <w:color w:val="auto"/>
                    </w:rPr>
                    <w:t>衡环发[2015]120号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307" w:type="dxa"/>
                  <w:vAlign w:val="center"/>
                </w:tcPr>
                <w:p>
                  <w:pPr>
                    <w:pStyle w:val="31"/>
                    <w:rPr>
                      <w:color w:val="auto"/>
                      <w:szCs w:val="21"/>
                    </w:rPr>
                  </w:pPr>
                  <w:r>
                    <w:rPr>
                      <w:rFonts w:hint="eastAsia"/>
                      <w:color w:val="auto"/>
                    </w:rPr>
                    <w:t>衡阳市餐厨废弃物资源化利用和无害化处理项目（一期项目）（水和气）验收</w:t>
                  </w:r>
                </w:p>
              </w:tc>
              <w:tc>
                <w:tcPr>
                  <w:tcW w:w="2070" w:type="dxa"/>
                  <w:vAlign w:val="center"/>
                </w:tcPr>
                <w:p>
                  <w:pPr>
                    <w:pStyle w:val="31"/>
                    <w:rPr>
                      <w:color w:val="auto"/>
                      <w:szCs w:val="21"/>
                    </w:rPr>
                  </w:pPr>
                  <w:r>
                    <w:rPr>
                      <w:rFonts w:hint="eastAsia"/>
                      <w:color w:val="auto"/>
                      <w:szCs w:val="21"/>
                    </w:rPr>
                    <w:t>/</w:t>
                  </w:r>
                </w:p>
              </w:tc>
              <w:tc>
                <w:tcPr>
                  <w:tcW w:w="1350" w:type="dxa"/>
                  <w:vAlign w:val="center"/>
                </w:tcPr>
                <w:p>
                  <w:pPr>
                    <w:pStyle w:val="31"/>
                    <w:rPr>
                      <w:color w:val="auto"/>
                      <w:szCs w:val="21"/>
                    </w:rPr>
                  </w:pPr>
                  <w:r>
                    <w:rPr>
                      <w:rFonts w:hint="eastAsia"/>
                      <w:color w:val="auto"/>
                    </w:rPr>
                    <w:t>2018年8月</w:t>
                  </w:r>
                </w:p>
              </w:tc>
              <w:tc>
                <w:tcPr>
                  <w:tcW w:w="2115" w:type="dxa"/>
                  <w:vAlign w:val="center"/>
                </w:tcPr>
                <w:p>
                  <w:pPr>
                    <w:pStyle w:val="31"/>
                    <w:rPr>
                      <w:color w:val="auto"/>
                      <w:szCs w:val="21"/>
                    </w:rPr>
                  </w:pP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307" w:type="dxa"/>
                  <w:vAlign w:val="center"/>
                </w:tcPr>
                <w:p>
                  <w:pPr>
                    <w:pStyle w:val="31"/>
                    <w:rPr>
                      <w:color w:val="auto"/>
                    </w:rPr>
                  </w:pPr>
                  <w:r>
                    <w:rPr>
                      <w:rFonts w:hint="eastAsia"/>
                      <w:color w:val="auto"/>
                    </w:rPr>
                    <w:t>《衡阳市餐厨废弃物资源化利用和无害化处理项目环境影响变更情况影响说明》</w:t>
                  </w:r>
                </w:p>
              </w:tc>
              <w:tc>
                <w:tcPr>
                  <w:tcW w:w="2070" w:type="dxa"/>
                  <w:vAlign w:val="center"/>
                </w:tcPr>
                <w:p>
                  <w:pPr>
                    <w:pStyle w:val="31"/>
                    <w:rPr>
                      <w:color w:val="auto"/>
                      <w:szCs w:val="21"/>
                    </w:rPr>
                  </w:pPr>
                  <w:r>
                    <w:rPr>
                      <w:rFonts w:hint="eastAsia"/>
                      <w:color w:val="auto"/>
                      <w:szCs w:val="21"/>
                    </w:rPr>
                    <w:t>衡阳市生态环境局衡阳县分局</w:t>
                  </w:r>
                </w:p>
              </w:tc>
              <w:tc>
                <w:tcPr>
                  <w:tcW w:w="1350" w:type="dxa"/>
                  <w:vAlign w:val="center"/>
                </w:tcPr>
                <w:p>
                  <w:pPr>
                    <w:pStyle w:val="31"/>
                    <w:rPr>
                      <w:color w:val="auto"/>
                    </w:rPr>
                  </w:pPr>
                  <w:r>
                    <w:rPr>
                      <w:rFonts w:hint="eastAsia"/>
                      <w:color w:val="auto"/>
                    </w:rPr>
                    <w:t>2020年5月</w:t>
                  </w:r>
                </w:p>
              </w:tc>
              <w:tc>
                <w:tcPr>
                  <w:tcW w:w="2115" w:type="dxa"/>
                  <w:vAlign w:val="center"/>
                </w:tcPr>
                <w:p>
                  <w:pPr>
                    <w:pStyle w:val="31"/>
                    <w:rPr>
                      <w:color w:val="auto"/>
                      <w:szCs w:val="21"/>
                    </w:rPr>
                  </w:pPr>
                  <w:r>
                    <w:rPr>
                      <w:rFonts w:hint="eastAsia"/>
                      <w:color w:val="auto"/>
                    </w:rPr>
                    <w:t>蒸环评函[2020]13号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307" w:type="dxa"/>
                  <w:vAlign w:val="center"/>
                </w:tcPr>
                <w:p>
                  <w:pPr>
                    <w:pStyle w:val="31"/>
                    <w:rPr>
                      <w:color w:val="auto"/>
                      <w:szCs w:val="21"/>
                    </w:rPr>
                  </w:pPr>
                  <w:r>
                    <w:rPr>
                      <w:rFonts w:hint="eastAsia"/>
                      <w:color w:val="auto"/>
                      <w:szCs w:val="21"/>
                    </w:rPr>
                    <w:t>《衡阳桑德餐厨沼气发电项目环境影响报告表》</w:t>
                  </w:r>
                </w:p>
              </w:tc>
              <w:tc>
                <w:tcPr>
                  <w:tcW w:w="2070" w:type="dxa"/>
                  <w:vAlign w:val="center"/>
                </w:tcPr>
                <w:p>
                  <w:pPr>
                    <w:pStyle w:val="31"/>
                    <w:rPr>
                      <w:color w:val="auto"/>
                      <w:szCs w:val="21"/>
                    </w:rPr>
                  </w:pPr>
                  <w:r>
                    <w:rPr>
                      <w:rFonts w:hint="eastAsia"/>
                      <w:color w:val="auto"/>
                      <w:szCs w:val="21"/>
                    </w:rPr>
                    <w:t>衡阳市生态环境局</w:t>
                  </w:r>
                </w:p>
              </w:tc>
              <w:tc>
                <w:tcPr>
                  <w:tcW w:w="1350" w:type="dxa"/>
                  <w:vAlign w:val="center"/>
                </w:tcPr>
                <w:p>
                  <w:pPr>
                    <w:pStyle w:val="31"/>
                    <w:rPr>
                      <w:color w:val="auto"/>
                      <w:szCs w:val="21"/>
                    </w:rPr>
                  </w:pPr>
                  <w:r>
                    <w:rPr>
                      <w:rFonts w:hint="eastAsia"/>
                      <w:color w:val="auto"/>
                    </w:rPr>
                    <w:t>2024年3月</w:t>
                  </w:r>
                </w:p>
              </w:tc>
              <w:tc>
                <w:tcPr>
                  <w:tcW w:w="2115" w:type="dxa"/>
                  <w:vAlign w:val="center"/>
                </w:tcPr>
                <w:p>
                  <w:pPr>
                    <w:pStyle w:val="31"/>
                    <w:rPr>
                      <w:color w:val="auto"/>
                      <w:szCs w:val="21"/>
                    </w:rPr>
                  </w:pPr>
                  <w:r>
                    <w:rPr>
                      <w:rFonts w:hint="eastAsia"/>
                      <w:color w:val="auto"/>
                    </w:rPr>
                    <w:t>衡环发[2024]70号</w:t>
                  </w:r>
                </w:p>
              </w:tc>
            </w:tr>
          </w:tbl>
          <w:p>
            <w:pPr>
              <w:ind w:firstLine="0" w:firstLineChars="0"/>
              <w:rPr>
                <w:b/>
                <w:color w:val="auto"/>
              </w:rPr>
            </w:pPr>
            <w:r>
              <w:rPr>
                <w:rFonts w:hint="eastAsia"/>
                <w:b/>
                <w:color w:val="auto"/>
              </w:rPr>
              <w:t>2、现有工程污染物实际排放总量核算</w:t>
            </w:r>
          </w:p>
          <w:p>
            <w:pPr>
              <w:pStyle w:val="10"/>
              <w:ind w:left="0" w:leftChars="0" w:firstLine="480"/>
              <w:rPr>
                <w:color w:val="auto"/>
              </w:rPr>
            </w:pPr>
            <w:r>
              <w:rPr>
                <w:color w:val="auto"/>
              </w:rPr>
              <w:t>本次</w:t>
            </w:r>
            <w:r>
              <w:rPr>
                <w:rFonts w:hint="eastAsia"/>
                <w:color w:val="auto"/>
              </w:rPr>
              <w:t>扩</w:t>
            </w:r>
            <w:r>
              <w:rPr>
                <w:color w:val="auto"/>
              </w:rPr>
              <w:t>建与现有</w:t>
            </w:r>
            <w:r>
              <w:rPr>
                <w:rFonts w:hint="eastAsia"/>
                <w:color w:val="auto"/>
              </w:rPr>
              <w:t>沼气</w:t>
            </w:r>
            <w:r>
              <w:rPr>
                <w:color w:val="auto"/>
              </w:rPr>
              <w:t>锅炉密切相关，不涉及</w:t>
            </w:r>
            <w:r>
              <w:rPr>
                <w:rFonts w:hint="eastAsia"/>
                <w:color w:val="auto"/>
              </w:rPr>
              <w:t>其他</w:t>
            </w:r>
            <w:r>
              <w:rPr>
                <w:color w:val="auto"/>
              </w:rPr>
              <w:t>设施变化，因现有项目污染物排放达标线分析仅判定现有</w:t>
            </w:r>
            <w:r>
              <w:rPr>
                <w:rFonts w:hint="eastAsia"/>
                <w:color w:val="auto"/>
              </w:rPr>
              <w:t>沼气</w:t>
            </w:r>
            <w:r>
              <w:rPr>
                <w:color w:val="auto"/>
              </w:rPr>
              <w:t>锅炉部分，根据企业验收文件及例行监测报告，现有颗粒物、SO</w:t>
            </w:r>
            <w:r>
              <w:rPr>
                <w:color w:val="auto"/>
                <w:vertAlign w:val="subscript"/>
              </w:rPr>
              <w:t>2</w:t>
            </w:r>
            <w:r>
              <w:rPr>
                <w:color w:val="auto"/>
              </w:rPr>
              <w:t>与NO</w:t>
            </w:r>
            <w:r>
              <w:rPr>
                <w:color w:val="auto"/>
                <w:vertAlign w:val="subscript"/>
              </w:rPr>
              <w:t>x</w:t>
            </w:r>
            <w:r>
              <w:rPr>
                <w:color w:val="auto"/>
              </w:rPr>
              <w:t>排放浓度为</w:t>
            </w:r>
            <w:r>
              <w:rPr>
                <w:rFonts w:hint="eastAsia"/>
                <w:color w:val="auto"/>
              </w:rPr>
              <w:t>＜20</w:t>
            </w:r>
            <w:r>
              <w:rPr>
                <w:color w:val="auto"/>
              </w:rPr>
              <w:t>mg/m</w:t>
            </w:r>
            <w:r>
              <w:rPr>
                <w:color w:val="auto"/>
                <w:vertAlign w:val="superscript"/>
              </w:rPr>
              <w:t>3</w:t>
            </w:r>
            <w:r>
              <w:rPr>
                <w:color w:val="auto"/>
              </w:rPr>
              <w:t>、</w:t>
            </w:r>
            <w:r>
              <w:rPr>
                <w:rFonts w:hint="eastAsia"/>
                <w:color w:val="auto"/>
              </w:rPr>
              <w:t>42</w:t>
            </w:r>
            <w:r>
              <w:rPr>
                <w:color w:val="auto"/>
              </w:rPr>
              <w:t>mg/m</w:t>
            </w:r>
            <w:r>
              <w:rPr>
                <w:color w:val="auto"/>
                <w:vertAlign w:val="superscript"/>
              </w:rPr>
              <w:t>3</w:t>
            </w:r>
            <w:r>
              <w:rPr>
                <w:color w:val="auto"/>
              </w:rPr>
              <w:t>（折算浓度）与</w:t>
            </w:r>
            <w:r>
              <w:rPr>
                <w:rFonts w:hint="eastAsia"/>
                <w:color w:val="auto"/>
              </w:rPr>
              <w:t>59.12</w:t>
            </w:r>
            <w:r>
              <w:rPr>
                <w:color w:val="auto"/>
              </w:rPr>
              <w:t>mg/m</w:t>
            </w:r>
            <w:r>
              <w:rPr>
                <w:color w:val="auto"/>
                <w:vertAlign w:val="superscript"/>
              </w:rPr>
              <w:t>3</w:t>
            </w:r>
            <w:r>
              <w:rPr>
                <w:color w:val="auto"/>
              </w:rPr>
              <w:t>（折算浓度）；颗粒物SO</w:t>
            </w:r>
            <w:r>
              <w:rPr>
                <w:color w:val="auto"/>
                <w:vertAlign w:val="subscript"/>
              </w:rPr>
              <w:t>2</w:t>
            </w:r>
            <w:r>
              <w:rPr>
                <w:color w:val="auto"/>
              </w:rPr>
              <w:t>与NO</w:t>
            </w:r>
            <w:r>
              <w:rPr>
                <w:color w:val="auto"/>
                <w:vertAlign w:val="subscript"/>
              </w:rPr>
              <w:t>x</w:t>
            </w:r>
            <w:r>
              <w:rPr>
                <w:rFonts w:hint="eastAsia"/>
                <w:color w:val="auto"/>
              </w:rPr>
              <w:t>均</w:t>
            </w:r>
            <w:r>
              <w:rPr>
                <w:color w:val="auto"/>
              </w:rPr>
              <w:t>满足《锅炉大气污染物排放标准》(GB13271-2014)中</w:t>
            </w:r>
            <w:r>
              <w:rPr>
                <w:rFonts w:hint="eastAsia"/>
                <w:color w:val="auto"/>
              </w:rPr>
              <w:t>表2燃气锅炉标准（</w:t>
            </w:r>
            <w:r>
              <w:rPr>
                <w:color w:val="auto"/>
              </w:rPr>
              <w:t>颗粒物20mg/m</w:t>
            </w:r>
            <w:r>
              <w:rPr>
                <w:color w:val="auto"/>
                <w:vertAlign w:val="superscript"/>
              </w:rPr>
              <w:t>3</w:t>
            </w:r>
            <w:r>
              <w:rPr>
                <w:color w:val="auto"/>
              </w:rPr>
              <w:t>、二氧化硫50mg/m</w:t>
            </w:r>
            <w:r>
              <w:rPr>
                <w:color w:val="auto"/>
                <w:vertAlign w:val="superscript"/>
              </w:rPr>
              <w:t>3</w:t>
            </w:r>
            <w:r>
              <w:rPr>
                <w:rFonts w:hint="eastAsia"/>
                <w:color w:val="auto"/>
              </w:rPr>
              <w:t>、</w:t>
            </w:r>
            <w:r>
              <w:rPr>
                <w:color w:val="auto"/>
              </w:rPr>
              <w:t>氮氧化物</w:t>
            </w:r>
            <w:r>
              <w:rPr>
                <w:rFonts w:hint="eastAsia"/>
                <w:color w:val="auto"/>
              </w:rPr>
              <w:t>20</w:t>
            </w:r>
            <w:r>
              <w:rPr>
                <w:color w:val="auto"/>
              </w:rPr>
              <w:t>0mg/m</w:t>
            </w:r>
            <w:r>
              <w:rPr>
                <w:color w:val="auto"/>
                <w:vertAlign w:val="superscript"/>
              </w:rPr>
              <w:t>3</w:t>
            </w:r>
            <w:r>
              <w:rPr>
                <w:rFonts w:hint="eastAsia"/>
                <w:color w:val="auto"/>
              </w:rPr>
              <w:t>）</w:t>
            </w:r>
            <w:r>
              <w:rPr>
                <w:color w:val="auto"/>
              </w:rPr>
              <w:t>。</w:t>
            </w:r>
          </w:p>
          <w:p>
            <w:pPr>
              <w:ind w:firstLine="480"/>
              <w:rPr>
                <w:color w:val="auto"/>
              </w:rPr>
            </w:pPr>
            <w:r>
              <w:rPr>
                <w:rFonts w:hint="eastAsia"/>
                <w:color w:val="auto"/>
              </w:rPr>
              <w:t>（1）废气实际排放总量核算</w:t>
            </w:r>
          </w:p>
          <w:p>
            <w:pPr>
              <w:ind w:firstLine="480"/>
              <w:rPr>
                <w:color w:val="auto"/>
              </w:rPr>
            </w:pPr>
            <w:r>
              <w:rPr>
                <w:rFonts w:hint="eastAsia"/>
                <w:color w:val="auto"/>
              </w:rPr>
              <w:t>现有项目用一台2t/h沼气锅炉，用于供暖和高温蒸煮工序，沼气经沼气净化系统脱水脱硫后通过管道输送到锅炉房。由于经脱水脱硫后的沼气成分与天然气相似，本项目燃烧沼气废气污染物参照《排污许可证申请与核发技术规范 锅炉》（HJ953-2018）附录F表F-3中以天然气为燃料的室燃炉的产排污系数进行核算，废气量参照《排放源统计调查产排污核算方法和系数手册》4430 工业锅炉（热力供应）行业系数手册中天然气室燃炉工业废气量产物系数，沼气用量为71.28万m</w:t>
            </w:r>
            <w:r>
              <w:rPr>
                <w:rFonts w:hint="eastAsia"/>
                <w:color w:val="auto"/>
                <w:vertAlign w:val="superscript"/>
              </w:rPr>
              <w:t>3</w:t>
            </w:r>
            <w:r>
              <w:rPr>
                <w:rFonts w:hint="eastAsia"/>
                <w:color w:val="auto"/>
              </w:rPr>
              <w:t>。通过企业提供的沼气成分检测报告可知，沼气经沼气净化系统脱水脱硫工艺后，沼气中甲烷含量保持在62.84%，折天然气量为44.792万m</w:t>
            </w:r>
            <w:r>
              <w:rPr>
                <w:rFonts w:hint="eastAsia"/>
                <w:color w:val="auto"/>
                <w:vertAlign w:val="superscript"/>
              </w:rPr>
              <w:t>3</w:t>
            </w:r>
            <w:r>
              <w:rPr>
                <w:rFonts w:hint="eastAsia"/>
                <w:color w:val="auto"/>
              </w:rPr>
              <w:t>，根据企业提供的沼气锅炉风机风量为400m</w:t>
            </w:r>
            <w:r>
              <w:rPr>
                <w:rFonts w:hint="eastAsia"/>
                <w:color w:val="auto"/>
                <w:vertAlign w:val="superscript"/>
              </w:rPr>
              <w:t>3</w:t>
            </w:r>
            <w:r>
              <w:rPr>
                <w:rFonts w:hint="eastAsia"/>
                <w:color w:val="auto"/>
              </w:rPr>
              <w:t>/h。具体产污情况见表2-11、表2-12。</w:t>
            </w:r>
          </w:p>
          <w:p>
            <w:pPr>
              <w:pStyle w:val="10"/>
              <w:spacing w:after="0" w:line="240" w:lineRule="auto"/>
              <w:ind w:left="0" w:leftChars="0" w:firstLine="0" w:firstLineChars="0"/>
              <w:jc w:val="center"/>
              <w:rPr>
                <w:b/>
                <w:bCs/>
                <w:color w:val="auto"/>
                <w:sz w:val="21"/>
                <w:szCs w:val="16"/>
              </w:rPr>
            </w:pPr>
            <w:r>
              <w:rPr>
                <w:b/>
                <w:bCs/>
                <w:color w:val="auto"/>
                <w:sz w:val="21"/>
                <w:szCs w:val="16"/>
              </w:rPr>
              <w:t>表</w:t>
            </w:r>
            <w:r>
              <w:rPr>
                <w:rFonts w:hint="eastAsia"/>
                <w:b/>
                <w:bCs/>
                <w:color w:val="auto"/>
                <w:sz w:val="21"/>
                <w:szCs w:val="16"/>
              </w:rPr>
              <w:t>2-11</w:t>
            </w:r>
            <w:r>
              <w:rPr>
                <w:b/>
                <w:bCs/>
                <w:color w:val="auto"/>
                <w:sz w:val="21"/>
                <w:szCs w:val="16"/>
              </w:rPr>
              <w:t xml:space="preserve"> </w:t>
            </w:r>
            <w:r>
              <w:rPr>
                <w:rFonts w:hint="eastAsia"/>
                <w:b/>
                <w:bCs/>
                <w:color w:val="auto"/>
                <w:sz w:val="21"/>
                <w:szCs w:val="16"/>
              </w:rPr>
              <w:t xml:space="preserve"> </w:t>
            </w:r>
            <w:r>
              <w:rPr>
                <w:b/>
                <w:bCs/>
                <w:color w:val="auto"/>
                <w:sz w:val="21"/>
                <w:szCs w:val="16"/>
              </w:rPr>
              <w:t>天然气燃烧产污系数表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656"/>
              <w:gridCol w:w="2087"/>
              <w:gridCol w:w="871"/>
              <w:gridCol w:w="1074"/>
              <w:gridCol w:w="1226"/>
              <w:gridCol w:w="1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原料名称</w:t>
                  </w:r>
                </w:p>
              </w:tc>
              <w:tc>
                <w:tcPr>
                  <w:tcW w:w="656"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工艺名称</w:t>
                  </w:r>
                </w:p>
              </w:tc>
              <w:tc>
                <w:tcPr>
                  <w:tcW w:w="2087"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燃料量</w:t>
                  </w:r>
                </w:p>
              </w:tc>
              <w:tc>
                <w:tcPr>
                  <w:tcW w:w="871"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污染物指标</w:t>
                  </w:r>
                </w:p>
              </w:tc>
              <w:tc>
                <w:tcPr>
                  <w:tcW w:w="1074"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单位</w:t>
                  </w:r>
                </w:p>
              </w:tc>
              <w:tc>
                <w:tcPr>
                  <w:tcW w:w="1226"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产污系数</w:t>
                  </w:r>
                </w:p>
              </w:tc>
              <w:tc>
                <w:tcPr>
                  <w:tcW w:w="1148"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天然气</w:t>
                  </w:r>
                </w:p>
              </w:tc>
              <w:tc>
                <w:tcPr>
                  <w:tcW w:w="656"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室燃炉</w:t>
                  </w:r>
                </w:p>
              </w:tc>
              <w:tc>
                <w:tcPr>
                  <w:tcW w:w="2087"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沼气71.28万m</w:t>
                  </w:r>
                  <w:r>
                    <w:rPr>
                      <w:rFonts w:hint="eastAsia"/>
                      <w:color w:val="auto"/>
                      <w:sz w:val="21"/>
                      <w:szCs w:val="21"/>
                      <w:vertAlign w:val="superscript"/>
                    </w:rPr>
                    <w:t>3</w:t>
                  </w:r>
                  <w:r>
                    <w:rPr>
                      <w:rFonts w:hint="eastAsia"/>
                      <w:color w:val="auto"/>
                      <w:sz w:val="21"/>
                      <w:szCs w:val="21"/>
                    </w:rPr>
                    <w:t>，（折天然气44.792万m</w:t>
                  </w:r>
                  <w:r>
                    <w:rPr>
                      <w:rFonts w:hint="eastAsia"/>
                      <w:color w:val="auto"/>
                      <w:sz w:val="21"/>
                      <w:szCs w:val="21"/>
                      <w:vertAlign w:val="superscript"/>
                    </w:rPr>
                    <w:t>3</w:t>
                  </w:r>
                  <w:r>
                    <w:rPr>
                      <w:rFonts w:hint="eastAsia"/>
                      <w:color w:val="auto"/>
                      <w:sz w:val="21"/>
                      <w:szCs w:val="21"/>
                    </w:rPr>
                    <w:t>）</w:t>
                  </w:r>
                </w:p>
              </w:tc>
              <w:tc>
                <w:tcPr>
                  <w:tcW w:w="871"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工业废气量</w:t>
                  </w:r>
                </w:p>
              </w:tc>
              <w:tc>
                <w:tcPr>
                  <w:tcW w:w="1074"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标立方米/万立方米-原料</w:t>
                  </w:r>
                </w:p>
              </w:tc>
              <w:tc>
                <w:tcPr>
                  <w:tcW w:w="1226"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107753</w:t>
                  </w:r>
                </w:p>
              </w:tc>
              <w:tc>
                <w:tcPr>
                  <w:tcW w:w="1148"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482.651万m</w:t>
                  </w:r>
                  <w:r>
                    <w:rPr>
                      <w:rFonts w:hint="eastAsia"/>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continue"/>
                  <w:vAlign w:val="center"/>
                </w:tcPr>
                <w:p>
                  <w:pPr>
                    <w:pStyle w:val="10"/>
                    <w:spacing w:after="0" w:line="240" w:lineRule="auto"/>
                    <w:ind w:left="0" w:leftChars="0" w:firstLine="0" w:firstLineChars="0"/>
                    <w:jc w:val="center"/>
                    <w:rPr>
                      <w:color w:val="auto"/>
                      <w:sz w:val="21"/>
                      <w:szCs w:val="21"/>
                    </w:rPr>
                  </w:pPr>
                </w:p>
              </w:tc>
              <w:tc>
                <w:tcPr>
                  <w:tcW w:w="656" w:type="dxa"/>
                  <w:vMerge w:val="continue"/>
                  <w:vAlign w:val="center"/>
                </w:tcPr>
                <w:p>
                  <w:pPr>
                    <w:pStyle w:val="10"/>
                    <w:spacing w:after="0" w:line="240" w:lineRule="auto"/>
                    <w:ind w:left="0" w:leftChars="0" w:firstLine="0" w:firstLineChars="0"/>
                    <w:jc w:val="center"/>
                    <w:rPr>
                      <w:color w:val="auto"/>
                      <w:sz w:val="21"/>
                      <w:szCs w:val="21"/>
                    </w:rPr>
                  </w:pPr>
                </w:p>
              </w:tc>
              <w:tc>
                <w:tcPr>
                  <w:tcW w:w="2087" w:type="dxa"/>
                  <w:vMerge w:val="continue"/>
                  <w:vAlign w:val="center"/>
                </w:tcPr>
                <w:p>
                  <w:pPr>
                    <w:pStyle w:val="10"/>
                    <w:spacing w:after="0" w:line="240" w:lineRule="auto"/>
                    <w:ind w:left="0" w:leftChars="0" w:firstLine="0" w:firstLineChars="0"/>
                    <w:jc w:val="center"/>
                    <w:rPr>
                      <w:color w:val="auto"/>
                      <w:sz w:val="21"/>
                      <w:szCs w:val="21"/>
                    </w:rPr>
                  </w:pPr>
                </w:p>
              </w:tc>
              <w:tc>
                <w:tcPr>
                  <w:tcW w:w="871"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颗粒物</w:t>
                  </w:r>
                </w:p>
              </w:tc>
              <w:tc>
                <w:tcPr>
                  <w:tcW w:w="1074"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千克/万立方米-原料</w:t>
                  </w:r>
                </w:p>
              </w:tc>
              <w:tc>
                <w:tcPr>
                  <w:tcW w:w="1226"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2.86</w:t>
                  </w:r>
                </w:p>
              </w:tc>
              <w:tc>
                <w:tcPr>
                  <w:tcW w:w="1148"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continue"/>
                  <w:vAlign w:val="center"/>
                </w:tcPr>
                <w:p>
                  <w:pPr>
                    <w:pStyle w:val="10"/>
                    <w:spacing w:after="0" w:line="240" w:lineRule="auto"/>
                    <w:ind w:left="0" w:leftChars="0" w:firstLine="0" w:firstLineChars="0"/>
                    <w:jc w:val="center"/>
                    <w:rPr>
                      <w:color w:val="auto"/>
                      <w:sz w:val="21"/>
                      <w:szCs w:val="21"/>
                    </w:rPr>
                  </w:pPr>
                </w:p>
              </w:tc>
              <w:tc>
                <w:tcPr>
                  <w:tcW w:w="656" w:type="dxa"/>
                  <w:vMerge w:val="continue"/>
                  <w:vAlign w:val="center"/>
                </w:tcPr>
                <w:p>
                  <w:pPr>
                    <w:pStyle w:val="10"/>
                    <w:spacing w:after="0" w:line="240" w:lineRule="auto"/>
                    <w:ind w:left="0" w:leftChars="0" w:firstLine="0" w:firstLineChars="0"/>
                    <w:jc w:val="center"/>
                    <w:rPr>
                      <w:color w:val="auto"/>
                      <w:sz w:val="21"/>
                      <w:szCs w:val="21"/>
                    </w:rPr>
                  </w:pPr>
                </w:p>
              </w:tc>
              <w:tc>
                <w:tcPr>
                  <w:tcW w:w="2087" w:type="dxa"/>
                  <w:vMerge w:val="continue"/>
                  <w:vAlign w:val="center"/>
                </w:tcPr>
                <w:p>
                  <w:pPr>
                    <w:pStyle w:val="10"/>
                    <w:spacing w:after="0" w:line="240" w:lineRule="auto"/>
                    <w:ind w:left="0" w:leftChars="0" w:firstLine="0" w:firstLineChars="0"/>
                    <w:jc w:val="center"/>
                    <w:rPr>
                      <w:color w:val="auto"/>
                      <w:sz w:val="21"/>
                      <w:szCs w:val="21"/>
                    </w:rPr>
                  </w:pPr>
                </w:p>
              </w:tc>
              <w:tc>
                <w:tcPr>
                  <w:tcW w:w="871"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SO</w:t>
                  </w:r>
                  <w:r>
                    <w:rPr>
                      <w:rFonts w:hint="eastAsia"/>
                      <w:color w:val="auto"/>
                      <w:sz w:val="21"/>
                      <w:szCs w:val="21"/>
                      <w:vertAlign w:val="subscript"/>
                    </w:rPr>
                    <w:t>2</w:t>
                  </w:r>
                </w:p>
              </w:tc>
              <w:tc>
                <w:tcPr>
                  <w:tcW w:w="1074"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千克/万立方米-原料</w:t>
                  </w:r>
                </w:p>
              </w:tc>
              <w:tc>
                <w:tcPr>
                  <w:tcW w:w="1226"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 xml:space="preserve">0.02S </w:t>
                  </w:r>
                  <w:r>
                    <w:rPr>
                      <w:rFonts w:hint="eastAsia"/>
                      <w:b/>
                      <w:bCs/>
                      <w:color w:val="auto"/>
                      <w:sz w:val="21"/>
                      <w:szCs w:val="21"/>
                    </w:rPr>
                    <w:t>①</w:t>
                  </w:r>
                </w:p>
              </w:tc>
              <w:tc>
                <w:tcPr>
                  <w:tcW w:w="1148"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continue"/>
                  <w:vAlign w:val="center"/>
                </w:tcPr>
                <w:p>
                  <w:pPr>
                    <w:pStyle w:val="10"/>
                    <w:spacing w:after="0" w:line="240" w:lineRule="auto"/>
                    <w:ind w:left="0" w:leftChars="0" w:firstLine="0" w:firstLineChars="0"/>
                    <w:jc w:val="center"/>
                    <w:rPr>
                      <w:color w:val="auto"/>
                      <w:sz w:val="21"/>
                      <w:szCs w:val="21"/>
                    </w:rPr>
                  </w:pPr>
                </w:p>
              </w:tc>
              <w:tc>
                <w:tcPr>
                  <w:tcW w:w="656" w:type="dxa"/>
                  <w:vMerge w:val="continue"/>
                  <w:vAlign w:val="center"/>
                </w:tcPr>
                <w:p>
                  <w:pPr>
                    <w:pStyle w:val="10"/>
                    <w:spacing w:after="0" w:line="240" w:lineRule="auto"/>
                    <w:ind w:left="0" w:leftChars="0" w:firstLine="0" w:firstLineChars="0"/>
                    <w:jc w:val="center"/>
                    <w:rPr>
                      <w:color w:val="auto"/>
                      <w:sz w:val="21"/>
                      <w:szCs w:val="21"/>
                    </w:rPr>
                  </w:pPr>
                </w:p>
              </w:tc>
              <w:tc>
                <w:tcPr>
                  <w:tcW w:w="2087" w:type="dxa"/>
                  <w:vMerge w:val="continue"/>
                  <w:vAlign w:val="center"/>
                </w:tcPr>
                <w:p>
                  <w:pPr>
                    <w:pStyle w:val="10"/>
                    <w:spacing w:after="0" w:line="240" w:lineRule="auto"/>
                    <w:ind w:left="0" w:leftChars="0" w:firstLine="0" w:firstLineChars="0"/>
                    <w:jc w:val="center"/>
                    <w:rPr>
                      <w:color w:val="auto"/>
                      <w:sz w:val="21"/>
                      <w:szCs w:val="21"/>
                    </w:rPr>
                  </w:pPr>
                </w:p>
              </w:tc>
              <w:tc>
                <w:tcPr>
                  <w:tcW w:w="871"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NO</w:t>
                  </w:r>
                  <w:r>
                    <w:rPr>
                      <w:rFonts w:hint="eastAsia"/>
                      <w:color w:val="auto"/>
                      <w:sz w:val="21"/>
                      <w:szCs w:val="21"/>
                      <w:vertAlign w:val="subscript"/>
                    </w:rPr>
                    <w:t>X</w:t>
                  </w:r>
                </w:p>
              </w:tc>
              <w:tc>
                <w:tcPr>
                  <w:tcW w:w="1074"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千克/万立方米-原料</w:t>
                  </w:r>
                </w:p>
              </w:tc>
              <w:tc>
                <w:tcPr>
                  <w:tcW w:w="1226"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9.36（低氮燃烧）</w:t>
                  </w:r>
                </w:p>
              </w:tc>
              <w:tc>
                <w:tcPr>
                  <w:tcW w:w="1148"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0.419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18" w:type="dxa"/>
                  <w:gridSpan w:val="7"/>
                  <w:vAlign w:val="center"/>
                </w:tcPr>
                <w:p>
                  <w:pPr>
                    <w:pStyle w:val="10"/>
                    <w:spacing w:after="0" w:line="240" w:lineRule="auto"/>
                    <w:ind w:left="0" w:leftChars="0" w:firstLine="0" w:firstLineChars="0"/>
                    <w:jc w:val="center"/>
                    <w:rPr>
                      <w:color w:val="auto"/>
                      <w:sz w:val="21"/>
                      <w:szCs w:val="21"/>
                    </w:rPr>
                  </w:pPr>
                  <w:r>
                    <w:rPr>
                      <w:color w:val="auto"/>
                      <w:sz w:val="21"/>
                      <w:szCs w:val="21"/>
                    </w:rPr>
                    <w:t>注：①产排污系数表中二氧化硫的产排污系数是以含硫量（S）的形式表示的，其中含硫量（S）是指燃气收到基硫分含量（%），故本项目的沼</w:t>
                  </w:r>
                  <w:r>
                    <w:rPr>
                      <w:rFonts w:hint="eastAsia"/>
                      <w:color w:val="auto"/>
                      <w:sz w:val="21"/>
                      <w:szCs w:val="21"/>
                    </w:rPr>
                    <w:t>气</w:t>
                  </w:r>
                  <w:r>
                    <w:rPr>
                      <w:color w:val="auto"/>
                      <w:sz w:val="21"/>
                      <w:szCs w:val="21"/>
                    </w:rPr>
                    <w:t>参照《天然气》（GB17820-2018）中规定，总硫含量取值100mg/m</w:t>
                  </w:r>
                  <w:r>
                    <w:rPr>
                      <w:color w:val="auto"/>
                      <w:sz w:val="21"/>
                      <w:szCs w:val="21"/>
                      <w:vertAlign w:val="superscript"/>
                    </w:rPr>
                    <w:t>3</w:t>
                  </w:r>
                  <w:r>
                    <w:rPr>
                      <w:color w:val="auto"/>
                      <w:sz w:val="21"/>
                      <w:szCs w:val="21"/>
                    </w:rPr>
                    <w:t>；</w:t>
                  </w:r>
                </w:p>
              </w:tc>
            </w:tr>
          </w:tbl>
          <w:p>
            <w:pPr>
              <w:pStyle w:val="10"/>
              <w:spacing w:after="0" w:line="240" w:lineRule="auto"/>
              <w:ind w:left="0" w:leftChars="0" w:firstLine="0" w:firstLineChars="0"/>
              <w:jc w:val="center"/>
              <w:rPr>
                <w:color w:val="auto"/>
              </w:rPr>
            </w:pPr>
            <w:r>
              <w:rPr>
                <w:b/>
                <w:bCs/>
                <w:color w:val="auto"/>
                <w:sz w:val="21"/>
                <w:szCs w:val="16"/>
              </w:rPr>
              <w:t>表</w:t>
            </w:r>
            <w:r>
              <w:rPr>
                <w:rFonts w:hint="eastAsia"/>
                <w:b/>
                <w:bCs/>
                <w:color w:val="auto"/>
                <w:sz w:val="21"/>
                <w:szCs w:val="16"/>
              </w:rPr>
              <w:t>2-12</w:t>
            </w:r>
            <w:r>
              <w:rPr>
                <w:b/>
                <w:bCs/>
                <w:color w:val="auto"/>
                <w:sz w:val="21"/>
                <w:szCs w:val="16"/>
              </w:rPr>
              <w:t xml:space="preserve"> </w:t>
            </w:r>
            <w:r>
              <w:rPr>
                <w:rFonts w:hint="eastAsia"/>
                <w:b/>
                <w:bCs/>
                <w:color w:val="auto"/>
                <w:sz w:val="21"/>
                <w:szCs w:val="16"/>
              </w:rPr>
              <w:t xml:space="preserve"> 天然气燃烧废气产生及排放情况一览表</w:t>
            </w:r>
          </w:p>
          <w:tbl>
            <w:tblPr>
              <w:tblStyle w:val="22"/>
              <w:tblW w:w="769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857"/>
              <w:gridCol w:w="1078"/>
              <w:gridCol w:w="663"/>
              <w:gridCol w:w="704"/>
              <w:gridCol w:w="824"/>
              <w:gridCol w:w="704"/>
              <w:gridCol w:w="1033"/>
              <w:gridCol w:w="8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857" w:type="dxa"/>
                  <w:vMerge w:val="restart"/>
                  <w:tcBorders>
                    <w:tl2br w:val="nil"/>
                    <w:tr2bl w:val="nil"/>
                  </w:tcBorders>
                  <w:tcMar>
                    <w:top w:w="15" w:type="dxa"/>
                    <w:left w:w="15" w:type="dxa"/>
                    <w:right w:w="15" w:type="dxa"/>
                  </w:tcMar>
                  <w:vAlign w:val="center"/>
                </w:tcPr>
                <w:p>
                  <w:pPr>
                    <w:pStyle w:val="31"/>
                    <w:rPr>
                      <w:color w:val="auto"/>
                    </w:rPr>
                  </w:pPr>
                  <w:r>
                    <w:rPr>
                      <w:rFonts w:hint="eastAsia"/>
                      <w:color w:val="auto"/>
                    </w:rPr>
                    <w:t>排放口</w:t>
                  </w:r>
                </w:p>
              </w:tc>
              <w:tc>
                <w:tcPr>
                  <w:tcW w:w="1078" w:type="dxa"/>
                  <w:vMerge w:val="restart"/>
                  <w:tcBorders>
                    <w:tl2br w:val="nil"/>
                    <w:tr2bl w:val="nil"/>
                  </w:tcBorders>
                  <w:tcMar>
                    <w:top w:w="15" w:type="dxa"/>
                    <w:left w:w="15" w:type="dxa"/>
                    <w:right w:w="15" w:type="dxa"/>
                  </w:tcMar>
                  <w:vAlign w:val="center"/>
                </w:tcPr>
                <w:p>
                  <w:pPr>
                    <w:pStyle w:val="31"/>
                    <w:rPr>
                      <w:color w:val="auto"/>
                    </w:rPr>
                  </w:pPr>
                  <w:r>
                    <w:rPr>
                      <w:color w:val="auto"/>
                    </w:rPr>
                    <w:t>污染物名称</w:t>
                  </w:r>
                </w:p>
              </w:tc>
              <w:tc>
                <w:tcPr>
                  <w:tcW w:w="4755" w:type="dxa"/>
                  <w:gridSpan w:val="6"/>
                  <w:tcBorders>
                    <w:tl2br w:val="nil"/>
                    <w:tr2bl w:val="nil"/>
                  </w:tcBorders>
                  <w:noWrap/>
                  <w:tcMar>
                    <w:top w:w="15" w:type="dxa"/>
                    <w:left w:w="15" w:type="dxa"/>
                    <w:right w:w="15" w:type="dxa"/>
                  </w:tcMar>
                  <w:vAlign w:val="center"/>
                </w:tcPr>
                <w:p>
                  <w:pPr>
                    <w:pStyle w:val="31"/>
                    <w:rPr>
                      <w:color w:val="auto"/>
                    </w:rPr>
                  </w:pPr>
                  <w:r>
                    <w:rPr>
                      <w:rFonts w:hint="eastAsia"/>
                      <w:color w:val="auto"/>
                    </w:rPr>
                    <w:t>有组织排放废气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 w:hRule="atLeast"/>
                <w:jc w:val="center"/>
              </w:trPr>
              <w:tc>
                <w:tcPr>
                  <w:tcW w:w="1857" w:type="dxa"/>
                  <w:vMerge w:val="continue"/>
                  <w:tcBorders>
                    <w:tl2br w:val="nil"/>
                    <w:tr2bl w:val="nil"/>
                  </w:tcBorders>
                  <w:tcMar>
                    <w:top w:w="15" w:type="dxa"/>
                    <w:left w:w="15" w:type="dxa"/>
                    <w:right w:w="15" w:type="dxa"/>
                  </w:tcMar>
                  <w:vAlign w:val="center"/>
                </w:tcPr>
                <w:p>
                  <w:pPr>
                    <w:pStyle w:val="31"/>
                    <w:rPr>
                      <w:color w:val="auto"/>
                    </w:rPr>
                  </w:pPr>
                </w:p>
              </w:tc>
              <w:tc>
                <w:tcPr>
                  <w:tcW w:w="1078" w:type="dxa"/>
                  <w:vMerge w:val="continue"/>
                  <w:tcBorders>
                    <w:tl2br w:val="nil"/>
                    <w:tr2bl w:val="nil"/>
                  </w:tcBorders>
                  <w:tcMar>
                    <w:top w:w="15" w:type="dxa"/>
                    <w:left w:w="15" w:type="dxa"/>
                    <w:right w:w="15" w:type="dxa"/>
                  </w:tcMar>
                  <w:vAlign w:val="center"/>
                </w:tcPr>
                <w:p>
                  <w:pPr>
                    <w:pStyle w:val="31"/>
                    <w:rPr>
                      <w:color w:val="auto"/>
                    </w:rPr>
                  </w:pPr>
                </w:p>
              </w:tc>
              <w:tc>
                <w:tcPr>
                  <w:tcW w:w="2191" w:type="dxa"/>
                  <w:gridSpan w:val="3"/>
                  <w:tcBorders>
                    <w:tl2br w:val="nil"/>
                    <w:tr2bl w:val="nil"/>
                  </w:tcBorders>
                  <w:noWrap/>
                  <w:tcMar>
                    <w:top w:w="15" w:type="dxa"/>
                    <w:left w:w="15" w:type="dxa"/>
                    <w:right w:w="15" w:type="dxa"/>
                  </w:tcMar>
                  <w:vAlign w:val="center"/>
                </w:tcPr>
                <w:p>
                  <w:pPr>
                    <w:pStyle w:val="31"/>
                    <w:rPr>
                      <w:color w:val="auto"/>
                    </w:rPr>
                  </w:pPr>
                  <w:r>
                    <w:rPr>
                      <w:rFonts w:hint="eastAsia"/>
                      <w:color w:val="auto"/>
                    </w:rPr>
                    <w:t>产生情况</w:t>
                  </w:r>
                </w:p>
              </w:tc>
              <w:tc>
                <w:tcPr>
                  <w:tcW w:w="2564" w:type="dxa"/>
                  <w:gridSpan w:val="3"/>
                  <w:tcBorders>
                    <w:tl2br w:val="nil"/>
                    <w:tr2bl w:val="nil"/>
                  </w:tcBorders>
                  <w:noWrap/>
                  <w:tcMar>
                    <w:top w:w="15" w:type="dxa"/>
                    <w:left w:w="15" w:type="dxa"/>
                    <w:right w:w="15" w:type="dxa"/>
                  </w:tcMar>
                  <w:vAlign w:val="center"/>
                </w:tcPr>
                <w:p>
                  <w:pPr>
                    <w:pStyle w:val="31"/>
                    <w:rPr>
                      <w:color w:val="auto"/>
                    </w:rPr>
                  </w:pPr>
                  <w:r>
                    <w:rPr>
                      <w:rFonts w:hint="eastAsia"/>
                      <w:color w:val="auto"/>
                    </w:rPr>
                    <w:t>排放情况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1" w:hRule="atLeast"/>
                <w:jc w:val="center"/>
              </w:trPr>
              <w:tc>
                <w:tcPr>
                  <w:tcW w:w="1857" w:type="dxa"/>
                  <w:vMerge w:val="continue"/>
                  <w:tcBorders>
                    <w:tl2br w:val="nil"/>
                    <w:tr2bl w:val="nil"/>
                  </w:tcBorders>
                  <w:tcMar>
                    <w:top w:w="15" w:type="dxa"/>
                    <w:left w:w="15" w:type="dxa"/>
                    <w:right w:w="15" w:type="dxa"/>
                  </w:tcMar>
                  <w:vAlign w:val="center"/>
                </w:tcPr>
                <w:p>
                  <w:pPr>
                    <w:pStyle w:val="31"/>
                    <w:rPr>
                      <w:color w:val="auto"/>
                    </w:rPr>
                  </w:pPr>
                </w:p>
              </w:tc>
              <w:tc>
                <w:tcPr>
                  <w:tcW w:w="1078" w:type="dxa"/>
                  <w:vMerge w:val="continue"/>
                  <w:tcBorders>
                    <w:tl2br w:val="nil"/>
                    <w:tr2bl w:val="nil"/>
                  </w:tcBorders>
                  <w:tcMar>
                    <w:top w:w="15" w:type="dxa"/>
                    <w:left w:w="15" w:type="dxa"/>
                    <w:right w:w="15" w:type="dxa"/>
                  </w:tcMar>
                  <w:vAlign w:val="center"/>
                </w:tcPr>
                <w:p>
                  <w:pPr>
                    <w:pStyle w:val="31"/>
                    <w:rPr>
                      <w:color w:val="auto"/>
                    </w:rPr>
                  </w:pPr>
                </w:p>
              </w:tc>
              <w:tc>
                <w:tcPr>
                  <w:tcW w:w="663" w:type="dxa"/>
                  <w:tcBorders>
                    <w:tl2br w:val="nil"/>
                    <w:tr2bl w:val="nil"/>
                  </w:tcBorders>
                  <w:noWrap/>
                  <w:tcMar>
                    <w:top w:w="15" w:type="dxa"/>
                    <w:left w:w="15" w:type="dxa"/>
                    <w:right w:w="15" w:type="dxa"/>
                  </w:tcMar>
                  <w:vAlign w:val="center"/>
                </w:tcPr>
                <w:p>
                  <w:pPr>
                    <w:pStyle w:val="31"/>
                    <w:rPr>
                      <w:color w:val="auto"/>
                    </w:rPr>
                  </w:pPr>
                  <w:r>
                    <w:rPr>
                      <w:rFonts w:hint="eastAsia"/>
                      <w:color w:val="auto"/>
                      <w:szCs w:val="21"/>
                    </w:rPr>
                    <w:t>t/a</w:t>
                  </w:r>
                </w:p>
              </w:tc>
              <w:tc>
                <w:tcPr>
                  <w:tcW w:w="704" w:type="dxa"/>
                  <w:tcBorders>
                    <w:tl2br w:val="nil"/>
                    <w:tr2bl w:val="nil"/>
                  </w:tcBorders>
                  <w:noWrap/>
                  <w:tcMar>
                    <w:top w:w="15" w:type="dxa"/>
                    <w:left w:w="15" w:type="dxa"/>
                    <w:right w:w="15" w:type="dxa"/>
                  </w:tcMar>
                  <w:vAlign w:val="center"/>
                </w:tcPr>
                <w:p>
                  <w:pPr>
                    <w:pStyle w:val="31"/>
                    <w:rPr>
                      <w:color w:val="auto"/>
                    </w:rPr>
                  </w:pPr>
                  <w:r>
                    <w:rPr>
                      <w:rFonts w:hint="eastAsia"/>
                      <w:color w:val="auto"/>
                      <w:szCs w:val="21"/>
                    </w:rPr>
                    <w:t>kg/h</w:t>
                  </w:r>
                </w:p>
              </w:tc>
              <w:tc>
                <w:tcPr>
                  <w:tcW w:w="824" w:type="dxa"/>
                  <w:tcBorders>
                    <w:tl2br w:val="nil"/>
                    <w:tr2bl w:val="nil"/>
                  </w:tcBorders>
                  <w:noWrap/>
                  <w:tcMar>
                    <w:top w:w="15" w:type="dxa"/>
                    <w:left w:w="15" w:type="dxa"/>
                    <w:right w:w="15" w:type="dxa"/>
                  </w:tcMar>
                  <w:vAlign w:val="center"/>
                </w:tcPr>
                <w:p>
                  <w:pPr>
                    <w:pStyle w:val="31"/>
                    <w:rPr>
                      <w:color w:val="auto"/>
                    </w:rPr>
                  </w:pPr>
                  <w:r>
                    <w:rPr>
                      <w:rFonts w:hint="eastAsia"/>
                      <w:color w:val="auto"/>
                    </w:rPr>
                    <w:t>mg/m</w:t>
                  </w:r>
                  <w:r>
                    <w:rPr>
                      <w:rFonts w:hint="eastAsia"/>
                      <w:color w:val="auto"/>
                      <w:vertAlign w:val="superscript"/>
                    </w:rPr>
                    <w:t>3</w:t>
                  </w:r>
                </w:p>
              </w:tc>
              <w:tc>
                <w:tcPr>
                  <w:tcW w:w="704" w:type="dxa"/>
                  <w:tcBorders>
                    <w:tl2br w:val="nil"/>
                    <w:tr2bl w:val="nil"/>
                  </w:tcBorders>
                  <w:noWrap/>
                  <w:tcMar>
                    <w:top w:w="15" w:type="dxa"/>
                    <w:left w:w="15" w:type="dxa"/>
                    <w:right w:w="15" w:type="dxa"/>
                  </w:tcMar>
                  <w:vAlign w:val="center"/>
                </w:tcPr>
                <w:p>
                  <w:pPr>
                    <w:pStyle w:val="31"/>
                    <w:rPr>
                      <w:color w:val="auto"/>
                    </w:rPr>
                  </w:pPr>
                  <w:r>
                    <w:rPr>
                      <w:rFonts w:hint="eastAsia"/>
                      <w:color w:val="auto"/>
                      <w:szCs w:val="21"/>
                    </w:rPr>
                    <w:t>t/a</w:t>
                  </w:r>
                </w:p>
              </w:tc>
              <w:tc>
                <w:tcPr>
                  <w:tcW w:w="1033" w:type="dxa"/>
                  <w:tcBorders>
                    <w:tl2br w:val="nil"/>
                    <w:tr2bl w:val="nil"/>
                  </w:tcBorders>
                  <w:noWrap/>
                  <w:tcMar>
                    <w:top w:w="15" w:type="dxa"/>
                    <w:left w:w="15" w:type="dxa"/>
                    <w:right w:w="15" w:type="dxa"/>
                  </w:tcMar>
                  <w:vAlign w:val="center"/>
                </w:tcPr>
                <w:p>
                  <w:pPr>
                    <w:pStyle w:val="31"/>
                    <w:rPr>
                      <w:color w:val="auto"/>
                    </w:rPr>
                  </w:pPr>
                  <w:r>
                    <w:rPr>
                      <w:rFonts w:hint="eastAsia"/>
                      <w:color w:val="auto"/>
                      <w:szCs w:val="21"/>
                    </w:rPr>
                    <w:t>kg/h</w:t>
                  </w:r>
                </w:p>
              </w:tc>
              <w:tc>
                <w:tcPr>
                  <w:tcW w:w="827" w:type="dxa"/>
                  <w:tcBorders>
                    <w:tl2br w:val="nil"/>
                    <w:tr2bl w:val="nil"/>
                  </w:tcBorders>
                  <w:noWrap/>
                  <w:tcMar>
                    <w:top w:w="15" w:type="dxa"/>
                    <w:left w:w="15" w:type="dxa"/>
                    <w:right w:w="15" w:type="dxa"/>
                  </w:tcMar>
                  <w:vAlign w:val="center"/>
                </w:tcPr>
                <w:p>
                  <w:pPr>
                    <w:pStyle w:val="31"/>
                    <w:rPr>
                      <w:color w:val="auto"/>
                    </w:rPr>
                  </w:pPr>
                  <w:r>
                    <w:rPr>
                      <w:rFonts w:hint="eastAsia"/>
                      <w:color w:val="auto"/>
                    </w:rPr>
                    <w:t>mg/m</w:t>
                  </w:r>
                  <w:r>
                    <w:rPr>
                      <w:rFonts w:hint="eastAsia"/>
                      <w:color w:val="auto"/>
                      <w:vertAlign w:val="superscript"/>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 w:hRule="atLeast"/>
                <w:jc w:val="center"/>
              </w:trPr>
              <w:tc>
                <w:tcPr>
                  <w:tcW w:w="1857" w:type="dxa"/>
                  <w:vMerge w:val="restart"/>
                  <w:tcBorders>
                    <w:tl2br w:val="nil"/>
                    <w:tr2bl w:val="nil"/>
                  </w:tcBorders>
                  <w:noWrap/>
                  <w:tcMar>
                    <w:top w:w="15" w:type="dxa"/>
                    <w:left w:w="15" w:type="dxa"/>
                    <w:right w:w="15" w:type="dxa"/>
                  </w:tcMar>
                  <w:vAlign w:val="center"/>
                </w:tcPr>
                <w:p>
                  <w:pPr>
                    <w:pStyle w:val="31"/>
                    <w:rPr>
                      <w:color w:val="auto"/>
                    </w:rPr>
                  </w:pPr>
                  <w:r>
                    <w:rPr>
                      <w:rFonts w:hint="eastAsia"/>
                      <w:color w:val="auto"/>
                    </w:rPr>
                    <w:t>DA001排气筒</w:t>
                  </w:r>
                </w:p>
              </w:tc>
              <w:tc>
                <w:tcPr>
                  <w:tcW w:w="1078" w:type="dxa"/>
                  <w:tcBorders>
                    <w:tl2br w:val="nil"/>
                    <w:tr2bl w:val="nil"/>
                  </w:tcBorders>
                  <w:noWrap/>
                  <w:tcMar>
                    <w:top w:w="15" w:type="dxa"/>
                    <w:left w:w="15" w:type="dxa"/>
                    <w:right w:w="15" w:type="dxa"/>
                  </w:tcMar>
                  <w:vAlign w:val="center"/>
                </w:tcPr>
                <w:p>
                  <w:pPr>
                    <w:pStyle w:val="31"/>
                    <w:rPr>
                      <w:color w:val="auto"/>
                    </w:rPr>
                  </w:pPr>
                  <w:r>
                    <w:rPr>
                      <w:rFonts w:hint="eastAsia"/>
                      <w:color w:val="auto"/>
                    </w:rPr>
                    <w:t>颗粒物</w:t>
                  </w:r>
                </w:p>
              </w:tc>
              <w:tc>
                <w:tcPr>
                  <w:tcW w:w="663"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0.128</w:t>
                  </w:r>
                </w:p>
              </w:tc>
              <w:tc>
                <w:tcPr>
                  <w:tcW w:w="704" w:type="dxa"/>
                  <w:tcBorders>
                    <w:tl2br w:val="nil"/>
                    <w:tr2bl w:val="nil"/>
                  </w:tcBorders>
                  <w:noWrap/>
                  <w:tcMar>
                    <w:top w:w="15" w:type="dxa"/>
                    <w:left w:w="15" w:type="dxa"/>
                    <w:right w:w="15" w:type="dxa"/>
                  </w:tcMar>
                  <w:vAlign w:val="center"/>
                </w:tcPr>
                <w:p>
                  <w:pPr>
                    <w:pStyle w:val="31"/>
                    <w:rPr>
                      <w:color w:val="auto"/>
                    </w:rPr>
                  </w:pPr>
                  <w:r>
                    <w:rPr>
                      <w:rFonts w:hint="eastAsia"/>
                      <w:color w:val="auto"/>
                    </w:rPr>
                    <w:t>0.018</w:t>
                  </w:r>
                </w:p>
              </w:tc>
              <w:tc>
                <w:tcPr>
                  <w:tcW w:w="824" w:type="dxa"/>
                  <w:tcBorders>
                    <w:tl2br w:val="nil"/>
                    <w:tr2bl w:val="nil"/>
                  </w:tcBorders>
                  <w:noWrap/>
                  <w:tcMar>
                    <w:top w:w="15" w:type="dxa"/>
                    <w:left w:w="15" w:type="dxa"/>
                    <w:right w:w="15" w:type="dxa"/>
                  </w:tcMar>
                  <w:vAlign w:val="center"/>
                </w:tcPr>
                <w:p>
                  <w:pPr>
                    <w:pStyle w:val="31"/>
                    <w:rPr>
                      <w:color w:val="auto"/>
                    </w:rPr>
                  </w:pPr>
                  <w:r>
                    <w:rPr>
                      <w:rFonts w:hint="eastAsia"/>
                      <w:color w:val="auto"/>
                    </w:rPr>
                    <w:t>44.114</w:t>
                  </w:r>
                </w:p>
              </w:tc>
              <w:tc>
                <w:tcPr>
                  <w:tcW w:w="704"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0.128</w:t>
                  </w:r>
                </w:p>
              </w:tc>
              <w:tc>
                <w:tcPr>
                  <w:tcW w:w="1033" w:type="dxa"/>
                  <w:tcBorders>
                    <w:tl2br w:val="nil"/>
                    <w:tr2bl w:val="nil"/>
                  </w:tcBorders>
                  <w:noWrap/>
                  <w:tcMar>
                    <w:top w:w="15" w:type="dxa"/>
                    <w:left w:w="15" w:type="dxa"/>
                    <w:right w:w="15" w:type="dxa"/>
                  </w:tcMar>
                  <w:vAlign w:val="center"/>
                </w:tcPr>
                <w:p>
                  <w:pPr>
                    <w:pStyle w:val="31"/>
                    <w:rPr>
                      <w:color w:val="auto"/>
                    </w:rPr>
                  </w:pPr>
                  <w:r>
                    <w:rPr>
                      <w:rFonts w:hint="eastAsia"/>
                      <w:color w:val="auto"/>
                    </w:rPr>
                    <w:t>0.018</w:t>
                  </w:r>
                </w:p>
              </w:tc>
              <w:tc>
                <w:tcPr>
                  <w:tcW w:w="827" w:type="dxa"/>
                  <w:tcBorders>
                    <w:tl2br w:val="nil"/>
                    <w:tr2bl w:val="nil"/>
                  </w:tcBorders>
                  <w:noWrap/>
                  <w:tcMar>
                    <w:top w:w="15" w:type="dxa"/>
                    <w:left w:w="15" w:type="dxa"/>
                    <w:right w:w="15" w:type="dxa"/>
                  </w:tcMar>
                  <w:vAlign w:val="center"/>
                </w:tcPr>
                <w:p>
                  <w:pPr>
                    <w:pStyle w:val="31"/>
                    <w:rPr>
                      <w:color w:val="auto"/>
                    </w:rPr>
                  </w:pPr>
                  <w:r>
                    <w:rPr>
                      <w:rFonts w:hint="eastAsia"/>
                      <w:color w:val="auto"/>
                    </w:rPr>
                    <w:t>44.114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 w:hRule="atLeast"/>
                <w:jc w:val="center"/>
              </w:trPr>
              <w:tc>
                <w:tcPr>
                  <w:tcW w:w="1857" w:type="dxa"/>
                  <w:vMerge w:val="continue"/>
                  <w:tcBorders>
                    <w:tl2br w:val="nil"/>
                    <w:tr2bl w:val="nil"/>
                  </w:tcBorders>
                  <w:noWrap/>
                  <w:tcMar>
                    <w:top w:w="15" w:type="dxa"/>
                    <w:left w:w="15" w:type="dxa"/>
                    <w:right w:w="15" w:type="dxa"/>
                  </w:tcMar>
                  <w:vAlign w:val="center"/>
                </w:tcPr>
                <w:p>
                  <w:pPr>
                    <w:pStyle w:val="31"/>
                    <w:rPr>
                      <w:color w:val="auto"/>
                    </w:rPr>
                  </w:pPr>
                </w:p>
              </w:tc>
              <w:tc>
                <w:tcPr>
                  <w:tcW w:w="1078" w:type="dxa"/>
                  <w:tcBorders>
                    <w:tl2br w:val="nil"/>
                    <w:tr2bl w:val="nil"/>
                  </w:tcBorders>
                  <w:noWrap/>
                  <w:tcMar>
                    <w:top w:w="15" w:type="dxa"/>
                    <w:left w:w="15" w:type="dxa"/>
                    <w:right w:w="15" w:type="dxa"/>
                  </w:tcMar>
                  <w:vAlign w:val="center"/>
                </w:tcPr>
                <w:p>
                  <w:pPr>
                    <w:pStyle w:val="31"/>
                    <w:rPr>
                      <w:color w:val="auto"/>
                    </w:rPr>
                  </w:pPr>
                  <w:r>
                    <w:rPr>
                      <w:color w:val="auto"/>
                    </w:rPr>
                    <w:t>SO</w:t>
                  </w:r>
                  <w:r>
                    <w:rPr>
                      <w:color w:val="auto"/>
                      <w:vertAlign w:val="subscript"/>
                    </w:rPr>
                    <w:t>2</w:t>
                  </w:r>
                </w:p>
              </w:tc>
              <w:tc>
                <w:tcPr>
                  <w:tcW w:w="663"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0.090</w:t>
                  </w:r>
                </w:p>
              </w:tc>
              <w:tc>
                <w:tcPr>
                  <w:tcW w:w="704" w:type="dxa"/>
                  <w:tcBorders>
                    <w:tl2br w:val="nil"/>
                    <w:tr2bl w:val="nil"/>
                  </w:tcBorders>
                  <w:noWrap/>
                  <w:tcMar>
                    <w:top w:w="15" w:type="dxa"/>
                    <w:left w:w="15" w:type="dxa"/>
                    <w:right w:w="15" w:type="dxa"/>
                  </w:tcMar>
                  <w:vAlign w:val="center"/>
                </w:tcPr>
                <w:p>
                  <w:pPr>
                    <w:pStyle w:val="31"/>
                    <w:rPr>
                      <w:color w:val="auto"/>
                    </w:rPr>
                  </w:pPr>
                  <w:r>
                    <w:rPr>
                      <w:rFonts w:hint="eastAsia"/>
                      <w:color w:val="auto"/>
                    </w:rPr>
                    <w:t>0.012</w:t>
                  </w:r>
                </w:p>
              </w:tc>
              <w:tc>
                <w:tcPr>
                  <w:tcW w:w="824" w:type="dxa"/>
                  <w:tcBorders>
                    <w:tl2br w:val="nil"/>
                    <w:tr2bl w:val="nil"/>
                  </w:tcBorders>
                  <w:noWrap/>
                  <w:tcMar>
                    <w:top w:w="15" w:type="dxa"/>
                    <w:left w:w="15" w:type="dxa"/>
                    <w:right w:w="15" w:type="dxa"/>
                  </w:tcMar>
                  <w:vAlign w:val="center"/>
                </w:tcPr>
                <w:p>
                  <w:pPr>
                    <w:pStyle w:val="31"/>
                    <w:rPr>
                      <w:color w:val="auto"/>
                    </w:rPr>
                  </w:pPr>
                  <w:r>
                    <w:rPr>
                      <w:rFonts w:hint="eastAsia"/>
                      <w:color w:val="auto"/>
                    </w:rPr>
                    <w:t>30.849</w:t>
                  </w:r>
                </w:p>
              </w:tc>
              <w:tc>
                <w:tcPr>
                  <w:tcW w:w="704"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0.090</w:t>
                  </w:r>
                </w:p>
              </w:tc>
              <w:tc>
                <w:tcPr>
                  <w:tcW w:w="1033" w:type="dxa"/>
                  <w:tcBorders>
                    <w:tl2br w:val="nil"/>
                    <w:tr2bl w:val="nil"/>
                  </w:tcBorders>
                  <w:noWrap/>
                  <w:tcMar>
                    <w:top w:w="15" w:type="dxa"/>
                    <w:left w:w="15" w:type="dxa"/>
                    <w:right w:w="15" w:type="dxa"/>
                  </w:tcMar>
                  <w:vAlign w:val="center"/>
                </w:tcPr>
                <w:p>
                  <w:pPr>
                    <w:pStyle w:val="31"/>
                    <w:rPr>
                      <w:color w:val="auto"/>
                    </w:rPr>
                  </w:pPr>
                  <w:r>
                    <w:rPr>
                      <w:rFonts w:hint="eastAsia"/>
                      <w:color w:val="auto"/>
                    </w:rPr>
                    <w:t>0.012</w:t>
                  </w:r>
                </w:p>
              </w:tc>
              <w:tc>
                <w:tcPr>
                  <w:tcW w:w="827" w:type="dxa"/>
                  <w:tcBorders>
                    <w:tl2br w:val="nil"/>
                    <w:tr2bl w:val="nil"/>
                  </w:tcBorders>
                  <w:noWrap/>
                  <w:tcMar>
                    <w:top w:w="15" w:type="dxa"/>
                    <w:left w:w="15" w:type="dxa"/>
                    <w:right w:w="15" w:type="dxa"/>
                  </w:tcMar>
                  <w:vAlign w:val="center"/>
                </w:tcPr>
                <w:p>
                  <w:pPr>
                    <w:pStyle w:val="31"/>
                    <w:rPr>
                      <w:color w:val="auto"/>
                    </w:rPr>
                  </w:pPr>
                  <w:r>
                    <w:rPr>
                      <w:rFonts w:hint="eastAsia"/>
                      <w:color w:val="auto"/>
                    </w:rPr>
                    <w:t>30.849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 w:hRule="atLeast"/>
                <w:jc w:val="center"/>
              </w:trPr>
              <w:tc>
                <w:tcPr>
                  <w:tcW w:w="1857" w:type="dxa"/>
                  <w:vMerge w:val="continue"/>
                  <w:tcBorders>
                    <w:tl2br w:val="nil"/>
                    <w:tr2bl w:val="nil"/>
                  </w:tcBorders>
                  <w:noWrap/>
                  <w:tcMar>
                    <w:top w:w="15" w:type="dxa"/>
                    <w:left w:w="15" w:type="dxa"/>
                    <w:right w:w="15" w:type="dxa"/>
                  </w:tcMar>
                  <w:vAlign w:val="center"/>
                </w:tcPr>
                <w:p>
                  <w:pPr>
                    <w:pStyle w:val="31"/>
                    <w:rPr>
                      <w:color w:val="auto"/>
                    </w:rPr>
                  </w:pPr>
                </w:p>
              </w:tc>
              <w:tc>
                <w:tcPr>
                  <w:tcW w:w="1078" w:type="dxa"/>
                  <w:tcBorders>
                    <w:tl2br w:val="nil"/>
                    <w:tr2bl w:val="nil"/>
                  </w:tcBorders>
                  <w:noWrap/>
                  <w:tcMar>
                    <w:top w:w="15" w:type="dxa"/>
                    <w:left w:w="15" w:type="dxa"/>
                    <w:right w:w="15" w:type="dxa"/>
                  </w:tcMar>
                  <w:vAlign w:val="center"/>
                </w:tcPr>
                <w:p>
                  <w:pPr>
                    <w:pStyle w:val="31"/>
                    <w:rPr>
                      <w:color w:val="auto"/>
                    </w:rPr>
                  </w:pPr>
                  <w:r>
                    <w:rPr>
                      <w:rFonts w:hint="eastAsia"/>
                      <w:color w:val="auto"/>
                    </w:rPr>
                    <w:t>NOx</w:t>
                  </w:r>
                </w:p>
              </w:tc>
              <w:tc>
                <w:tcPr>
                  <w:tcW w:w="663"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0.419</w:t>
                  </w:r>
                </w:p>
              </w:tc>
              <w:tc>
                <w:tcPr>
                  <w:tcW w:w="704" w:type="dxa"/>
                  <w:tcBorders>
                    <w:tl2br w:val="nil"/>
                    <w:tr2bl w:val="nil"/>
                  </w:tcBorders>
                  <w:noWrap/>
                  <w:tcMar>
                    <w:top w:w="15" w:type="dxa"/>
                    <w:left w:w="15" w:type="dxa"/>
                    <w:right w:w="15" w:type="dxa"/>
                  </w:tcMar>
                  <w:vAlign w:val="center"/>
                </w:tcPr>
                <w:p>
                  <w:pPr>
                    <w:pStyle w:val="31"/>
                    <w:rPr>
                      <w:color w:val="auto"/>
                    </w:rPr>
                  </w:pPr>
                  <w:r>
                    <w:rPr>
                      <w:rFonts w:hint="eastAsia"/>
                      <w:color w:val="auto"/>
                    </w:rPr>
                    <w:t>0.058</w:t>
                  </w:r>
                </w:p>
              </w:tc>
              <w:tc>
                <w:tcPr>
                  <w:tcW w:w="824" w:type="dxa"/>
                  <w:tcBorders>
                    <w:tl2br w:val="nil"/>
                    <w:tr2bl w:val="nil"/>
                  </w:tcBorders>
                  <w:noWrap/>
                  <w:tcMar>
                    <w:top w:w="15" w:type="dxa"/>
                    <w:left w:w="15" w:type="dxa"/>
                    <w:right w:w="15" w:type="dxa"/>
                  </w:tcMar>
                  <w:vAlign w:val="center"/>
                </w:tcPr>
                <w:p>
                  <w:pPr>
                    <w:pStyle w:val="31"/>
                    <w:rPr>
                      <w:color w:val="auto"/>
                    </w:rPr>
                  </w:pPr>
                  <w:r>
                    <w:rPr>
                      <w:rFonts w:hint="eastAsia"/>
                      <w:color w:val="auto"/>
                    </w:rPr>
                    <w:t>144.371</w:t>
                  </w:r>
                </w:p>
              </w:tc>
              <w:tc>
                <w:tcPr>
                  <w:tcW w:w="704"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0.419</w:t>
                  </w:r>
                </w:p>
              </w:tc>
              <w:tc>
                <w:tcPr>
                  <w:tcW w:w="1033" w:type="dxa"/>
                  <w:tcBorders>
                    <w:tl2br w:val="nil"/>
                    <w:tr2bl w:val="nil"/>
                  </w:tcBorders>
                  <w:noWrap/>
                  <w:tcMar>
                    <w:top w:w="15" w:type="dxa"/>
                    <w:left w:w="15" w:type="dxa"/>
                    <w:right w:w="15" w:type="dxa"/>
                  </w:tcMar>
                  <w:vAlign w:val="center"/>
                </w:tcPr>
                <w:p>
                  <w:pPr>
                    <w:pStyle w:val="31"/>
                    <w:rPr>
                      <w:color w:val="auto"/>
                    </w:rPr>
                  </w:pPr>
                  <w:r>
                    <w:rPr>
                      <w:rFonts w:hint="eastAsia"/>
                      <w:color w:val="auto"/>
                    </w:rPr>
                    <w:t>0.058</w:t>
                  </w:r>
                </w:p>
              </w:tc>
              <w:tc>
                <w:tcPr>
                  <w:tcW w:w="827" w:type="dxa"/>
                  <w:tcBorders>
                    <w:tl2br w:val="nil"/>
                    <w:tr2bl w:val="nil"/>
                  </w:tcBorders>
                  <w:noWrap/>
                  <w:tcMar>
                    <w:top w:w="15" w:type="dxa"/>
                    <w:left w:w="15" w:type="dxa"/>
                    <w:right w:w="15" w:type="dxa"/>
                  </w:tcMar>
                  <w:vAlign w:val="center"/>
                </w:tcPr>
                <w:p>
                  <w:pPr>
                    <w:pStyle w:val="31"/>
                    <w:rPr>
                      <w:color w:val="auto"/>
                    </w:rPr>
                  </w:pPr>
                  <w:r>
                    <w:rPr>
                      <w:rFonts w:hint="eastAsia"/>
                      <w:color w:val="auto"/>
                    </w:rPr>
                    <w:t>144.371</w:t>
                  </w:r>
                </w:p>
              </w:tc>
            </w:tr>
          </w:tbl>
          <w:p>
            <w:pPr>
              <w:numPr>
                <w:ilvl w:val="0"/>
                <w:numId w:val="4"/>
              </w:numPr>
              <w:ind w:firstLine="480"/>
              <w:rPr>
                <w:color w:val="auto"/>
              </w:rPr>
            </w:pPr>
            <w:r>
              <w:rPr>
                <w:rFonts w:hint="eastAsia"/>
                <w:color w:val="auto"/>
              </w:rPr>
              <w:t>废水实际排放总量核算</w:t>
            </w:r>
          </w:p>
          <w:p>
            <w:pPr>
              <w:pStyle w:val="12"/>
              <w:ind w:firstLine="480"/>
              <w:rPr>
                <w:bCs/>
                <w:color w:val="auto"/>
                <w:szCs w:val="21"/>
              </w:rPr>
            </w:pPr>
            <w:r>
              <w:rPr>
                <w:rFonts w:hint="eastAsia"/>
                <w:bCs/>
                <w:color w:val="auto"/>
                <w:szCs w:val="21"/>
              </w:rPr>
              <w:t>现有生产废水主要为2t/h沼气锅炉产生的废水和厂区其他系统产生的废水。其中2t/h沼气锅炉产生的废水主要有</w:t>
            </w:r>
            <w:r>
              <w:rPr>
                <w:rFonts w:hint="eastAsia"/>
                <w:color w:val="auto"/>
              </w:rPr>
              <w:t>离子交换树脂再生废水、</w:t>
            </w:r>
            <w:r>
              <w:rPr>
                <w:rFonts w:hint="eastAsia"/>
                <w:bCs/>
                <w:color w:val="auto"/>
                <w:szCs w:val="21"/>
              </w:rPr>
              <w:t>纯水制备废水及锅炉排水，依托厂区污水处理系统处理，达到《污水综合排放标准》GB8978-1996表4中三级标准后，进入衡阳第二生活垃圾填埋场渗滤液污水处理站进行深化处理。</w:t>
            </w:r>
          </w:p>
          <w:p>
            <w:pPr>
              <w:pStyle w:val="40"/>
              <w:widowControl/>
              <w:ind w:left="480" w:firstLine="0" w:firstLineChars="0"/>
              <w:jc w:val="left"/>
              <w:rPr>
                <w:color w:val="auto"/>
              </w:rPr>
            </w:pPr>
            <w:r>
              <w:rPr>
                <w:rFonts w:hint="eastAsia"/>
                <w:color w:val="auto"/>
              </w:rPr>
              <w:t>①</w:t>
            </w:r>
            <w:r>
              <w:rPr>
                <w:rFonts w:hint="eastAsia" w:ascii="宋体" w:hAnsi="宋体" w:cs="宋体"/>
                <w:color w:val="auto"/>
                <w:kern w:val="0"/>
                <w:lang w:bidi="ar"/>
              </w:rPr>
              <w:t>锅炉废水</w:t>
            </w:r>
          </w:p>
          <w:p>
            <w:pPr>
              <w:ind w:firstLine="480"/>
              <w:rPr>
                <w:color w:val="auto"/>
                <w:kern w:val="44"/>
              </w:rPr>
            </w:pPr>
            <w:r>
              <w:rPr>
                <w:rFonts w:hint="eastAsia"/>
                <w:bCs/>
                <w:color w:val="auto"/>
                <w:szCs w:val="21"/>
              </w:rPr>
              <w:t>现有2t/h沼气锅</w:t>
            </w:r>
            <w:r>
              <w:rPr>
                <w:rFonts w:hint="eastAsia"/>
                <w:color w:val="auto"/>
                <w:kern w:val="44"/>
              </w:rPr>
              <w:t>炉</w:t>
            </w:r>
            <w:r>
              <w:rPr>
                <w:color w:val="auto"/>
                <w:kern w:val="44"/>
              </w:rPr>
              <w:t>废水主要</w:t>
            </w:r>
            <w:r>
              <w:rPr>
                <w:rFonts w:hint="eastAsia"/>
                <w:color w:val="auto"/>
                <w:kern w:val="44"/>
              </w:rPr>
              <w:t>为</w:t>
            </w:r>
            <w:r>
              <w:rPr>
                <w:rFonts w:hint="eastAsia"/>
                <w:color w:val="auto"/>
              </w:rPr>
              <w:t>离子交换树脂再生废水、</w:t>
            </w:r>
            <w:r>
              <w:rPr>
                <w:color w:val="auto"/>
                <w:kern w:val="44"/>
              </w:rPr>
              <w:t>软水系统排污水、</w:t>
            </w:r>
            <w:r>
              <w:rPr>
                <w:rFonts w:hint="eastAsia"/>
                <w:color w:val="auto"/>
                <w:kern w:val="44"/>
              </w:rPr>
              <w:t>锅炉排污水，</w:t>
            </w:r>
            <w:r>
              <w:rPr>
                <w:color w:val="auto"/>
                <w:kern w:val="44"/>
              </w:rPr>
              <w:t>参考《排放源统计调查产排污核算方法和系数手册》（生态环境部，公告2021年第24号）</w:t>
            </w:r>
            <w:r>
              <w:rPr>
                <w:rFonts w:hint="eastAsia"/>
                <w:color w:val="auto"/>
                <w:kern w:val="44"/>
              </w:rPr>
              <w:t>中</w:t>
            </w:r>
            <w:r>
              <w:rPr>
                <w:color w:val="auto"/>
                <w:kern w:val="44"/>
              </w:rPr>
              <w:t>4430工业锅炉（热力生产和供应行业）产污系数表-工业废水量和化学需氧量，</w:t>
            </w:r>
            <w:r>
              <w:rPr>
                <w:rFonts w:hint="eastAsia"/>
                <w:color w:val="auto"/>
                <w:kern w:val="44"/>
              </w:rPr>
              <w:t>工业</w:t>
            </w:r>
            <w:r>
              <w:rPr>
                <w:color w:val="auto"/>
                <w:kern w:val="44"/>
              </w:rPr>
              <w:t>废水</w:t>
            </w:r>
            <w:r>
              <w:rPr>
                <w:rFonts w:hint="eastAsia"/>
                <w:color w:val="auto"/>
                <w:kern w:val="44"/>
              </w:rPr>
              <w:t>量</w:t>
            </w:r>
            <w:r>
              <w:rPr>
                <w:color w:val="auto"/>
                <w:kern w:val="44"/>
              </w:rPr>
              <w:t>产生系数为</w:t>
            </w:r>
            <w:r>
              <w:rPr>
                <w:rFonts w:hint="eastAsia"/>
                <w:color w:val="auto"/>
                <w:kern w:val="44"/>
              </w:rPr>
              <w:t>13.56吨/吨-原料（锅炉排污水+软化处理废水）。则项目沼气锅炉废水（锅炉排污水+软化处理废水）产生量为2363.000t/a（约7.161t/d），</w:t>
            </w:r>
            <w:r>
              <w:rPr>
                <w:color w:val="auto"/>
                <w:kern w:val="44"/>
              </w:rPr>
              <w:t>其中软水系统排污水为</w:t>
            </w:r>
            <w:r>
              <w:rPr>
                <w:rFonts w:hint="eastAsia"/>
                <w:color w:val="auto"/>
                <w:kern w:val="44"/>
              </w:rPr>
              <w:t>881.703</w:t>
            </w:r>
            <w:r>
              <w:rPr>
                <w:color w:val="auto"/>
                <w:kern w:val="44"/>
              </w:rPr>
              <w:t>t/a</w:t>
            </w:r>
            <w:r>
              <w:rPr>
                <w:rFonts w:hint="eastAsia"/>
                <w:color w:val="auto"/>
                <w:kern w:val="44"/>
              </w:rPr>
              <w:t>、锅炉</w:t>
            </w:r>
            <w:r>
              <w:rPr>
                <w:color w:val="auto"/>
                <w:kern w:val="44"/>
              </w:rPr>
              <w:t>排污水为</w:t>
            </w:r>
            <w:r>
              <w:rPr>
                <w:rFonts w:hint="eastAsia"/>
                <w:color w:val="auto"/>
                <w:kern w:val="44"/>
              </w:rPr>
              <w:t>1481.297</w:t>
            </w:r>
            <w:r>
              <w:rPr>
                <w:color w:val="auto"/>
                <w:kern w:val="44"/>
              </w:rPr>
              <w:t>t/a</w:t>
            </w:r>
            <w:r>
              <w:rPr>
                <w:rFonts w:hint="eastAsia"/>
                <w:color w:val="auto"/>
                <w:kern w:val="44"/>
              </w:rPr>
              <w:t>、</w:t>
            </w:r>
            <w:r>
              <w:rPr>
                <w:rFonts w:hint="eastAsia"/>
                <w:color w:val="auto"/>
              </w:rPr>
              <w:t>离子交换树脂再生用水量约为</w:t>
            </w:r>
            <w:r>
              <w:rPr>
                <w:rFonts w:hint="eastAsia"/>
                <w:color w:val="auto"/>
                <w:kern w:val="44"/>
              </w:rPr>
              <w:t>1t/d（330t/a）。</w:t>
            </w:r>
          </w:p>
          <w:p>
            <w:pPr>
              <w:adjustRightInd w:val="0"/>
              <w:snapToGrid w:val="0"/>
              <w:ind w:firstLine="480"/>
              <w:rPr>
                <w:color w:val="auto"/>
                <w:kern w:val="44"/>
              </w:rPr>
            </w:pPr>
            <w:r>
              <w:rPr>
                <w:rFonts w:hint="eastAsia"/>
                <w:bCs/>
                <w:color w:val="auto"/>
                <w:szCs w:val="21"/>
              </w:rPr>
              <w:t>现有2t/h沼气锅炉</w:t>
            </w:r>
            <w:r>
              <w:rPr>
                <w:rFonts w:hint="eastAsia"/>
                <w:color w:val="auto"/>
                <w:kern w:val="44"/>
              </w:rPr>
              <w:t>排污水：锅炉需要定期排放废水，参考《排放源统计调查产排污核算方法和系数手册》（生态环境部，公告2021年第24号）中4430工业锅炉（热力生产和供应行业）产污系数表-工业废水量和化学需氧量，锅炉锅外水处理化学需氧量产生系数为1080克/万立方米，则锅炉排污水COD产生量为1.60t/a。</w:t>
            </w:r>
          </w:p>
          <w:p>
            <w:pPr>
              <w:pStyle w:val="10"/>
              <w:ind w:left="0" w:leftChars="0" w:firstLine="480"/>
              <w:rPr>
                <w:color w:val="auto"/>
              </w:rPr>
            </w:pPr>
            <w:r>
              <w:rPr>
                <w:rFonts w:hint="eastAsia"/>
                <w:color w:val="auto"/>
              </w:rPr>
              <w:t>其他现有工艺废水排入厂区污水处理站的COD产生量为4.38t/a，现有工程不额外产生氨氮污染物，因此氨氮总量不变。</w:t>
            </w:r>
          </w:p>
          <w:p>
            <w:pPr>
              <w:spacing w:line="264" w:lineRule="auto"/>
              <w:ind w:firstLine="480"/>
              <w:rPr>
                <w:b/>
                <w:color w:val="auto"/>
                <w:sz w:val="21"/>
                <w:szCs w:val="21"/>
              </w:rPr>
            </w:pPr>
            <w:r>
              <w:rPr>
                <w:rFonts w:hint="eastAsia"/>
                <w:color w:val="auto"/>
              </w:rPr>
              <w:t>综上所述，现有工程废气、废水污染物核算排放总量见表2-13。</w:t>
            </w:r>
          </w:p>
          <w:p>
            <w:pPr>
              <w:spacing w:line="264" w:lineRule="auto"/>
              <w:ind w:firstLine="0" w:firstLineChars="0"/>
              <w:jc w:val="center"/>
              <w:rPr>
                <w:b/>
                <w:color w:val="auto"/>
                <w:sz w:val="21"/>
                <w:szCs w:val="21"/>
              </w:rPr>
            </w:pPr>
            <w:r>
              <w:rPr>
                <w:b/>
                <w:color w:val="auto"/>
                <w:sz w:val="21"/>
                <w:szCs w:val="21"/>
              </w:rPr>
              <w:t>表2-</w:t>
            </w:r>
            <w:r>
              <w:rPr>
                <w:rFonts w:hint="eastAsia"/>
                <w:b/>
                <w:color w:val="auto"/>
                <w:sz w:val="21"/>
                <w:szCs w:val="21"/>
              </w:rPr>
              <w:t>13</w:t>
            </w:r>
            <w:r>
              <w:rPr>
                <w:b/>
                <w:color w:val="auto"/>
                <w:sz w:val="21"/>
                <w:szCs w:val="21"/>
              </w:rPr>
              <w:t xml:space="preserve"> </w:t>
            </w:r>
            <w:r>
              <w:rPr>
                <w:rFonts w:hint="eastAsia"/>
                <w:b/>
                <w:color w:val="auto"/>
                <w:sz w:val="21"/>
                <w:szCs w:val="21"/>
              </w:rPr>
              <w:t>现有工程污染物核算排放总量一览表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4"/>
              <w:gridCol w:w="2910"/>
              <w:gridCol w:w="34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1444" w:type="dxa"/>
                  <w:vAlign w:val="center"/>
                </w:tcPr>
                <w:p>
                  <w:pPr>
                    <w:pStyle w:val="31"/>
                    <w:rPr>
                      <w:color w:val="auto"/>
                      <w:szCs w:val="21"/>
                    </w:rPr>
                  </w:pPr>
                  <w:r>
                    <w:rPr>
                      <w:rFonts w:hint="eastAsia"/>
                      <w:color w:val="auto"/>
                      <w:szCs w:val="21"/>
                    </w:rPr>
                    <w:t>分类</w:t>
                  </w:r>
                </w:p>
              </w:tc>
              <w:tc>
                <w:tcPr>
                  <w:tcW w:w="2910" w:type="dxa"/>
                  <w:vAlign w:val="center"/>
                </w:tcPr>
                <w:p>
                  <w:pPr>
                    <w:pStyle w:val="31"/>
                    <w:rPr>
                      <w:color w:val="auto"/>
                      <w:szCs w:val="21"/>
                    </w:rPr>
                  </w:pPr>
                  <w:r>
                    <w:rPr>
                      <w:rFonts w:hint="eastAsia"/>
                      <w:color w:val="auto"/>
                      <w:szCs w:val="21"/>
                    </w:rPr>
                    <w:t>污染因子</w:t>
                  </w:r>
                </w:p>
              </w:tc>
              <w:tc>
                <w:tcPr>
                  <w:tcW w:w="3488" w:type="dxa"/>
                  <w:vAlign w:val="center"/>
                </w:tcPr>
                <w:p>
                  <w:pPr>
                    <w:pStyle w:val="31"/>
                    <w:rPr>
                      <w:color w:val="auto"/>
                      <w:szCs w:val="21"/>
                    </w:rPr>
                  </w:pPr>
                  <w:r>
                    <w:rPr>
                      <w:rFonts w:hint="eastAsia"/>
                      <w:color w:val="auto"/>
                      <w:szCs w:val="21"/>
                    </w:rPr>
                    <w:t>现有项目核算排放总量（t/a）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1444" w:type="dxa"/>
                  <w:vMerge w:val="restart"/>
                  <w:vAlign w:val="center"/>
                </w:tcPr>
                <w:p>
                  <w:pPr>
                    <w:pStyle w:val="31"/>
                    <w:rPr>
                      <w:color w:val="auto"/>
                      <w:szCs w:val="21"/>
                    </w:rPr>
                  </w:pPr>
                  <w:r>
                    <w:rPr>
                      <w:rFonts w:hint="eastAsia"/>
                      <w:color w:val="auto"/>
                      <w:szCs w:val="21"/>
                    </w:rPr>
                    <w:t>废气</w:t>
                  </w:r>
                </w:p>
              </w:tc>
              <w:tc>
                <w:tcPr>
                  <w:tcW w:w="2910" w:type="dxa"/>
                  <w:vAlign w:val="center"/>
                </w:tcPr>
                <w:p>
                  <w:pPr>
                    <w:pStyle w:val="31"/>
                    <w:rPr>
                      <w:color w:val="auto"/>
                      <w:szCs w:val="21"/>
                    </w:rPr>
                  </w:pPr>
                  <w:r>
                    <w:rPr>
                      <w:rFonts w:hint="eastAsia"/>
                      <w:color w:val="auto"/>
                      <w:szCs w:val="21"/>
                    </w:rPr>
                    <w:t>SO</w:t>
                  </w:r>
                  <w:r>
                    <w:rPr>
                      <w:rFonts w:hint="eastAsia"/>
                      <w:color w:val="auto"/>
                      <w:szCs w:val="21"/>
                      <w:vertAlign w:val="subscript"/>
                    </w:rPr>
                    <w:t>2</w:t>
                  </w:r>
                </w:p>
              </w:tc>
              <w:tc>
                <w:tcPr>
                  <w:tcW w:w="3488" w:type="dxa"/>
                  <w:vAlign w:val="center"/>
                </w:tcPr>
                <w:p>
                  <w:pPr>
                    <w:pStyle w:val="31"/>
                    <w:rPr>
                      <w:color w:val="auto"/>
                      <w:szCs w:val="21"/>
                    </w:rPr>
                  </w:pPr>
                  <w:r>
                    <w:rPr>
                      <w:rFonts w:hint="eastAsia"/>
                      <w:color w:val="auto"/>
                      <w:szCs w:val="21"/>
                    </w:rPr>
                    <w:t>0.090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1444" w:type="dxa"/>
                  <w:vMerge w:val="continue"/>
                  <w:vAlign w:val="center"/>
                </w:tcPr>
                <w:p>
                  <w:pPr>
                    <w:pStyle w:val="31"/>
                    <w:rPr>
                      <w:color w:val="auto"/>
                      <w:szCs w:val="21"/>
                    </w:rPr>
                  </w:pPr>
                </w:p>
              </w:tc>
              <w:tc>
                <w:tcPr>
                  <w:tcW w:w="2910" w:type="dxa"/>
                  <w:vAlign w:val="center"/>
                </w:tcPr>
                <w:p>
                  <w:pPr>
                    <w:pStyle w:val="31"/>
                    <w:rPr>
                      <w:color w:val="auto"/>
                      <w:szCs w:val="21"/>
                    </w:rPr>
                  </w:pPr>
                  <w:r>
                    <w:rPr>
                      <w:rFonts w:hint="eastAsia"/>
                      <w:color w:val="auto"/>
                      <w:szCs w:val="21"/>
                    </w:rPr>
                    <w:t>NO</w:t>
                  </w:r>
                  <w:r>
                    <w:rPr>
                      <w:rFonts w:hint="eastAsia"/>
                      <w:color w:val="auto"/>
                      <w:szCs w:val="21"/>
                      <w:vertAlign w:val="subscript"/>
                    </w:rPr>
                    <w:t>X</w:t>
                  </w:r>
                </w:p>
              </w:tc>
              <w:tc>
                <w:tcPr>
                  <w:tcW w:w="3488" w:type="dxa"/>
                  <w:vAlign w:val="center"/>
                </w:tcPr>
                <w:p>
                  <w:pPr>
                    <w:pStyle w:val="31"/>
                    <w:rPr>
                      <w:color w:val="auto"/>
                      <w:szCs w:val="21"/>
                    </w:rPr>
                  </w:pPr>
                  <w:r>
                    <w:rPr>
                      <w:rFonts w:hint="eastAsia"/>
                      <w:color w:val="auto"/>
                      <w:szCs w:val="21"/>
                    </w:rPr>
                    <w:t>0.419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1444" w:type="dxa"/>
                  <w:vMerge w:val="restart"/>
                  <w:vAlign w:val="center"/>
                </w:tcPr>
                <w:p>
                  <w:pPr>
                    <w:pStyle w:val="31"/>
                    <w:rPr>
                      <w:color w:val="auto"/>
                      <w:szCs w:val="21"/>
                    </w:rPr>
                  </w:pPr>
                  <w:r>
                    <w:rPr>
                      <w:rFonts w:hint="eastAsia"/>
                      <w:color w:val="auto"/>
                      <w:szCs w:val="21"/>
                    </w:rPr>
                    <w:t>废水</w:t>
                  </w:r>
                </w:p>
              </w:tc>
              <w:tc>
                <w:tcPr>
                  <w:tcW w:w="2910" w:type="dxa"/>
                  <w:vAlign w:val="center"/>
                </w:tcPr>
                <w:p>
                  <w:pPr>
                    <w:pStyle w:val="31"/>
                    <w:rPr>
                      <w:color w:val="auto"/>
                    </w:rPr>
                  </w:pPr>
                  <w:r>
                    <w:rPr>
                      <w:rFonts w:hint="eastAsia"/>
                      <w:color w:val="auto"/>
                    </w:rPr>
                    <w:t>COD</w:t>
                  </w:r>
                </w:p>
              </w:tc>
              <w:tc>
                <w:tcPr>
                  <w:tcW w:w="3488" w:type="dxa"/>
                  <w:vAlign w:val="center"/>
                </w:tcPr>
                <w:p>
                  <w:pPr>
                    <w:pStyle w:val="31"/>
                    <w:rPr>
                      <w:color w:val="auto"/>
                    </w:rPr>
                  </w:pPr>
                  <w:r>
                    <w:rPr>
                      <w:rFonts w:hint="eastAsia"/>
                      <w:color w:val="auto"/>
                    </w:rPr>
                    <w:t>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1444" w:type="dxa"/>
                  <w:vMerge w:val="continue"/>
                  <w:vAlign w:val="center"/>
                </w:tcPr>
                <w:p>
                  <w:pPr>
                    <w:pStyle w:val="31"/>
                    <w:rPr>
                      <w:color w:val="auto"/>
                      <w:szCs w:val="21"/>
                    </w:rPr>
                  </w:pPr>
                </w:p>
              </w:tc>
              <w:tc>
                <w:tcPr>
                  <w:tcW w:w="2910" w:type="dxa"/>
                  <w:vAlign w:val="center"/>
                </w:tcPr>
                <w:p>
                  <w:pPr>
                    <w:pStyle w:val="31"/>
                    <w:rPr>
                      <w:color w:val="auto"/>
                    </w:rPr>
                  </w:pPr>
                  <w:r>
                    <w:rPr>
                      <w:rFonts w:hint="eastAsia"/>
                      <w:color w:val="auto"/>
                    </w:rPr>
                    <w:t>NH</w:t>
                  </w:r>
                  <w:r>
                    <w:rPr>
                      <w:rFonts w:hint="eastAsia"/>
                      <w:color w:val="auto"/>
                      <w:vertAlign w:val="subscript"/>
                    </w:rPr>
                    <w:t>3</w:t>
                  </w:r>
                  <w:r>
                    <w:rPr>
                      <w:rFonts w:hint="eastAsia"/>
                      <w:color w:val="auto"/>
                    </w:rPr>
                    <w:t>-N</w:t>
                  </w:r>
                </w:p>
              </w:tc>
              <w:tc>
                <w:tcPr>
                  <w:tcW w:w="3488" w:type="dxa"/>
                  <w:vAlign w:val="center"/>
                </w:tcPr>
                <w:p>
                  <w:pPr>
                    <w:pStyle w:val="31"/>
                    <w:rPr>
                      <w:color w:val="auto"/>
                    </w:rPr>
                  </w:pPr>
                  <w:r>
                    <w:rPr>
                      <w:rFonts w:hint="eastAsia"/>
                      <w:color w:val="auto"/>
                    </w:rPr>
                    <w:t>0.66</w:t>
                  </w:r>
                </w:p>
              </w:tc>
            </w:tr>
          </w:tbl>
          <w:p>
            <w:pPr>
              <w:widowControl/>
              <w:ind w:firstLine="480"/>
              <w:jc w:val="left"/>
              <w:rPr>
                <w:rFonts w:hint="eastAsia" w:ascii="宋体" w:hAnsi="宋体" w:cs="宋体"/>
                <w:color w:val="auto"/>
                <w:kern w:val="0"/>
                <w:lang w:bidi="ar"/>
              </w:rPr>
            </w:pPr>
            <w:r>
              <w:rPr>
                <w:rFonts w:hint="eastAsia" w:ascii="宋体" w:hAnsi="宋体" w:cs="宋体"/>
                <w:color w:val="auto"/>
                <w:kern w:val="0"/>
                <w:lang w:bidi="ar"/>
              </w:rPr>
              <w:t>根据验收文件及监测报告，现有项目污染物均满足相应标准，达标排放。</w:t>
            </w:r>
          </w:p>
          <w:p>
            <w:pPr>
              <w:ind w:firstLine="482"/>
              <w:rPr>
                <w:b/>
                <w:color w:val="auto"/>
              </w:rPr>
            </w:pPr>
            <w:r>
              <w:rPr>
                <w:rFonts w:hint="eastAsia"/>
                <w:b/>
                <w:color w:val="auto"/>
              </w:rPr>
              <w:t>3</w:t>
            </w:r>
            <w:r>
              <w:rPr>
                <w:b/>
                <w:color w:val="auto"/>
              </w:rPr>
              <w:t>、现有项目存在的环境问题及拟整改措施</w:t>
            </w:r>
          </w:p>
          <w:p>
            <w:pPr>
              <w:ind w:firstLine="480"/>
              <w:rPr>
                <w:color w:val="auto"/>
              </w:rPr>
            </w:pPr>
            <w:r>
              <w:rPr>
                <w:rFonts w:hint="eastAsia"/>
                <w:bCs/>
                <w:color w:val="auto"/>
              </w:rPr>
              <w:t>根据现场调查，</w:t>
            </w:r>
            <w:r>
              <w:rPr>
                <w:color w:val="auto"/>
              </w:rPr>
              <w:t>现有项目</w:t>
            </w:r>
            <w:r>
              <w:rPr>
                <w:rFonts w:hint="eastAsia"/>
                <w:color w:val="auto"/>
              </w:rPr>
              <w:t>在环保方面还存在一些问题，需要采取措施改进。本项目</w:t>
            </w:r>
            <w:r>
              <w:rPr>
                <w:color w:val="auto"/>
              </w:rPr>
              <w:t>存在的主要环境问题及</w:t>
            </w:r>
            <w:r>
              <w:rPr>
                <w:rFonts w:hint="eastAsia"/>
                <w:color w:val="auto"/>
              </w:rPr>
              <w:t>拟采取的整改措施见下表：</w:t>
            </w:r>
          </w:p>
          <w:p>
            <w:pPr>
              <w:overflowPunct w:val="0"/>
              <w:autoSpaceDE w:val="0"/>
              <w:autoSpaceDN w:val="0"/>
              <w:spacing w:line="264" w:lineRule="auto"/>
              <w:ind w:firstLine="0" w:firstLineChars="0"/>
              <w:jc w:val="center"/>
              <w:textAlignment w:val="baseline"/>
              <w:rPr>
                <w:b/>
                <w:bCs/>
                <w:color w:val="auto"/>
                <w:kern w:val="0"/>
                <w:sz w:val="21"/>
                <w:szCs w:val="21"/>
              </w:rPr>
            </w:pPr>
            <w:r>
              <w:rPr>
                <w:b/>
                <w:bCs/>
                <w:color w:val="auto"/>
                <w:kern w:val="0"/>
                <w:sz w:val="21"/>
                <w:szCs w:val="21"/>
              </w:rPr>
              <w:t>表2-</w:t>
            </w:r>
            <w:r>
              <w:rPr>
                <w:rFonts w:hint="eastAsia"/>
                <w:b/>
                <w:bCs/>
                <w:color w:val="auto"/>
                <w:kern w:val="0"/>
                <w:sz w:val="21"/>
                <w:szCs w:val="21"/>
              </w:rPr>
              <w:t>14</w:t>
            </w:r>
            <w:r>
              <w:rPr>
                <w:b/>
                <w:bCs/>
                <w:color w:val="auto"/>
                <w:kern w:val="0"/>
                <w:sz w:val="21"/>
                <w:szCs w:val="21"/>
              </w:rPr>
              <w:t xml:space="preserve">  现有项目存在的主要环境问题及拟采取的整改措施</w:t>
            </w:r>
          </w:p>
          <w:tbl>
            <w:tblPr>
              <w:tblStyle w:val="23"/>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8"/>
              <w:gridCol w:w="1426"/>
              <w:gridCol w:w="1515"/>
              <w:gridCol w:w="1144"/>
              <w:gridCol w:w="2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pct"/>
                  <w:vAlign w:val="center"/>
                </w:tcPr>
                <w:p>
                  <w:pPr>
                    <w:pStyle w:val="13"/>
                    <w:spacing w:line="240" w:lineRule="auto"/>
                    <w:jc w:val="center"/>
                    <w:rPr>
                      <w:color w:val="auto"/>
                      <w:sz w:val="21"/>
                      <w:szCs w:val="21"/>
                    </w:rPr>
                  </w:pPr>
                  <w:r>
                    <w:rPr>
                      <w:color w:val="auto"/>
                      <w:sz w:val="21"/>
                      <w:szCs w:val="21"/>
                    </w:rPr>
                    <w:t>主要污染源</w:t>
                  </w:r>
                </w:p>
              </w:tc>
              <w:tc>
                <w:tcPr>
                  <w:tcW w:w="910" w:type="pct"/>
                  <w:vAlign w:val="center"/>
                </w:tcPr>
                <w:p>
                  <w:pPr>
                    <w:pStyle w:val="13"/>
                    <w:spacing w:line="240" w:lineRule="auto"/>
                    <w:jc w:val="center"/>
                    <w:rPr>
                      <w:color w:val="auto"/>
                      <w:sz w:val="21"/>
                      <w:szCs w:val="21"/>
                    </w:rPr>
                  </w:pPr>
                  <w:r>
                    <w:rPr>
                      <w:color w:val="auto"/>
                      <w:sz w:val="21"/>
                      <w:szCs w:val="21"/>
                    </w:rPr>
                    <w:t>已采取的治理措施</w:t>
                  </w:r>
                </w:p>
              </w:tc>
              <w:tc>
                <w:tcPr>
                  <w:tcW w:w="967" w:type="pct"/>
                  <w:vAlign w:val="center"/>
                </w:tcPr>
                <w:p>
                  <w:pPr>
                    <w:pStyle w:val="13"/>
                    <w:spacing w:line="240" w:lineRule="auto"/>
                    <w:jc w:val="center"/>
                    <w:rPr>
                      <w:color w:val="auto"/>
                      <w:sz w:val="21"/>
                      <w:szCs w:val="21"/>
                    </w:rPr>
                  </w:pPr>
                  <w:r>
                    <w:rPr>
                      <w:color w:val="auto"/>
                      <w:sz w:val="21"/>
                      <w:szCs w:val="21"/>
                    </w:rPr>
                    <w:t>存在的主要问题</w:t>
                  </w:r>
                </w:p>
              </w:tc>
              <w:tc>
                <w:tcPr>
                  <w:tcW w:w="730" w:type="pct"/>
                  <w:vAlign w:val="center"/>
                </w:tcPr>
                <w:p>
                  <w:pPr>
                    <w:pStyle w:val="13"/>
                    <w:spacing w:line="240" w:lineRule="auto"/>
                    <w:jc w:val="center"/>
                    <w:rPr>
                      <w:color w:val="auto"/>
                      <w:sz w:val="21"/>
                      <w:szCs w:val="21"/>
                    </w:rPr>
                  </w:pPr>
                  <w:r>
                    <w:rPr>
                      <w:color w:val="auto"/>
                      <w:sz w:val="21"/>
                      <w:szCs w:val="21"/>
                    </w:rPr>
                    <w:t>是否符合环保要求</w:t>
                  </w:r>
                </w:p>
              </w:tc>
              <w:tc>
                <w:tcPr>
                  <w:tcW w:w="1478" w:type="pct"/>
                  <w:vAlign w:val="center"/>
                </w:tcPr>
                <w:p>
                  <w:pPr>
                    <w:pStyle w:val="13"/>
                    <w:spacing w:line="240" w:lineRule="auto"/>
                    <w:jc w:val="center"/>
                    <w:rPr>
                      <w:color w:val="auto"/>
                      <w:sz w:val="21"/>
                      <w:szCs w:val="21"/>
                    </w:rPr>
                  </w:pPr>
                  <w:r>
                    <w:rPr>
                      <w:color w:val="auto"/>
                      <w:sz w:val="21"/>
                      <w:szCs w:val="21"/>
                    </w:rPr>
                    <w:t>建议的整改措施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912" w:type="pct"/>
                  <w:vAlign w:val="center"/>
                </w:tcPr>
                <w:p>
                  <w:pPr>
                    <w:pStyle w:val="13"/>
                    <w:spacing w:line="240" w:lineRule="auto"/>
                    <w:jc w:val="center"/>
                    <w:rPr>
                      <w:color w:val="auto"/>
                      <w:sz w:val="21"/>
                      <w:szCs w:val="21"/>
                    </w:rPr>
                  </w:pPr>
                  <w:r>
                    <w:rPr>
                      <w:rFonts w:hint="eastAsia"/>
                      <w:color w:val="auto"/>
                      <w:sz w:val="21"/>
                      <w:szCs w:val="21"/>
                    </w:rPr>
                    <w:t>锅炉房</w:t>
                  </w:r>
                </w:p>
              </w:tc>
              <w:tc>
                <w:tcPr>
                  <w:tcW w:w="910" w:type="pct"/>
                  <w:vAlign w:val="center"/>
                </w:tcPr>
                <w:p>
                  <w:pPr>
                    <w:pStyle w:val="13"/>
                    <w:spacing w:line="240" w:lineRule="auto"/>
                    <w:jc w:val="center"/>
                    <w:rPr>
                      <w:color w:val="auto"/>
                      <w:sz w:val="21"/>
                      <w:szCs w:val="21"/>
                    </w:rPr>
                  </w:pPr>
                  <w:r>
                    <w:rPr>
                      <w:rFonts w:hint="eastAsia"/>
                      <w:color w:val="auto"/>
                      <w:sz w:val="21"/>
                      <w:szCs w:val="21"/>
                    </w:rPr>
                    <w:t>DA001（15m排气筒）高空排放</w:t>
                  </w:r>
                </w:p>
              </w:tc>
              <w:tc>
                <w:tcPr>
                  <w:tcW w:w="967" w:type="pct"/>
                  <w:vAlign w:val="center"/>
                </w:tcPr>
                <w:p>
                  <w:pPr>
                    <w:pStyle w:val="13"/>
                    <w:spacing w:line="240" w:lineRule="auto"/>
                    <w:jc w:val="center"/>
                    <w:rPr>
                      <w:color w:val="auto"/>
                      <w:sz w:val="21"/>
                      <w:szCs w:val="21"/>
                    </w:rPr>
                  </w:pPr>
                  <w:r>
                    <w:rPr>
                      <w:rFonts w:hint="eastAsia"/>
                      <w:color w:val="auto"/>
                      <w:sz w:val="21"/>
                      <w:szCs w:val="21"/>
                    </w:rPr>
                    <w:t>排气筒无标牌标识</w:t>
                  </w:r>
                </w:p>
              </w:tc>
              <w:tc>
                <w:tcPr>
                  <w:tcW w:w="730" w:type="pct"/>
                  <w:vAlign w:val="center"/>
                </w:tcPr>
                <w:p>
                  <w:pPr>
                    <w:pStyle w:val="13"/>
                    <w:spacing w:line="240" w:lineRule="auto"/>
                    <w:jc w:val="center"/>
                    <w:rPr>
                      <w:color w:val="auto"/>
                      <w:sz w:val="21"/>
                      <w:szCs w:val="21"/>
                    </w:rPr>
                  </w:pPr>
                  <w:r>
                    <w:rPr>
                      <w:rFonts w:hint="eastAsia"/>
                      <w:color w:val="auto"/>
                      <w:sz w:val="21"/>
                      <w:szCs w:val="21"/>
                    </w:rPr>
                    <w:t>否</w:t>
                  </w:r>
                </w:p>
              </w:tc>
              <w:tc>
                <w:tcPr>
                  <w:tcW w:w="1478" w:type="pct"/>
                  <w:vAlign w:val="center"/>
                </w:tcPr>
                <w:p>
                  <w:pPr>
                    <w:pStyle w:val="13"/>
                    <w:spacing w:line="240" w:lineRule="auto"/>
                    <w:jc w:val="center"/>
                    <w:rPr>
                      <w:color w:val="auto"/>
                      <w:sz w:val="21"/>
                      <w:szCs w:val="21"/>
                    </w:rPr>
                  </w:pPr>
                  <w:r>
                    <w:rPr>
                      <w:rFonts w:hint="eastAsia"/>
                      <w:color w:val="auto"/>
                      <w:sz w:val="21"/>
                      <w:szCs w:val="21"/>
                    </w:rPr>
                    <w:t>排气筒增加DA001标牌标识</w:t>
                  </w:r>
                </w:p>
              </w:tc>
            </w:tr>
          </w:tbl>
          <w:p>
            <w:pPr>
              <w:pStyle w:val="10"/>
              <w:ind w:left="0" w:leftChars="0" w:firstLine="0" w:firstLineChars="0"/>
              <w:rPr>
                <w:color w:val="auto"/>
              </w:rPr>
            </w:pPr>
          </w:p>
        </w:tc>
      </w:tr>
    </w:tbl>
    <w:p>
      <w:pPr>
        <w:ind w:firstLine="600"/>
        <w:rPr>
          <w:rFonts w:hint="eastAsia" w:ascii="黑体" w:hAnsi="黑体" w:eastAsia="黑体" w:cs="黑体"/>
          <w:color w:val="auto"/>
          <w:sz w:val="30"/>
          <w:szCs w:val="30"/>
        </w:rPr>
      </w:pPr>
      <w:r>
        <w:rPr>
          <w:rFonts w:ascii="黑体" w:hAnsi="黑体" w:eastAsia="黑体" w:cs="黑体"/>
          <w:color w:val="auto"/>
          <w:sz w:val="30"/>
          <w:szCs w:val="30"/>
        </w:rPr>
        <w:br w:type="page"/>
      </w:r>
    </w:p>
    <w:p>
      <w:pPr>
        <w:pStyle w:val="4"/>
        <w:rPr>
          <w:color w:val="auto"/>
        </w:rPr>
      </w:pPr>
      <w:bookmarkStart w:id="4" w:name="_Toc213108122"/>
      <w:r>
        <w:rPr>
          <w:rFonts w:hint="eastAsia"/>
          <w:color w:val="auto"/>
        </w:rPr>
        <w:t>三、区域环境质量现状、环境保护目标及评价标准</w:t>
      </w:r>
      <w:bookmarkEnd w:id="4"/>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0"/>
        <w:gridCol w:w="80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460" w:type="dxa"/>
            <w:vAlign w:val="center"/>
          </w:tcPr>
          <w:p>
            <w:pPr>
              <w:ind w:firstLine="0" w:firstLineChars="0"/>
              <w:jc w:val="center"/>
              <w:rPr>
                <w:color w:val="auto"/>
              </w:rPr>
            </w:pPr>
            <w:r>
              <w:rPr>
                <w:rFonts w:hint="eastAsia"/>
                <w:color w:val="auto"/>
              </w:rPr>
              <w:t>区域环境质量现状</w:t>
            </w:r>
          </w:p>
        </w:tc>
        <w:tc>
          <w:tcPr>
            <w:tcW w:w="8062" w:type="dxa"/>
          </w:tcPr>
          <w:p>
            <w:pPr>
              <w:ind w:firstLine="0" w:firstLineChars="0"/>
              <w:rPr>
                <w:b/>
                <w:bCs/>
                <w:color w:val="auto"/>
              </w:rPr>
            </w:pPr>
            <w:r>
              <w:rPr>
                <w:rFonts w:hint="eastAsia"/>
                <w:b/>
                <w:bCs/>
                <w:color w:val="auto"/>
              </w:rPr>
              <w:t>1、环境空气质量现状和评价</w:t>
            </w:r>
          </w:p>
          <w:p>
            <w:pPr>
              <w:ind w:firstLine="480"/>
              <w:rPr>
                <w:color w:val="auto"/>
              </w:rPr>
            </w:pPr>
            <w:r>
              <w:rPr>
                <w:rFonts w:hint="eastAsia"/>
                <w:color w:val="auto"/>
              </w:rPr>
              <w:t>（1）区域环境空气质量达标判定</w:t>
            </w:r>
          </w:p>
          <w:p>
            <w:pPr>
              <w:adjustRightInd w:val="0"/>
              <w:snapToGrid w:val="0"/>
              <w:ind w:firstLine="480"/>
              <w:rPr>
                <w:bCs/>
                <w:color w:val="auto"/>
              </w:rPr>
            </w:pPr>
            <w:r>
              <w:rPr>
                <w:bCs/>
                <w:color w:val="auto"/>
              </w:rPr>
              <w:t>本项目位于湖南省衡阳市衡阳县集兵镇太栗村罗坪组</w:t>
            </w:r>
            <w:r>
              <w:rPr>
                <w:rFonts w:hint="eastAsia" w:ascii="宋体" w:hAnsi="宋体" w:cs="宋体"/>
                <w:bCs/>
                <w:color w:val="auto"/>
              </w:rPr>
              <w:t>。依据《环境影响评价技术导则 大气环境》</w:t>
            </w:r>
            <w:r>
              <w:rPr>
                <w:bCs/>
                <w:color w:val="auto"/>
              </w:rPr>
              <w:t>（HJ 2.2-2018）</w:t>
            </w:r>
            <w:r>
              <w:rPr>
                <w:rFonts w:hint="eastAsia" w:ascii="宋体" w:hAnsi="宋体" w:cs="宋体"/>
                <w:bCs/>
                <w:color w:val="auto"/>
              </w:rPr>
              <w:t>“</w:t>
            </w:r>
            <w:r>
              <w:rPr>
                <w:bCs/>
                <w:color w:val="auto"/>
              </w:rPr>
              <w:t>6.2.1.1 项目所在区域达标判定，优先采用国家或地方生态环境主管部门公开发布的评价基准年环境质量公告或环境质量报告中的数据或结</w:t>
            </w:r>
            <w:r>
              <w:rPr>
                <w:rFonts w:hint="eastAsia" w:ascii="宋体" w:hAnsi="宋体" w:cs="宋体"/>
                <w:bCs/>
                <w:color w:val="auto"/>
              </w:rPr>
              <w:t>论”以及“</w:t>
            </w:r>
            <w:r>
              <w:rPr>
                <w:bCs/>
                <w:color w:val="auto"/>
              </w:rPr>
              <w:t>5.5 评价基准年筛选 依据评价所需环境空气质量现状、气象资料等数据的可获得性、数据质量、代表性等因素，选择近3年中数据相对完整的1个日历年作为评价基准</w:t>
            </w:r>
            <w:r>
              <w:rPr>
                <w:rFonts w:hint="eastAsia" w:ascii="宋体" w:hAnsi="宋体" w:cs="宋体"/>
                <w:bCs/>
                <w:color w:val="auto"/>
              </w:rPr>
              <w:t>年”</w:t>
            </w:r>
            <w:r>
              <w:rPr>
                <w:bCs/>
                <w:color w:val="auto"/>
              </w:rPr>
              <w:t>，本次评价收集衡阳市生态环境局《衡阳市2024年12月及1-12月环境质量状况》中</w:t>
            </w:r>
            <w:r>
              <w:rPr>
                <w:rFonts w:hint="eastAsia"/>
                <w:bCs/>
                <w:color w:val="auto"/>
              </w:rPr>
              <w:t>衡阳县区</w:t>
            </w:r>
            <w:r>
              <w:rPr>
                <w:bCs/>
                <w:color w:val="auto"/>
              </w:rPr>
              <w:t>相关数据作为依据，判定项目区域大气环境是否达标。原始数据截图如下：</w:t>
            </w:r>
          </w:p>
          <w:p>
            <w:pPr>
              <w:ind w:firstLine="0" w:firstLineChars="0"/>
              <w:jc w:val="center"/>
              <w:rPr>
                <w:color w:val="auto"/>
              </w:rPr>
            </w:pPr>
            <w:r>
              <w:rPr>
                <w:color w:val="auto"/>
              </w:rPr>
              <w:drawing>
                <wp:inline distT="0" distB="0" distL="114300" distR="114300">
                  <wp:extent cx="4980305" cy="2313940"/>
                  <wp:effectExtent l="0" t="0" r="10795" b="1016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5"/>
                          <a:stretch>
                            <a:fillRect/>
                          </a:stretch>
                        </pic:blipFill>
                        <pic:spPr>
                          <a:xfrm>
                            <a:off x="0" y="0"/>
                            <a:ext cx="4980305" cy="2313940"/>
                          </a:xfrm>
                          <a:prstGeom prst="rect">
                            <a:avLst/>
                          </a:prstGeom>
                          <a:noFill/>
                          <a:ln>
                            <a:noFill/>
                          </a:ln>
                        </pic:spPr>
                      </pic:pic>
                    </a:graphicData>
                  </a:graphic>
                </wp:inline>
              </w:drawing>
            </w:r>
          </w:p>
          <w:p>
            <w:pPr>
              <w:adjustRightInd w:val="0"/>
              <w:snapToGrid w:val="0"/>
              <w:ind w:firstLine="0" w:firstLineChars="0"/>
              <w:jc w:val="center"/>
              <w:rPr>
                <w:b/>
                <w:bCs/>
                <w:color w:val="auto"/>
                <w:sz w:val="21"/>
                <w:szCs w:val="21"/>
              </w:rPr>
            </w:pPr>
            <w:r>
              <w:rPr>
                <w:b/>
                <w:bCs/>
                <w:color w:val="auto"/>
                <w:sz w:val="21"/>
                <w:szCs w:val="21"/>
              </w:rPr>
              <w:t xml:space="preserve">图3-1  </w:t>
            </w:r>
            <w:r>
              <w:rPr>
                <w:rFonts w:hint="eastAsia"/>
                <w:b/>
                <w:bCs/>
                <w:color w:val="auto"/>
                <w:sz w:val="21"/>
                <w:szCs w:val="21"/>
              </w:rPr>
              <w:t>衡阳县</w:t>
            </w:r>
            <w:r>
              <w:rPr>
                <w:b/>
                <w:bCs/>
                <w:color w:val="auto"/>
                <w:sz w:val="21"/>
                <w:szCs w:val="21"/>
              </w:rPr>
              <w:t>环境空气污染物浓度情况截图</w:t>
            </w:r>
          </w:p>
          <w:p>
            <w:pPr>
              <w:adjustRightInd w:val="0"/>
              <w:snapToGrid w:val="0"/>
              <w:ind w:firstLine="480"/>
              <w:rPr>
                <w:bCs/>
                <w:color w:val="auto"/>
              </w:rPr>
            </w:pPr>
            <w:r>
              <w:rPr>
                <w:bCs/>
                <w:color w:val="auto"/>
              </w:rPr>
              <w:t>本项目区域空气环境质量现状数据及评价结果见下表：</w:t>
            </w:r>
          </w:p>
          <w:p>
            <w:pPr>
              <w:keepNext/>
              <w:widowControl/>
              <w:adjustRightInd w:val="0"/>
              <w:snapToGrid w:val="0"/>
              <w:spacing w:line="240" w:lineRule="auto"/>
              <w:ind w:firstLine="0" w:firstLineChars="0"/>
              <w:jc w:val="center"/>
              <w:rPr>
                <w:b/>
                <w:color w:val="auto"/>
                <w:szCs w:val="21"/>
              </w:rPr>
            </w:pPr>
            <w:r>
              <w:rPr>
                <w:b/>
                <w:color w:val="auto"/>
                <w:sz w:val="21"/>
                <w:szCs w:val="21"/>
              </w:rPr>
              <w:t>表3-</w:t>
            </w:r>
            <w:r>
              <w:rPr>
                <w:rFonts w:hint="eastAsia"/>
                <w:b/>
                <w:color w:val="auto"/>
                <w:sz w:val="21"/>
                <w:szCs w:val="21"/>
              </w:rPr>
              <w:t>1</w:t>
            </w:r>
            <w:r>
              <w:rPr>
                <w:b/>
                <w:color w:val="auto"/>
                <w:sz w:val="21"/>
                <w:szCs w:val="21"/>
              </w:rPr>
              <w:t xml:space="preserve">  区域空气质量现状评价表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867"/>
              <w:gridCol w:w="2685"/>
              <w:gridCol w:w="1321"/>
              <w:gridCol w:w="1190"/>
              <w:gridCol w:w="928"/>
              <w:gridCol w:w="8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53"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污染物</w:t>
                  </w:r>
                </w:p>
              </w:tc>
              <w:tc>
                <w:tcPr>
                  <w:tcW w:w="1712"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年评价指标</w:t>
                  </w:r>
                </w:p>
              </w:tc>
              <w:tc>
                <w:tcPr>
                  <w:tcW w:w="843"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现状浓度（µg/m</w:t>
                  </w:r>
                  <w:r>
                    <w:rPr>
                      <w:bCs/>
                      <w:color w:val="auto"/>
                      <w:sz w:val="21"/>
                      <w:szCs w:val="21"/>
                      <w:vertAlign w:val="superscript"/>
                    </w:rPr>
                    <w:t>3</w:t>
                  </w:r>
                  <w:r>
                    <w:rPr>
                      <w:bCs/>
                      <w:color w:val="auto"/>
                      <w:sz w:val="21"/>
                      <w:szCs w:val="21"/>
                    </w:rPr>
                    <w:t>）</w:t>
                  </w:r>
                </w:p>
              </w:tc>
              <w:tc>
                <w:tcPr>
                  <w:tcW w:w="759"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标准值（µg/m</w:t>
                  </w:r>
                  <w:r>
                    <w:rPr>
                      <w:bCs/>
                      <w:color w:val="auto"/>
                      <w:sz w:val="21"/>
                      <w:szCs w:val="21"/>
                      <w:vertAlign w:val="superscript"/>
                    </w:rPr>
                    <w:t>3</w:t>
                  </w:r>
                  <w:r>
                    <w:rPr>
                      <w:bCs/>
                      <w:color w:val="auto"/>
                      <w:sz w:val="21"/>
                      <w:szCs w:val="21"/>
                    </w:rPr>
                    <w:t>）</w:t>
                  </w:r>
                </w:p>
              </w:tc>
              <w:tc>
                <w:tcPr>
                  <w:tcW w:w="592"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占标率（%）</w:t>
                  </w:r>
                </w:p>
              </w:tc>
              <w:tc>
                <w:tcPr>
                  <w:tcW w:w="539"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53"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SO</w:t>
                  </w:r>
                  <w:r>
                    <w:rPr>
                      <w:bCs/>
                      <w:color w:val="auto"/>
                      <w:sz w:val="21"/>
                      <w:szCs w:val="21"/>
                      <w:vertAlign w:val="subscript"/>
                    </w:rPr>
                    <w:t>2</w:t>
                  </w:r>
                </w:p>
              </w:tc>
              <w:tc>
                <w:tcPr>
                  <w:tcW w:w="1712"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年平均质量浓度</w:t>
                  </w:r>
                </w:p>
              </w:tc>
              <w:tc>
                <w:tcPr>
                  <w:tcW w:w="843" w:type="pct"/>
                  <w:vAlign w:val="center"/>
                </w:tcPr>
                <w:p>
                  <w:pPr>
                    <w:pStyle w:val="28"/>
                    <w:jc w:val="center"/>
                    <w:rPr>
                      <w:rFonts w:hint="default"/>
                      <w:color w:val="auto"/>
                      <w:kern w:val="44"/>
                    </w:rPr>
                  </w:pPr>
                  <w:r>
                    <w:rPr>
                      <w:color w:val="auto"/>
                      <w:kern w:val="44"/>
                    </w:rPr>
                    <w:t>6</w:t>
                  </w:r>
                </w:p>
              </w:tc>
              <w:tc>
                <w:tcPr>
                  <w:tcW w:w="759" w:type="pct"/>
                  <w:vAlign w:val="center"/>
                </w:tcPr>
                <w:p>
                  <w:pPr>
                    <w:pStyle w:val="28"/>
                    <w:jc w:val="center"/>
                    <w:rPr>
                      <w:rFonts w:hint="default"/>
                      <w:color w:val="auto"/>
                      <w:kern w:val="44"/>
                    </w:rPr>
                  </w:pPr>
                  <w:r>
                    <w:rPr>
                      <w:color w:val="auto"/>
                    </w:rPr>
                    <w:t>60</w:t>
                  </w:r>
                </w:p>
              </w:tc>
              <w:tc>
                <w:tcPr>
                  <w:tcW w:w="592" w:type="pct"/>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10</w:t>
                  </w:r>
                </w:p>
              </w:tc>
              <w:tc>
                <w:tcPr>
                  <w:tcW w:w="539"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53"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NO</w:t>
                  </w:r>
                  <w:r>
                    <w:rPr>
                      <w:bCs/>
                      <w:color w:val="auto"/>
                      <w:sz w:val="21"/>
                      <w:szCs w:val="21"/>
                      <w:vertAlign w:val="subscript"/>
                    </w:rPr>
                    <w:t>2</w:t>
                  </w:r>
                </w:p>
              </w:tc>
              <w:tc>
                <w:tcPr>
                  <w:tcW w:w="1712"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年平均质量浓度</w:t>
                  </w:r>
                </w:p>
              </w:tc>
              <w:tc>
                <w:tcPr>
                  <w:tcW w:w="843" w:type="pct"/>
                  <w:vAlign w:val="center"/>
                </w:tcPr>
                <w:p>
                  <w:pPr>
                    <w:pStyle w:val="28"/>
                    <w:jc w:val="center"/>
                    <w:rPr>
                      <w:rFonts w:hint="default"/>
                      <w:color w:val="auto"/>
                      <w:kern w:val="44"/>
                    </w:rPr>
                  </w:pPr>
                  <w:r>
                    <w:rPr>
                      <w:color w:val="auto"/>
                    </w:rPr>
                    <w:t>11</w:t>
                  </w:r>
                </w:p>
              </w:tc>
              <w:tc>
                <w:tcPr>
                  <w:tcW w:w="759" w:type="pct"/>
                  <w:vAlign w:val="center"/>
                </w:tcPr>
                <w:p>
                  <w:pPr>
                    <w:pStyle w:val="28"/>
                    <w:jc w:val="center"/>
                    <w:rPr>
                      <w:rFonts w:hint="default"/>
                      <w:color w:val="auto"/>
                      <w:kern w:val="44"/>
                    </w:rPr>
                  </w:pPr>
                  <w:r>
                    <w:rPr>
                      <w:color w:val="auto"/>
                    </w:rPr>
                    <w:t>40</w:t>
                  </w:r>
                </w:p>
              </w:tc>
              <w:tc>
                <w:tcPr>
                  <w:tcW w:w="592" w:type="pct"/>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27.5</w:t>
                  </w:r>
                </w:p>
              </w:tc>
              <w:tc>
                <w:tcPr>
                  <w:tcW w:w="539"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53"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PM</w:t>
                  </w:r>
                  <w:r>
                    <w:rPr>
                      <w:bCs/>
                      <w:color w:val="auto"/>
                      <w:sz w:val="21"/>
                      <w:szCs w:val="21"/>
                      <w:vertAlign w:val="subscript"/>
                    </w:rPr>
                    <w:t>10</w:t>
                  </w:r>
                </w:p>
              </w:tc>
              <w:tc>
                <w:tcPr>
                  <w:tcW w:w="1712"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年平均质量浓度</w:t>
                  </w:r>
                </w:p>
              </w:tc>
              <w:tc>
                <w:tcPr>
                  <w:tcW w:w="843" w:type="pct"/>
                  <w:vAlign w:val="center"/>
                </w:tcPr>
                <w:p>
                  <w:pPr>
                    <w:pStyle w:val="28"/>
                    <w:jc w:val="center"/>
                    <w:rPr>
                      <w:rFonts w:hint="default"/>
                      <w:color w:val="auto"/>
                      <w:kern w:val="44"/>
                    </w:rPr>
                  </w:pPr>
                  <w:r>
                    <w:rPr>
                      <w:color w:val="auto"/>
                      <w:kern w:val="44"/>
                    </w:rPr>
                    <w:t>38</w:t>
                  </w:r>
                </w:p>
              </w:tc>
              <w:tc>
                <w:tcPr>
                  <w:tcW w:w="759" w:type="pct"/>
                  <w:vAlign w:val="center"/>
                </w:tcPr>
                <w:p>
                  <w:pPr>
                    <w:pStyle w:val="28"/>
                    <w:jc w:val="center"/>
                    <w:rPr>
                      <w:rFonts w:hint="default"/>
                      <w:color w:val="auto"/>
                      <w:kern w:val="44"/>
                    </w:rPr>
                  </w:pPr>
                  <w:r>
                    <w:rPr>
                      <w:color w:val="auto"/>
                    </w:rPr>
                    <w:t>70</w:t>
                  </w:r>
                </w:p>
              </w:tc>
              <w:tc>
                <w:tcPr>
                  <w:tcW w:w="592" w:type="pct"/>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54.29</w:t>
                  </w:r>
                </w:p>
              </w:tc>
              <w:tc>
                <w:tcPr>
                  <w:tcW w:w="539"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53"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PM</w:t>
                  </w:r>
                  <w:r>
                    <w:rPr>
                      <w:bCs/>
                      <w:color w:val="auto"/>
                      <w:sz w:val="21"/>
                      <w:szCs w:val="21"/>
                      <w:vertAlign w:val="subscript"/>
                    </w:rPr>
                    <w:t>2.5</w:t>
                  </w:r>
                </w:p>
              </w:tc>
              <w:tc>
                <w:tcPr>
                  <w:tcW w:w="1712"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年平均质量浓度</w:t>
                  </w:r>
                </w:p>
              </w:tc>
              <w:tc>
                <w:tcPr>
                  <w:tcW w:w="843" w:type="pct"/>
                  <w:vAlign w:val="center"/>
                </w:tcPr>
                <w:p>
                  <w:pPr>
                    <w:pStyle w:val="28"/>
                    <w:jc w:val="center"/>
                    <w:rPr>
                      <w:rFonts w:hint="default"/>
                      <w:color w:val="auto"/>
                      <w:kern w:val="44"/>
                    </w:rPr>
                  </w:pPr>
                  <w:r>
                    <w:rPr>
                      <w:color w:val="auto"/>
                    </w:rPr>
                    <w:t>30</w:t>
                  </w:r>
                </w:p>
              </w:tc>
              <w:tc>
                <w:tcPr>
                  <w:tcW w:w="759" w:type="pct"/>
                  <w:vAlign w:val="center"/>
                </w:tcPr>
                <w:p>
                  <w:pPr>
                    <w:pStyle w:val="28"/>
                    <w:jc w:val="center"/>
                    <w:rPr>
                      <w:rFonts w:hint="default"/>
                      <w:color w:val="auto"/>
                      <w:kern w:val="44"/>
                    </w:rPr>
                  </w:pPr>
                  <w:r>
                    <w:rPr>
                      <w:color w:val="auto"/>
                    </w:rPr>
                    <w:t>35</w:t>
                  </w:r>
                </w:p>
              </w:tc>
              <w:tc>
                <w:tcPr>
                  <w:tcW w:w="592" w:type="pct"/>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85.71</w:t>
                  </w:r>
                </w:p>
              </w:tc>
              <w:tc>
                <w:tcPr>
                  <w:tcW w:w="539" w:type="pct"/>
                  <w:vAlign w:val="center"/>
                </w:tcPr>
                <w:p>
                  <w:pPr>
                    <w:adjustRightInd w:val="0"/>
                    <w:snapToGrid w:val="0"/>
                    <w:spacing w:line="240" w:lineRule="auto"/>
                    <w:ind w:firstLine="0" w:firstLineChars="0"/>
                    <w:jc w:val="center"/>
                    <w:rPr>
                      <w:bCs/>
                      <w:color w:val="auto"/>
                      <w:sz w:val="21"/>
                      <w:szCs w:val="21"/>
                    </w:rPr>
                  </w:pPr>
                  <w:r>
                    <w:rPr>
                      <w:rFonts w:hint="eastAsia"/>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53"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CO</w:t>
                  </w:r>
                </w:p>
              </w:tc>
              <w:tc>
                <w:tcPr>
                  <w:tcW w:w="1712"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百分之95位数日平均</w:t>
                  </w:r>
                </w:p>
              </w:tc>
              <w:tc>
                <w:tcPr>
                  <w:tcW w:w="843" w:type="pct"/>
                  <w:vAlign w:val="center"/>
                </w:tcPr>
                <w:p>
                  <w:pPr>
                    <w:pStyle w:val="28"/>
                    <w:jc w:val="center"/>
                    <w:rPr>
                      <w:rFonts w:hint="default"/>
                      <w:color w:val="auto"/>
                      <w:kern w:val="44"/>
                    </w:rPr>
                  </w:pPr>
                  <w:r>
                    <w:rPr>
                      <w:color w:val="auto"/>
                    </w:rPr>
                    <w:t>1.1</w:t>
                  </w:r>
                </w:p>
              </w:tc>
              <w:tc>
                <w:tcPr>
                  <w:tcW w:w="759" w:type="pct"/>
                  <w:vAlign w:val="center"/>
                </w:tcPr>
                <w:p>
                  <w:pPr>
                    <w:pStyle w:val="28"/>
                    <w:jc w:val="center"/>
                    <w:rPr>
                      <w:rFonts w:hint="default"/>
                      <w:color w:val="auto"/>
                      <w:kern w:val="44"/>
                    </w:rPr>
                  </w:pPr>
                  <w:r>
                    <w:rPr>
                      <w:color w:val="auto"/>
                    </w:rPr>
                    <w:t>4</w:t>
                  </w:r>
                </w:p>
              </w:tc>
              <w:tc>
                <w:tcPr>
                  <w:tcW w:w="592" w:type="pct"/>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27.5</w:t>
                  </w:r>
                </w:p>
              </w:tc>
              <w:tc>
                <w:tcPr>
                  <w:tcW w:w="539"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53"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O</w:t>
                  </w:r>
                  <w:r>
                    <w:rPr>
                      <w:bCs/>
                      <w:color w:val="auto"/>
                      <w:sz w:val="21"/>
                      <w:szCs w:val="21"/>
                      <w:vertAlign w:val="subscript"/>
                    </w:rPr>
                    <w:t>3</w:t>
                  </w:r>
                </w:p>
              </w:tc>
              <w:tc>
                <w:tcPr>
                  <w:tcW w:w="1712"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百分之90位数8小时平均</w:t>
                  </w:r>
                </w:p>
              </w:tc>
              <w:tc>
                <w:tcPr>
                  <w:tcW w:w="843" w:type="pct"/>
                  <w:vAlign w:val="center"/>
                </w:tcPr>
                <w:p>
                  <w:pPr>
                    <w:pStyle w:val="28"/>
                    <w:jc w:val="center"/>
                    <w:rPr>
                      <w:rFonts w:hint="default"/>
                      <w:color w:val="auto"/>
                      <w:kern w:val="44"/>
                    </w:rPr>
                  </w:pPr>
                  <w:r>
                    <w:rPr>
                      <w:color w:val="auto"/>
                    </w:rPr>
                    <w:t>112</w:t>
                  </w:r>
                </w:p>
              </w:tc>
              <w:tc>
                <w:tcPr>
                  <w:tcW w:w="759" w:type="pct"/>
                  <w:vAlign w:val="center"/>
                </w:tcPr>
                <w:p>
                  <w:pPr>
                    <w:pStyle w:val="28"/>
                    <w:jc w:val="center"/>
                    <w:rPr>
                      <w:rFonts w:hint="default"/>
                      <w:color w:val="auto"/>
                      <w:kern w:val="44"/>
                    </w:rPr>
                  </w:pPr>
                  <w:r>
                    <w:rPr>
                      <w:color w:val="auto"/>
                    </w:rPr>
                    <w:t>160</w:t>
                  </w:r>
                </w:p>
              </w:tc>
              <w:tc>
                <w:tcPr>
                  <w:tcW w:w="592" w:type="pct"/>
                  <w:vAlign w:val="center"/>
                </w:tcPr>
                <w:p>
                  <w:pPr>
                    <w:widowControl/>
                    <w:spacing w:line="240" w:lineRule="auto"/>
                    <w:ind w:firstLine="0" w:firstLineChars="0"/>
                    <w:jc w:val="center"/>
                    <w:textAlignment w:val="center"/>
                    <w:rPr>
                      <w:color w:val="auto"/>
                      <w:sz w:val="21"/>
                      <w:szCs w:val="21"/>
                    </w:rPr>
                  </w:pPr>
                  <w:r>
                    <w:rPr>
                      <w:rFonts w:hint="eastAsia"/>
                      <w:color w:val="auto"/>
                      <w:sz w:val="21"/>
                      <w:szCs w:val="21"/>
                    </w:rPr>
                    <w:t>70</w:t>
                  </w:r>
                </w:p>
              </w:tc>
              <w:tc>
                <w:tcPr>
                  <w:tcW w:w="539" w:type="pct"/>
                  <w:vAlign w:val="center"/>
                </w:tcPr>
                <w:p>
                  <w:pPr>
                    <w:adjustRightInd w:val="0"/>
                    <w:snapToGrid w:val="0"/>
                    <w:spacing w:line="240" w:lineRule="auto"/>
                    <w:ind w:firstLine="0" w:firstLineChars="0"/>
                    <w:jc w:val="center"/>
                    <w:rPr>
                      <w:bCs/>
                      <w:color w:val="auto"/>
                      <w:sz w:val="21"/>
                      <w:szCs w:val="21"/>
                    </w:rPr>
                  </w:pPr>
                  <w:r>
                    <w:rPr>
                      <w:bCs/>
                      <w:color w:val="auto"/>
                      <w:sz w:val="21"/>
                      <w:szCs w:val="21"/>
                    </w:rPr>
                    <w:t>达标</w:t>
                  </w:r>
                </w:p>
              </w:tc>
            </w:tr>
          </w:tbl>
          <w:p>
            <w:pPr>
              <w:adjustRightInd w:val="0"/>
              <w:snapToGrid w:val="0"/>
              <w:ind w:firstLine="480"/>
              <w:rPr>
                <w:bCs/>
                <w:color w:val="auto"/>
              </w:rPr>
            </w:pPr>
            <w:r>
              <w:rPr>
                <w:bCs/>
                <w:color w:val="auto"/>
              </w:rPr>
              <w:t>由上表可知，衡阳市</w:t>
            </w:r>
            <w:r>
              <w:rPr>
                <w:rFonts w:hint="eastAsia"/>
                <w:bCs/>
                <w:color w:val="auto"/>
              </w:rPr>
              <w:t>衡阳县</w:t>
            </w:r>
            <w:r>
              <w:rPr>
                <w:bCs/>
                <w:color w:val="auto"/>
              </w:rPr>
              <w:t>二氧化硫和二氧化氮年平均质量浓度、可吸入颗粒物（PM</w:t>
            </w:r>
            <w:r>
              <w:rPr>
                <w:bCs/>
                <w:color w:val="auto"/>
                <w:vertAlign w:val="subscript"/>
              </w:rPr>
              <w:t>10</w:t>
            </w:r>
            <w:r>
              <w:rPr>
                <w:bCs/>
                <w:color w:val="auto"/>
              </w:rPr>
              <w:t>）、一氧化碳年评价浓度（第95百分位数）、臭氧年评价浓度（第90百分位数）均达到《环境空气质量标准》（GB3095-2012）二级标准，细颗粒物（PM</w:t>
            </w:r>
            <w:r>
              <w:rPr>
                <w:bCs/>
                <w:color w:val="auto"/>
                <w:vertAlign w:val="subscript"/>
              </w:rPr>
              <w:t>2.5</w:t>
            </w:r>
            <w:r>
              <w:rPr>
                <w:bCs/>
                <w:color w:val="auto"/>
              </w:rPr>
              <w:t>）年平均质量浓度超出《环境空气质量标准》（GB3095-2012）二级标准。因此，项目所在区域为环境空气质量达标区。</w:t>
            </w:r>
          </w:p>
          <w:p>
            <w:pPr>
              <w:ind w:firstLine="480"/>
              <w:rPr>
                <w:bCs/>
                <w:color w:val="auto"/>
              </w:rPr>
            </w:pPr>
            <w:r>
              <w:rPr>
                <w:bCs/>
                <w:color w:val="auto"/>
              </w:rPr>
              <w:t>根据《衡阳市大气环境质量限期达标规划》、《衡阳市“十四五”空气质量改善规划》，衡阳市将全面推进大气污染治理，产业结构逐步优化，能源结构持续调整，全面推进工业污染治理，深入推进移动源污染防治，加强扬尘污染综合整治，积极开展其他面源污染整治，强化重污染天气应对。推动形成有利于节约能源资源、保护生态环境的产业结构布局和生产生活方式，推进大气环境管理体系和治理能力现代化，促进城市环境空气质量显著改善和生态环境根本好转。规划期间，衡阳市环境空气PM</w:t>
            </w:r>
            <w:r>
              <w:rPr>
                <w:bCs/>
                <w:color w:val="auto"/>
                <w:vertAlign w:val="subscript"/>
              </w:rPr>
              <w:t>2.5</w:t>
            </w:r>
            <w:r>
              <w:rPr>
                <w:bCs/>
                <w:color w:val="auto"/>
              </w:rPr>
              <w:t>年均浓度及特护期浓度逐步下降，</w:t>
            </w:r>
            <w:r>
              <w:rPr>
                <w:rFonts w:hint="eastAsia"/>
                <w:bCs/>
                <w:color w:val="auto"/>
              </w:rPr>
              <w:t>2024年度已较2023年度有较大改善，</w:t>
            </w:r>
            <w:r>
              <w:rPr>
                <w:bCs/>
                <w:color w:val="auto"/>
              </w:rPr>
              <w:t>有力遏制O</w:t>
            </w:r>
            <w:r>
              <w:rPr>
                <w:bCs/>
                <w:color w:val="auto"/>
                <w:vertAlign w:val="subscript"/>
              </w:rPr>
              <w:t>3</w:t>
            </w:r>
            <w:r>
              <w:rPr>
                <w:bCs/>
                <w:color w:val="auto"/>
              </w:rPr>
              <w:t>浓度上升趋势，显著降低其超标风险，空气质量优良天数比例稳步提升。</w:t>
            </w:r>
          </w:p>
          <w:p>
            <w:pPr>
              <w:ind w:firstLine="480"/>
              <w:rPr>
                <w:color w:val="auto"/>
              </w:rPr>
            </w:pPr>
            <w:r>
              <w:rPr>
                <w:rFonts w:hint="eastAsia"/>
                <w:color w:val="auto"/>
              </w:rPr>
              <w:t>（2）其他污染物环境质量现状</w:t>
            </w:r>
          </w:p>
          <w:p>
            <w:pPr>
              <w:ind w:firstLine="480"/>
              <w:rPr>
                <w:bCs/>
                <w:color w:val="auto"/>
              </w:rPr>
            </w:pPr>
            <w:r>
              <w:rPr>
                <w:rFonts w:hint="eastAsia"/>
                <w:color w:val="auto"/>
              </w:rPr>
              <w:t>根据《建设项目环境影响报告表编制技术指南（污染影响类）》（试行）对区域大气环境质量现状数据引用规定：“大气环境。排放国家、地方环境空气质量标准中有标准限值要求的特征污染物时，引用建设项目周边5千米范围内近3年的现有监测数据，无相关数据的选择当季主导风向下风向1个点位补充不少于3天的监测数据。”</w:t>
            </w:r>
          </w:p>
          <w:p>
            <w:pPr>
              <w:ind w:firstLine="480"/>
              <w:rPr>
                <w:color w:val="auto"/>
              </w:rPr>
            </w:pPr>
            <w:r>
              <w:rPr>
                <w:rFonts w:hint="eastAsia"/>
                <w:color w:val="auto"/>
              </w:rPr>
              <w:t>本项目排放的其他污染物主要为TSP、</w:t>
            </w:r>
            <w:bookmarkStart w:id="5" w:name="OLE_LINK2"/>
            <w:r>
              <w:rPr>
                <w:rFonts w:hint="eastAsia"/>
                <w:bCs/>
                <w:color w:val="auto"/>
              </w:rPr>
              <w:t>NO</w:t>
            </w:r>
            <w:r>
              <w:rPr>
                <w:rFonts w:hint="eastAsia"/>
                <w:bCs/>
                <w:color w:val="auto"/>
                <w:vertAlign w:val="subscript"/>
              </w:rPr>
              <w:t>X</w:t>
            </w:r>
            <w:bookmarkEnd w:id="5"/>
            <w:r>
              <w:rPr>
                <w:rFonts w:hint="eastAsia"/>
                <w:color w:val="auto"/>
              </w:rPr>
              <w:t>。故为了解项目所在区域TSP、</w:t>
            </w:r>
            <w:r>
              <w:rPr>
                <w:rFonts w:hint="eastAsia"/>
                <w:bCs/>
                <w:color w:val="auto"/>
              </w:rPr>
              <w:t>NO</w:t>
            </w:r>
            <w:r>
              <w:rPr>
                <w:rFonts w:hint="eastAsia"/>
                <w:bCs/>
                <w:color w:val="auto"/>
                <w:vertAlign w:val="subscript"/>
              </w:rPr>
              <w:t>X</w:t>
            </w:r>
            <w:r>
              <w:rPr>
                <w:rFonts w:hint="eastAsia"/>
                <w:color w:val="auto"/>
              </w:rPr>
              <w:t>的质量状况，本次评价委托衡阳职安环保科技有限公司于2025年 月 日~ 月 日连续3天对项目当季主导风向下风向的李家坳居民点的环境空气质量现状进行了监测。</w:t>
            </w:r>
          </w:p>
          <w:p>
            <w:pPr>
              <w:ind w:firstLine="480"/>
              <w:rPr>
                <w:color w:val="auto"/>
              </w:rPr>
            </w:pPr>
            <w:r>
              <w:rPr>
                <w:rFonts w:hint="eastAsia"/>
                <w:color w:val="auto"/>
              </w:rPr>
              <w:fldChar w:fldCharType="begin"/>
            </w:r>
            <w:r>
              <w:rPr>
                <w:rFonts w:hint="eastAsia"/>
                <w:color w:val="auto"/>
              </w:rPr>
              <w:instrText xml:space="preserve"> = 1 \* GB3 \* MERGEFORMAT </w:instrText>
            </w:r>
            <w:r>
              <w:rPr>
                <w:rFonts w:hint="eastAsia"/>
                <w:color w:val="auto"/>
              </w:rPr>
              <w:fldChar w:fldCharType="separate"/>
            </w:r>
            <w:r>
              <w:rPr>
                <w:color w:val="auto"/>
              </w:rPr>
              <w:t>①</w:t>
            </w:r>
            <w:r>
              <w:rPr>
                <w:rFonts w:hint="eastAsia"/>
                <w:color w:val="auto"/>
              </w:rPr>
              <w:fldChar w:fldCharType="end"/>
            </w:r>
            <w:r>
              <w:rPr>
                <w:rFonts w:hint="eastAsia"/>
                <w:color w:val="auto"/>
              </w:rPr>
              <w:t>监测点位</w:t>
            </w:r>
          </w:p>
          <w:p>
            <w:pPr>
              <w:ind w:firstLine="480"/>
              <w:rPr>
                <w:color w:val="auto"/>
              </w:rPr>
            </w:pPr>
            <w:r>
              <w:rPr>
                <w:rFonts w:hint="eastAsia"/>
                <w:color w:val="auto"/>
              </w:rPr>
              <w:t>监测点位见表3-2。</w:t>
            </w:r>
          </w:p>
          <w:p>
            <w:pPr>
              <w:pStyle w:val="39"/>
              <w:rPr>
                <w:color w:val="auto"/>
              </w:rPr>
            </w:pPr>
            <w:r>
              <w:rPr>
                <w:rFonts w:hint="eastAsia"/>
                <w:color w:val="auto"/>
              </w:rPr>
              <w:t>表3-2 环境空气补充监测布点表</w:t>
            </w:r>
          </w:p>
          <w:tbl>
            <w:tblPr>
              <w:tblStyle w:val="22"/>
              <w:tblW w:w="79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4674"/>
              <w:gridCol w:w="24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0" w:type="pct"/>
                  <w:tcBorders>
                    <w:tl2br w:val="nil"/>
                    <w:tr2bl w:val="nil"/>
                  </w:tcBorders>
                  <w:tcMar>
                    <w:left w:w="17" w:type="dxa"/>
                    <w:right w:w="17" w:type="dxa"/>
                  </w:tcMar>
                  <w:vAlign w:val="center"/>
                </w:tcPr>
                <w:p>
                  <w:pPr>
                    <w:spacing w:line="240" w:lineRule="auto"/>
                    <w:ind w:firstLine="0" w:firstLineChars="0"/>
                    <w:jc w:val="center"/>
                    <w:rPr>
                      <w:color w:val="auto"/>
                      <w:sz w:val="21"/>
                      <w:szCs w:val="21"/>
                    </w:rPr>
                  </w:pPr>
                  <w:r>
                    <w:rPr>
                      <w:color w:val="auto"/>
                      <w:sz w:val="21"/>
                      <w:szCs w:val="21"/>
                    </w:rPr>
                    <w:t>序号</w:t>
                  </w:r>
                </w:p>
              </w:tc>
              <w:tc>
                <w:tcPr>
                  <w:tcW w:w="2922"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监测点名称</w:t>
                  </w:r>
                </w:p>
              </w:tc>
              <w:tc>
                <w:tcPr>
                  <w:tcW w:w="1546"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方位及距离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30" w:type="pct"/>
                  <w:tcBorders>
                    <w:tl2br w:val="nil"/>
                    <w:tr2bl w:val="nil"/>
                  </w:tcBorders>
                  <w:tcMar>
                    <w:left w:w="17" w:type="dxa"/>
                    <w:right w:w="17" w:type="dxa"/>
                  </w:tcMar>
                  <w:vAlign w:val="center"/>
                </w:tcPr>
                <w:p>
                  <w:pPr>
                    <w:spacing w:line="240" w:lineRule="auto"/>
                    <w:ind w:firstLine="0" w:firstLineChars="0"/>
                    <w:jc w:val="center"/>
                    <w:rPr>
                      <w:color w:val="auto"/>
                      <w:sz w:val="21"/>
                      <w:szCs w:val="21"/>
                    </w:rPr>
                  </w:pPr>
                  <w:r>
                    <w:rPr>
                      <w:rFonts w:hint="eastAsia"/>
                      <w:color w:val="auto"/>
                      <w:sz w:val="21"/>
                      <w:szCs w:val="21"/>
                    </w:rPr>
                    <w:t>G1</w:t>
                  </w:r>
                </w:p>
              </w:tc>
              <w:tc>
                <w:tcPr>
                  <w:tcW w:w="2922" w:type="pct"/>
                  <w:tcBorders>
                    <w:tl2br w:val="nil"/>
                    <w:tr2bl w:val="nil"/>
                  </w:tcBorders>
                  <w:vAlign w:val="center"/>
                </w:tcPr>
                <w:p>
                  <w:pPr>
                    <w:spacing w:line="240" w:lineRule="auto"/>
                    <w:ind w:firstLine="0" w:firstLineChars="0"/>
                    <w:jc w:val="center"/>
                    <w:rPr>
                      <w:bCs/>
                      <w:color w:val="auto"/>
                      <w:sz w:val="21"/>
                      <w:szCs w:val="21"/>
                    </w:rPr>
                  </w:pPr>
                  <w:r>
                    <w:rPr>
                      <w:rFonts w:hint="eastAsia"/>
                      <w:bCs/>
                      <w:color w:val="auto"/>
                      <w:sz w:val="21"/>
                      <w:szCs w:val="21"/>
                    </w:rPr>
                    <w:t>李家坳</w:t>
                  </w:r>
                  <w:r>
                    <w:rPr>
                      <w:bCs/>
                      <w:color w:val="auto"/>
                      <w:sz w:val="21"/>
                      <w:szCs w:val="21"/>
                    </w:rPr>
                    <w:t>居民点</w:t>
                  </w:r>
                </w:p>
                <w:p>
                  <w:pPr>
                    <w:spacing w:line="240" w:lineRule="auto"/>
                    <w:ind w:firstLine="0" w:firstLineChars="0"/>
                    <w:jc w:val="center"/>
                    <w:rPr>
                      <w:color w:val="auto"/>
                      <w:sz w:val="21"/>
                      <w:szCs w:val="21"/>
                    </w:rPr>
                  </w:pPr>
                  <w:r>
                    <w:rPr>
                      <w:rFonts w:hint="eastAsia"/>
                      <w:bCs/>
                      <w:color w:val="auto"/>
                      <w:sz w:val="21"/>
                      <w:szCs w:val="21"/>
                    </w:rPr>
                    <w:t>（东经112°36'45.49"，北纬27°01'19.03"）</w:t>
                  </w:r>
                </w:p>
              </w:tc>
              <w:tc>
                <w:tcPr>
                  <w:tcW w:w="1546" w:type="pct"/>
                  <w:tcBorders>
                    <w:tl2br w:val="nil"/>
                    <w:tr2bl w:val="nil"/>
                  </w:tcBorders>
                  <w:vAlign w:val="center"/>
                </w:tcPr>
                <w:p>
                  <w:pPr>
                    <w:spacing w:line="240" w:lineRule="auto"/>
                    <w:ind w:firstLine="0" w:firstLineChars="0"/>
                    <w:jc w:val="center"/>
                    <w:rPr>
                      <w:color w:val="auto"/>
                      <w:sz w:val="21"/>
                      <w:szCs w:val="21"/>
                    </w:rPr>
                  </w:pPr>
                  <w:r>
                    <w:rPr>
                      <w:rFonts w:hint="eastAsia"/>
                      <w:color w:val="auto"/>
                      <w:sz w:val="21"/>
                      <w:szCs w:val="21"/>
                    </w:rPr>
                    <w:t>西南，940m</w:t>
                  </w:r>
                </w:p>
              </w:tc>
            </w:tr>
          </w:tbl>
          <w:p>
            <w:pPr>
              <w:ind w:firstLine="480"/>
              <w:rPr>
                <w:color w:val="auto"/>
              </w:rPr>
            </w:pPr>
            <w:r>
              <w:rPr>
                <w:rFonts w:hint="eastAsia"/>
                <w:color w:val="auto"/>
              </w:rPr>
              <w:fldChar w:fldCharType="begin"/>
            </w:r>
            <w:r>
              <w:rPr>
                <w:rFonts w:hint="eastAsia"/>
                <w:color w:val="auto"/>
              </w:rPr>
              <w:instrText xml:space="preserve"> = 2 \* GB3 \* MERGEFORMAT </w:instrText>
            </w:r>
            <w:r>
              <w:rPr>
                <w:rFonts w:hint="eastAsia"/>
                <w:color w:val="auto"/>
              </w:rPr>
              <w:fldChar w:fldCharType="separate"/>
            </w:r>
            <w:r>
              <w:rPr>
                <w:color w:val="auto"/>
              </w:rPr>
              <w:t>②</w:t>
            </w:r>
            <w:r>
              <w:rPr>
                <w:rFonts w:hint="eastAsia"/>
                <w:color w:val="auto"/>
              </w:rPr>
              <w:fldChar w:fldCharType="end"/>
            </w:r>
            <w:r>
              <w:rPr>
                <w:rFonts w:hint="eastAsia"/>
                <w:color w:val="auto"/>
              </w:rPr>
              <w:t>监测因子：TSP、</w:t>
            </w:r>
            <w:r>
              <w:rPr>
                <w:rFonts w:hint="eastAsia"/>
                <w:bCs/>
                <w:color w:val="auto"/>
              </w:rPr>
              <w:t>NO</w:t>
            </w:r>
            <w:r>
              <w:rPr>
                <w:rFonts w:hint="eastAsia"/>
                <w:bCs/>
                <w:color w:val="auto"/>
                <w:vertAlign w:val="subscript"/>
              </w:rPr>
              <w:t>X</w:t>
            </w:r>
            <w:r>
              <w:rPr>
                <w:rFonts w:hint="eastAsia"/>
                <w:color w:val="auto"/>
              </w:rPr>
              <w:t>。</w:t>
            </w:r>
          </w:p>
          <w:p>
            <w:pPr>
              <w:ind w:firstLine="480"/>
              <w:rPr>
                <w:color w:val="auto"/>
              </w:rPr>
            </w:pPr>
            <w:r>
              <w:rPr>
                <w:rFonts w:hint="eastAsia"/>
                <w:color w:val="auto"/>
              </w:rPr>
              <w:fldChar w:fldCharType="begin"/>
            </w:r>
            <w:r>
              <w:rPr>
                <w:rFonts w:hint="eastAsia"/>
                <w:color w:val="auto"/>
              </w:rPr>
              <w:instrText xml:space="preserve"> = 3 \* GB3 \* MERGEFORMAT </w:instrText>
            </w:r>
            <w:r>
              <w:rPr>
                <w:rFonts w:hint="eastAsia"/>
                <w:color w:val="auto"/>
              </w:rPr>
              <w:fldChar w:fldCharType="separate"/>
            </w:r>
            <w:r>
              <w:rPr>
                <w:color w:val="auto"/>
              </w:rPr>
              <w:t>③</w:t>
            </w:r>
            <w:r>
              <w:rPr>
                <w:rFonts w:hint="eastAsia"/>
                <w:color w:val="auto"/>
              </w:rPr>
              <w:fldChar w:fldCharType="end"/>
            </w:r>
            <w:r>
              <w:rPr>
                <w:rFonts w:hint="eastAsia"/>
                <w:color w:val="auto"/>
              </w:rPr>
              <w:t>监测时间与频次：2025年 月 日~ 月 日，连续监测3天。</w:t>
            </w:r>
          </w:p>
          <w:p>
            <w:pPr>
              <w:ind w:firstLine="480"/>
              <w:rPr>
                <w:color w:val="auto"/>
              </w:rPr>
            </w:pPr>
            <w:r>
              <w:rPr>
                <w:rFonts w:hint="eastAsia"/>
                <w:color w:val="auto"/>
              </w:rPr>
              <w:fldChar w:fldCharType="begin"/>
            </w:r>
            <w:r>
              <w:rPr>
                <w:rFonts w:hint="eastAsia"/>
                <w:color w:val="auto"/>
              </w:rPr>
              <w:instrText xml:space="preserve"> = 4 \* GB3 \* MERGEFORMAT </w:instrText>
            </w:r>
            <w:r>
              <w:rPr>
                <w:rFonts w:hint="eastAsia"/>
                <w:color w:val="auto"/>
              </w:rPr>
              <w:fldChar w:fldCharType="separate"/>
            </w:r>
            <w:r>
              <w:rPr>
                <w:color w:val="auto"/>
              </w:rPr>
              <w:t>④</w:t>
            </w:r>
            <w:r>
              <w:rPr>
                <w:rFonts w:hint="eastAsia"/>
                <w:color w:val="auto"/>
              </w:rPr>
              <w:fldChar w:fldCharType="end"/>
            </w:r>
            <w:r>
              <w:rPr>
                <w:rFonts w:hint="eastAsia"/>
                <w:color w:val="auto"/>
              </w:rPr>
              <w:t>评价标准：《环境空气质量标准》（GB3095-2012及2018修改单）中的二级标准。</w:t>
            </w:r>
          </w:p>
          <w:p>
            <w:pPr>
              <w:ind w:firstLine="480"/>
              <w:rPr>
                <w:color w:val="auto"/>
              </w:rPr>
            </w:pPr>
            <w:r>
              <w:rPr>
                <w:rFonts w:hint="eastAsia"/>
                <w:color w:val="auto"/>
              </w:rPr>
              <w:fldChar w:fldCharType="begin"/>
            </w:r>
            <w:r>
              <w:rPr>
                <w:rFonts w:hint="eastAsia"/>
                <w:color w:val="auto"/>
              </w:rPr>
              <w:instrText xml:space="preserve"> = 5 \* GB3 \* MERGEFORMAT </w:instrText>
            </w:r>
            <w:r>
              <w:rPr>
                <w:rFonts w:hint="eastAsia"/>
                <w:color w:val="auto"/>
              </w:rPr>
              <w:fldChar w:fldCharType="separate"/>
            </w:r>
            <w:r>
              <w:rPr>
                <w:color w:val="auto"/>
              </w:rPr>
              <w:t>⑤</w:t>
            </w:r>
            <w:r>
              <w:rPr>
                <w:rFonts w:hint="eastAsia"/>
                <w:color w:val="auto"/>
              </w:rPr>
              <w:fldChar w:fldCharType="end"/>
            </w:r>
            <w:r>
              <w:rPr>
                <w:rFonts w:hint="eastAsia"/>
                <w:color w:val="auto"/>
              </w:rPr>
              <w:t>监测结果</w:t>
            </w:r>
          </w:p>
          <w:p>
            <w:pPr>
              <w:ind w:firstLine="480"/>
              <w:rPr>
                <w:color w:val="auto"/>
              </w:rPr>
            </w:pPr>
            <w:r>
              <w:rPr>
                <w:rFonts w:hint="eastAsia"/>
                <w:color w:val="auto"/>
              </w:rPr>
              <w:t>监测结果见表3-3。</w:t>
            </w:r>
          </w:p>
          <w:p>
            <w:pPr>
              <w:pStyle w:val="39"/>
              <w:rPr>
                <w:color w:val="auto"/>
              </w:rPr>
            </w:pPr>
            <w:r>
              <w:rPr>
                <w:rFonts w:hint="eastAsia"/>
                <w:color w:val="auto"/>
              </w:rPr>
              <w:t>表3-3 环境空气现状监测结果一览表（单位：mg</w:t>
            </w:r>
            <w:r>
              <w:rPr>
                <w:rFonts w:hint="eastAsia" w:cs="Calibri"/>
                <w:color w:val="auto"/>
              </w:rPr>
              <w:t>/</w:t>
            </w:r>
            <w:r>
              <w:rPr>
                <w:rFonts w:hint="eastAsia"/>
                <w:color w:val="auto"/>
              </w:rPr>
              <w:t>m</w:t>
            </w:r>
            <w:r>
              <w:rPr>
                <w:rFonts w:hint="eastAsia"/>
                <w:color w:val="auto"/>
                <w:vertAlign w:val="superscript"/>
              </w:rPr>
              <w:t>3</w:t>
            </w:r>
            <w:r>
              <w:rPr>
                <w:rFonts w:hint="eastAsia"/>
                <w:color w:val="auto"/>
              </w:rPr>
              <w:t>）</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645"/>
              <w:gridCol w:w="1335"/>
              <w:gridCol w:w="1157"/>
              <w:gridCol w:w="1200"/>
              <w:gridCol w:w="1200"/>
              <w:gridCol w:w="853"/>
              <w:gridCol w:w="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restart"/>
                  <w:vAlign w:val="center"/>
                </w:tcPr>
                <w:p>
                  <w:pPr>
                    <w:pStyle w:val="31"/>
                    <w:rPr>
                      <w:color w:val="auto"/>
                    </w:rPr>
                  </w:pPr>
                  <w:r>
                    <w:rPr>
                      <w:rFonts w:hint="eastAsia"/>
                      <w:color w:val="auto"/>
                    </w:rPr>
                    <w:t>检测地点</w:t>
                  </w:r>
                </w:p>
              </w:tc>
              <w:tc>
                <w:tcPr>
                  <w:tcW w:w="1980" w:type="dxa"/>
                  <w:gridSpan w:val="2"/>
                  <w:vMerge w:val="restart"/>
                  <w:vAlign w:val="center"/>
                </w:tcPr>
                <w:p>
                  <w:pPr>
                    <w:pStyle w:val="31"/>
                    <w:rPr>
                      <w:color w:val="auto"/>
                    </w:rPr>
                  </w:pPr>
                  <w:r>
                    <w:rPr>
                      <w:color w:val="auto"/>
                    </w:rPr>
                    <w:t>监测</w:t>
                  </w:r>
                  <w:r>
                    <w:rPr>
                      <w:rFonts w:hint="eastAsia"/>
                      <w:color w:val="auto"/>
                    </w:rPr>
                    <w:t>项目</w:t>
                  </w:r>
                </w:p>
              </w:tc>
              <w:tc>
                <w:tcPr>
                  <w:tcW w:w="3557" w:type="dxa"/>
                  <w:gridSpan w:val="3"/>
                  <w:vAlign w:val="center"/>
                </w:tcPr>
                <w:p>
                  <w:pPr>
                    <w:pStyle w:val="31"/>
                    <w:rPr>
                      <w:color w:val="auto"/>
                    </w:rPr>
                  </w:pPr>
                  <w:r>
                    <w:rPr>
                      <w:color w:val="auto"/>
                    </w:rPr>
                    <w:t>监测</w:t>
                  </w:r>
                  <w:r>
                    <w:rPr>
                      <w:rFonts w:hint="eastAsia"/>
                      <w:color w:val="auto"/>
                    </w:rPr>
                    <w:t>结果</w:t>
                  </w:r>
                </w:p>
              </w:tc>
              <w:tc>
                <w:tcPr>
                  <w:tcW w:w="853" w:type="dxa"/>
                  <w:vMerge w:val="restart"/>
                  <w:vAlign w:val="center"/>
                </w:tcPr>
                <w:p>
                  <w:pPr>
                    <w:pStyle w:val="31"/>
                    <w:rPr>
                      <w:color w:val="auto"/>
                    </w:rPr>
                  </w:pPr>
                  <w:r>
                    <w:rPr>
                      <w:color w:val="auto"/>
                    </w:rPr>
                    <w:t>标准值</w:t>
                  </w:r>
                </w:p>
              </w:tc>
              <w:tc>
                <w:tcPr>
                  <w:tcW w:w="689" w:type="dxa"/>
                  <w:vMerge w:val="restart"/>
                  <w:vAlign w:val="center"/>
                </w:tcPr>
                <w:p>
                  <w:pPr>
                    <w:pStyle w:val="31"/>
                    <w:rPr>
                      <w:color w:val="auto"/>
                    </w:rPr>
                  </w:pPr>
                  <w:r>
                    <w:rPr>
                      <w:color w:val="auto"/>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5" w:type="dxa"/>
                  <w:vMerge w:val="continue"/>
                  <w:vAlign w:val="center"/>
                </w:tcPr>
                <w:p>
                  <w:pPr>
                    <w:pStyle w:val="31"/>
                    <w:rPr>
                      <w:color w:val="auto"/>
                    </w:rPr>
                  </w:pPr>
                </w:p>
              </w:tc>
              <w:tc>
                <w:tcPr>
                  <w:tcW w:w="1980" w:type="dxa"/>
                  <w:gridSpan w:val="2"/>
                  <w:vMerge w:val="continue"/>
                  <w:vAlign w:val="center"/>
                </w:tcPr>
                <w:p>
                  <w:pPr>
                    <w:pStyle w:val="31"/>
                    <w:rPr>
                      <w:color w:val="auto"/>
                    </w:rPr>
                  </w:pPr>
                </w:p>
              </w:tc>
              <w:tc>
                <w:tcPr>
                  <w:tcW w:w="1157" w:type="dxa"/>
                  <w:vAlign w:val="center"/>
                </w:tcPr>
                <w:p>
                  <w:pPr>
                    <w:pStyle w:val="31"/>
                    <w:rPr>
                      <w:color w:val="auto"/>
                    </w:rPr>
                  </w:pPr>
                </w:p>
              </w:tc>
              <w:tc>
                <w:tcPr>
                  <w:tcW w:w="1200" w:type="dxa"/>
                  <w:vAlign w:val="center"/>
                </w:tcPr>
                <w:p>
                  <w:pPr>
                    <w:pStyle w:val="31"/>
                    <w:rPr>
                      <w:color w:val="auto"/>
                    </w:rPr>
                  </w:pPr>
                </w:p>
              </w:tc>
              <w:tc>
                <w:tcPr>
                  <w:tcW w:w="1200" w:type="dxa"/>
                  <w:vAlign w:val="center"/>
                </w:tcPr>
                <w:p>
                  <w:pPr>
                    <w:pStyle w:val="31"/>
                    <w:rPr>
                      <w:color w:val="auto"/>
                    </w:rPr>
                  </w:pPr>
                </w:p>
              </w:tc>
              <w:tc>
                <w:tcPr>
                  <w:tcW w:w="853" w:type="dxa"/>
                  <w:vMerge w:val="continue"/>
                  <w:vAlign w:val="center"/>
                </w:tcPr>
                <w:p>
                  <w:pPr>
                    <w:pStyle w:val="31"/>
                    <w:rPr>
                      <w:color w:val="auto"/>
                    </w:rPr>
                  </w:pPr>
                </w:p>
              </w:tc>
              <w:tc>
                <w:tcPr>
                  <w:tcW w:w="689" w:type="dxa"/>
                  <w:vMerge w:val="continue"/>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5" w:type="dxa"/>
                  <w:vMerge w:val="restart"/>
                  <w:vAlign w:val="center"/>
                </w:tcPr>
                <w:p>
                  <w:pPr>
                    <w:pStyle w:val="31"/>
                    <w:rPr>
                      <w:color w:val="auto"/>
                    </w:rPr>
                  </w:pPr>
                  <w:r>
                    <w:rPr>
                      <w:rFonts w:hint="eastAsia"/>
                      <w:color w:val="auto"/>
                    </w:rPr>
                    <w:t>G1</w:t>
                  </w:r>
                </w:p>
              </w:tc>
              <w:tc>
                <w:tcPr>
                  <w:tcW w:w="645" w:type="dxa"/>
                  <w:vAlign w:val="center"/>
                </w:tcPr>
                <w:p>
                  <w:pPr>
                    <w:pStyle w:val="31"/>
                    <w:rPr>
                      <w:color w:val="auto"/>
                    </w:rPr>
                  </w:pPr>
                  <w:r>
                    <w:rPr>
                      <w:rFonts w:hint="eastAsia"/>
                      <w:color w:val="auto"/>
                    </w:rPr>
                    <w:t>TSP</w:t>
                  </w:r>
                </w:p>
              </w:tc>
              <w:tc>
                <w:tcPr>
                  <w:tcW w:w="1335" w:type="dxa"/>
                  <w:vAlign w:val="center"/>
                </w:tcPr>
                <w:p>
                  <w:pPr>
                    <w:pStyle w:val="31"/>
                    <w:rPr>
                      <w:color w:val="auto"/>
                    </w:rPr>
                  </w:pPr>
                  <w:r>
                    <w:rPr>
                      <w:rFonts w:hint="eastAsia"/>
                      <w:color w:val="auto"/>
                    </w:rPr>
                    <w:t>24小时均值</w:t>
                  </w:r>
                </w:p>
              </w:tc>
              <w:tc>
                <w:tcPr>
                  <w:tcW w:w="1157" w:type="dxa"/>
                  <w:vAlign w:val="center"/>
                </w:tcPr>
                <w:p>
                  <w:pPr>
                    <w:pStyle w:val="31"/>
                    <w:rPr>
                      <w:color w:val="auto"/>
                    </w:rPr>
                  </w:pPr>
                </w:p>
              </w:tc>
              <w:tc>
                <w:tcPr>
                  <w:tcW w:w="1200" w:type="dxa"/>
                  <w:vAlign w:val="center"/>
                </w:tcPr>
                <w:p>
                  <w:pPr>
                    <w:pStyle w:val="31"/>
                    <w:rPr>
                      <w:color w:val="auto"/>
                    </w:rPr>
                  </w:pPr>
                </w:p>
              </w:tc>
              <w:tc>
                <w:tcPr>
                  <w:tcW w:w="1200" w:type="dxa"/>
                  <w:vAlign w:val="center"/>
                </w:tcPr>
                <w:p>
                  <w:pPr>
                    <w:pStyle w:val="31"/>
                    <w:rPr>
                      <w:color w:val="auto"/>
                    </w:rPr>
                  </w:pPr>
                </w:p>
              </w:tc>
              <w:tc>
                <w:tcPr>
                  <w:tcW w:w="853" w:type="dxa"/>
                  <w:vAlign w:val="center"/>
                </w:tcPr>
                <w:p>
                  <w:pPr>
                    <w:pStyle w:val="31"/>
                    <w:rPr>
                      <w:color w:val="auto"/>
                    </w:rPr>
                  </w:pPr>
                  <w:r>
                    <w:rPr>
                      <w:rFonts w:hint="eastAsia"/>
                      <w:color w:val="auto"/>
                    </w:rPr>
                    <w:t>0.300</w:t>
                  </w:r>
                </w:p>
              </w:tc>
              <w:tc>
                <w:tcPr>
                  <w:tcW w:w="689" w:type="dxa"/>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55" w:type="dxa"/>
                  <w:vMerge w:val="continue"/>
                  <w:vAlign w:val="center"/>
                </w:tcPr>
                <w:p>
                  <w:pPr>
                    <w:pStyle w:val="31"/>
                    <w:rPr>
                      <w:color w:val="auto"/>
                    </w:rPr>
                  </w:pPr>
                </w:p>
              </w:tc>
              <w:tc>
                <w:tcPr>
                  <w:tcW w:w="645" w:type="dxa"/>
                  <w:vMerge w:val="restart"/>
                  <w:vAlign w:val="center"/>
                </w:tcPr>
                <w:p>
                  <w:pPr>
                    <w:pStyle w:val="31"/>
                    <w:rPr>
                      <w:color w:val="auto"/>
                    </w:rPr>
                  </w:pPr>
                  <w:r>
                    <w:rPr>
                      <w:rFonts w:hint="eastAsia"/>
                      <w:color w:val="auto"/>
                    </w:rPr>
                    <w:t>NO</w:t>
                  </w:r>
                  <w:r>
                    <w:rPr>
                      <w:rFonts w:hint="eastAsia"/>
                      <w:color w:val="auto"/>
                      <w:vertAlign w:val="subscript"/>
                    </w:rPr>
                    <w:t>X</w:t>
                  </w:r>
                </w:p>
              </w:tc>
              <w:tc>
                <w:tcPr>
                  <w:tcW w:w="1335" w:type="dxa"/>
                  <w:vAlign w:val="center"/>
                </w:tcPr>
                <w:p>
                  <w:pPr>
                    <w:pStyle w:val="31"/>
                    <w:rPr>
                      <w:color w:val="auto"/>
                    </w:rPr>
                  </w:pPr>
                  <w:r>
                    <w:rPr>
                      <w:rFonts w:hint="eastAsia"/>
                      <w:color w:val="auto"/>
                    </w:rPr>
                    <w:t>小时值</w:t>
                  </w:r>
                </w:p>
              </w:tc>
              <w:tc>
                <w:tcPr>
                  <w:tcW w:w="1157" w:type="dxa"/>
                  <w:vAlign w:val="center"/>
                </w:tcPr>
                <w:p>
                  <w:pPr>
                    <w:pStyle w:val="31"/>
                    <w:rPr>
                      <w:color w:val="auto"/>
                    </w:rPr>
                  </w:pPr>
                </w:p>
              </w:tc>
              <w:tc>
                <w:tcPr>
                  <w:tcW w:w="1200" w:type="dxa"/>
                  <w:vAlign w:val="center"/>
                </w:tcPr>
                <w:p>
                  <w:pPr>
                    <w:pStyle w:val="31"/>
                    <w:rPr>
                      <w:color w:val="auto"/>
                    </w:rPr>
                  </w:pPr>
                </w:p>
              </w:tc>
              <w:tc>
                <w:tcPr>
                  <w:tcW w:w="1200" w:type="dxa"/>
                  <w:vAlign w:val="center"/>
                </w:tcPr>
                <w:p>
                  <w:pPr>
                    <w:pStyle w:val="31"/>
                    <w:rPr>
                      <w:color w:val="auto"/>
                    </w:rPr>
                  </w:pPr>
                </w:p>
              </w:tc>
              <w:tc>
                <w:tcPr>
                  <w:tcW w:w="853" w:type="dxa"/>
                  <w:vAlign w:val="center"/>
                </w:tcPr>
                <w:p>
                  <w:pPr>
                    <w:pStyle w:val="31"/>
                    <w:rPr>
                      <w:color w:val="auto"/>
                    </w:rPr>
                  </w:pPr>
                  <w:r>
                    <w:rPr>
                      <w:rFonts w:hint="eastAsia"/>
                      <w:color w:val="auto"/>
                    </w:rPr>
                    <w:t>0.250</w:t>
                  </w:r>
                </w:p>
              </w:tc>
              <w:tc>
                <w:tcPr>
                  <w:tcW w:w="689" w:type="dxa"/>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755" w:type="dxa"/>
                  <w:vMerge w:val="continue"/>
                  <w:vAlign w:val="center"/>
                </w:tcPr>
                <w:p>
                  <w:pPr>
                    <w:pStyle w:val="31"/>
                    <w:rPr>
                      <w:color w:val="auto"/>
                    </w:rPr>
                  </w:pPr>
                </w:p>
              </w:tc>
              <w:tc>
                <w:tcPr>
                  <w:tcW w:w="645" w:type="dxa"/>
                  <w:vMerge w:val="continue"/>
                  <w:vAlign w:val="center"/>
                </w:tcPr>
                <w:p>
                  <w:pPr>
                    <w:pStyle w:val="31"/>
                    <w:rPr>
                      <w:color w:val="auto"/>
                    </w:rPr>
                  </w:pPr>
                </w:p>
              </w:tc>
              <w:tc>
                <w:tcPr>
                  <w:tcW w:w="1335" w:type="dxa"/>
                  <w:vAlign w:val="center"/>
                </w:tcPr>
                <w:p>
                  <w:pPr>
                    <w:pStyle w:val="31"/>
                    <w:rPr>
                      <w:color w:val="auto"/>
                    </w:rPr>
                  </w:pPr>
                  <w:r>
                    <w:rPr>
                      <w:rFonts w:hint="eastAsia"/>
                      <w:color w:val="auto"/>
                    </w:rPr>
                    <w:t>24小时均值</w:t>
                  </w:r>
                </w:p>
              </w:tc>
              <w:tc>
                <w:tcPr>
                  <w:tcW w:w="1157" w:type="dxa"/>
                  <w:vAlign w:val="center"/>
                </w:tcPr>
                <w:p>
                  <w:pPr>
                    <w:pStyle w:val="31"/>
                    <w:rPr>
                      <w:color w:val="auto"/>
                    </w:rPr>
                  </w:pPr>
                </w:p>
              </w:tc>
              <w:tc>
                <w:tcPr>
                  <w:tcW w:w="1200" w:type="dxa"/>
                  <w:vAlign w:val="center"/>
                </w:tcPr>
                <w:p>
                  <w:pPr>
                    <w:pStyle w:val="31"/>
                    <w:rPr>
                      <w:color w:val="auto"/>
                    </w:rPr>
                  </w:pPr>
                </w:p>
              </w:tc>
              <w:tc>
                <w:tcPr>
                  <w:tcW w:w="1200" w:type="dxa"/>
                  <w:vAlign w:val="center"/>
                </w:tcPr>
                <w:p>
                  <w:pPr>
                    <w:pStyle w:val="31"/>
                    <w:rPr>
                      <w:color w:val="auto"/>
                    </w:rPr>
                  </w:pPr>
                </w:p>
              </w:tc>
              <w:tc>
                <w:tcPr>
                  <w:tcW w:w="853" w:type="dxa"/>
                  <w:vAlign w:val="center"/>
                </w:tcPr>
                <w:p>
                  <w:pPr>
                    <w:pStyle w:val="31"/>
                    <w:rPr>
                      <w:color w:val="auto"/>
                    </w:rPr>
                  </w:pPr>
                  <w:r>
                    <w:rPr>
                      <w:rFonts w:hint="eastAsia"/>
                      <w:color w:val="auto"/>
                    </w:rPr>
                    <w:t>0.100</w:t>
                  </w:r>
                </w:p>
              </w:tc>
              <w:tc>
                <w:tcPr>
                  <w:tcW w:w="689" w:type="dxa"/>
                  <w:vAlign w:val="center"/>
                </w:tcPr>
                <w:p>
                  <w:pPr>
                    <w:pStyle w:val="31"/>
                    <w:rPr>
                      <w:color w:val="auto"/>
                    </w:rPr>
                  </w:pPr>
                </w:p>
              </w:tc>
            </w:tr>
          </w:tbl>
          <w:p>
            <w:pPr>
              <w:ind w:firstLine="480"/>
              <w:rPr>
                <w:color w:val="auto"/>
              </w:rPr>
            </w:pPr>
            <w:r>
              <w:rPr>
                <w:rFonts w:hint="eastAsia"/>
                <w:color w:val="auto"/>
              </w:rPr>
              <w:t>根据上表监测结果可知，监测期间，项目所在区域大气评价范围内监测点位TSP、NO</w:t>
            </w:r>
            <w:r>
              <w:rPr>
                <w:rFonts w:hint="eastAsia"/>
                <w:color w:val="auto"/>
                <w:vertAlign w:val="subscript"/>
              </w:rPr>
              <w:t>X</w:t>
            </w:r>
            <w:r>
              <w:rPr>
                <w:rFonts w:hint="eastAsia"/>
                <w:color w:val="auto"/>
              </w:rPr>
              <w:t>的监测结果均能满足《环境空气质量标准》（GB3095-2012及2018修改单）中的二级标准。因此，本项目建设前，项目所在区域空气质量良好。</w:t>
            </w:r>
          </w:p>
          <w:p>
            <w:pPr>
              <w:ind w:firstLine="0" w:firstLineChars="0"/>
              <w:rPr>
                <w:b/>
                <w:bCs/>
                <w:color w:val="auto"/>
              </w:rPr>
            </w:pPr>
            <w:r>
              <w:rPr>
                <w:rFonts w:hint="eastAsia"/>
                <w:b/>
                <w:bCs/>
                <w:color w:val="auto"/>
              </w:rPr>
              <w:t>2、地表水质量现状和评价</w:t>
            </w:r>
          </w:p>
          <w:p>
            <w:pPr>
              <w:adjustRightInd w:val="0"/>
              <w:snapToGrid w:val="0"/>
              <w:ind w:firstLine="480"/>
              <w:rPr>
                <w:bCs/>
                <w:color w:val="auto"/>
              </w:rPr>
            </w:pPr>
            <w:r>
              <w:rPr>
                <w:bCs/>
                <w:color w:val="auto"/>
              </w:rPr>
              <w:t>根据《建设项目环境影响报告表编制技术指南（污染影响类）</w:t>
            </w:r>
            <w:r>
              <w:rPr>
                <w:rFonts w:hint="eastAsia"/>
                <w:bCs/>
                <w:color w:val="auto"/>
              </w:rPr>
              <w:t>（试行）》</w:t>
            </w:r>
            <w:r>
              <w:rPr>
                <w:bCs/>
                <w:color w:val="auto"/>
              </w:rPr>
              <w:t>对区域地表水环境质量现状数据引用规定</w:t>
            </w:r>
            <w:r>
              <w:rPr>
                <w:rFonts w:hint="eastAsia" w:ascii="宋体" w:hAnsi="宋体" w:cs="宋体"/>
                <w:bCs/>
                <w:color w:val="auto"/>
              </w:rPr>
              <w:t>：“地</w:t>
            </w:r>
            <w:r>
              <w:rPr>
                <w:bCs/>
                <w:color w:val="auto"/>
              </w:rPr>
              <w:t>表水环境。引用与建设项目距离近的有效数据，包括近3年的规划环境影响评价的监测数据，所在流域控制单元内国家、地方控制断面监测数据，生态环境主管部门发布的水环境质量数据或地表水达标情况的</w:t>
            </w:r>
            <w:r>
              <w:rPr>
                <w:rFonts w:hint="eastAsia" w:ascii="宋体" w:hAnsi="宋体" w:cs="宋体"/>
                <w:bCs/>
                <w:color w:val="auto"/>
              </w:rPr>
              <w:t>结论”。</w:t>
            </w:r>
          </w:p>
          <w:p>
            <w:pPr>
              <w:adjustRightInd w:val="0"/>
              <w:snapToGrid w:val="0"/>
              <w:ind w:firstLine="480"/>
              <w:rPr>
                <w:bCs/>
                <w:color w:val="auto"/>
              </w:rPr>
            </w:pPr>
            <w:r>
              <w:rPr>
                <w:bCs/>
                <w:color w:val="auto"/>
              </w:rPr>
              <w:t>本项目位于湖南省衡阳市衡阳县集兵镇太栗村罗坪组</w:t>
            </w:r>
            <w:r>
              <w:rPr>
                <w:rFonts w:hint="eastAsia"/>
                <w:bCs/>
                <w:color w:val="auto"/>
              </w:rPr>
              <w:t>，</w:t>
            </w:r>
            <w:r>
              <w:rPr>
                <w:bCs/>
                <w:color w:val="auto"/>
              </w:rPr>
              <w:t>周边地表水体主要为</w:t>
            </w:r>
            <w:r>
              <w:rPr>
                <w:rFonts w:hint="eastAsia"/>
                <w:bCs/>
                <w:color w:val="auto"/>
              </w:rPr>
              <w:t>三渡河、</w:t>
            </w:r>
            <w:r>
              <w:rPr>
                <w:rFonts w:hint="eastAsia"/>
                <w:color w:val="auto"/>
              </w:rPr>
              <w:t>横江铺河</w:t>
            </w:r>
            <w:r>
              <w:rPr>
                <w:rFonts w:hint="eastAsia"/>
                <w:bCs/>
                <w:color w:val="auto"/>
              </w:rPr>
              <w:t>和湘江</w:t>
            </w:r>
            <w:r>
              <w:rPr>
                <w:bCs/>
                <w:color w:val="auto"/>
              </w:rPr>
              <w:t>，地表水考核断面为鱼石村</w:t>
            </w:r>
            <w:r>
              <w:rPr>
                <w:rFonts w:hint="eastAsia"/>
                <w:bCs/>
                <w:color w:val="auto"/>
              </w:rPr>
              <w:t>断面</w:t>
            </w:r>
            <w:r>
              <w:rPr>
                <w:bCs/>
                <w:color w:val="auto"/>
              </w:rPr>
              <w:t>。为了了解本项目区域地表水环境质量现状，收集了衡阳市生态环境局《衡阳市2024年12月及1-12月环境质量状况》中相关数据，原始数据截图如下：</w:t>
            </w:r>
          </w:p>
          <w:p>
            <w:pPr>
              <w:pStyle w:val="10"/>
              <w:spacing w:after="0"/>
              <w:ind w:left="0" w:leftChars="0" w:firstLine="0" w:firstLineChars="0"/>
              <w:jc w:val="center"/>
              <w:rPr>
                <w:bCs/>
                <w:color w:val="auto"/>
              </w:rPr>
            </w:pPr>
            <w:r>
              <w:rPr>
                <w:color w:val="auto"/>
              </w:rPr>
              <w:drawing>
                <wp:inline distT="0" distB="0" distL="114300" distR="114300">
                  <wp:extent cx="3213100" cy="1979930"/>
                  <wp:effectExtent l="0" t="0" r="6350" b="127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6"/>
                          <a:stretch>
                            <a:fillRect/>
                          </a:stretch>
                        </pic:blipFill>
                        <pic:spPr>
                          <a:xfrm>
                            <a:off x="0" y="0"/>
                            <a:ext cx="3213100" cy="1979930"/>
                          </a:xfrm>
                          <a:prstGeom prst="rect">
                            <a:avLst/>
                          </a:prstGeom>
                          <a:noFill/>
                          <a:ln>
                            <a:noFill/>
                          </a:ln>
                        </pic:spPr>
                      </pic:pic>
                    </a:graphicData>
                  </a:graphic>
                </wp:inline>
              </w:drawing>
            </w:r>
          </w:p>
          <w:p>
            <w:pPr>
              <w:pStyle w:val="32"/>
              <w:spacing w:line="360" w:lineRule="auto"/>
              <w:rPr>
                <w:color w:val="auto"/>
              </w:rPr>
            </w:pPr>
            <w:r>
              <w:rPr>
                <w:rFonts w:hint="eastAsia"/>
                <w:color w:val="auto"/>
              </w:rPr>
              <w:t xml:space="preserve">图3-2  </w:t>
            </w:r>
            <w:r>
              <w:rPr>
                <w:color w:val="auto"/>
              </w:rPr>
              <w:t>《衡阳市2024年12月及1-12月环境质量状况》水环境质量状况截图</w:t>
            </w:r>
          </w:p>
          <w:p>
            <w:pPr>
              <w:ind w:firstLine="480"/>
              <w:rPr>
                <w:color w:val="auto"/>
              </w:rPr>
            </w:pPr>
            <w:r>
              <w:rPr>
                <w:rFonts w:hint="eastAsia"/>
                <w:color w:val="auto"/>
              </w:rPr>
              <w:t>由上图监测数据可知，</w:t>
            </w:r>
            <w:r>
              <w:rPr>
                <w:bCs/>
                <w:color w:val="auto"/>
              </w:rPr>
              <w:t>鱼石村</w:t>
            </w:r>
            <w:r>
              <w:rPr>
                <w:rFonts w:hint="eastAsia"/>
                <w:bCs/>
                <w:color w:val="auto"/>
              </w:rPr>
              <w:t>断面水</w:t>
            </w:r>
            <w:r>
              <w:rPr>
                <w:rFonts w:hint="eastAsia"/>
                <w:color w:val="auto"/>
              </w:rPr>
              <w:t>质满足《地表水环境质量标准》（GB3838-2002）II类标准的要求水项目所在区域地表水环境质量现状较好。</w:t>
            </w:r>
          </w:p>
          <w:p>
            <w:pPr>
              <w:ind w:firstLine="0" w:firstLineChars="0"/>
              <w:rPr>
                <w:b/>
                <w:bCs/>
                <w:color w:val="auto"/>
              </w:rPr>
            </w:pPr>
            <w:r>
              <w:rPr>
                <w:rFonts w:hint="eastAsia"/>
                <w:b/>
                <w:bCs/>
                <w:color w:val="auto"/>
              </w:rPr>
              <w:t>3、声环境质量现状和评价</w:t>
            </w:r>
          </w:p>
          <w:p>
            <w:pPr>
              <w:widowControl/>
              <w:ind w:firstLine="480"/>
              <w:jc w:val="left"/>
              <w:rPr>
                <w:color w:val="auto"/>
              </w:rPr>
            </w:pPr>
            <w:r>
              <w:rPr>
                <w:rFonts w:hint="eastAsia"/>
                <w:color w:val="auto"/>
              </w:rPr>
              <w:t>根据《建设项目环境影响报告表编制技术指南（污染影响类）（试行）》，“声环境。厂界外周边50米范围内存在声环境保护目标的建设项目，应监测保护目标声环境质量现状并评价达标情况。各点位应监测昼夜间噪声，监测时间不少于1天，项目夜间不生产则仅监测昼间噪声”，经现场踏勘，本项目50m范围内无声环境保护目标，因此</w:t>
            </w:r>
            <w:r>
              <w:rPr>
                <w:rFonts w:hint="eastAsia" w:ascii="宋体" w:hAnsi="宋体" w:cs="宋体"/>
                <w:color w:val="auto"/>
                <w:kern w:val="0"/>
                <w:lang w:bidi="ar"/>
              </w:rPr>
              <w:t>可不进行噪声监测</w:t>
            </w:r>
            <w:r>
              <w:rPr>
                <w:rFonts w:hint="eastAsia"/>
                <w:color w:val="auto"/>
              </w:rPr>
              <w:t>。</w:t>
            </w:r>
          </w:p>
          <w:p>
            <w:pPr>
              <w:ind w:firstLine="0" w:firstLineChars="0"/>
              <w:rPr>
                <w:b/>
                <w:bCs/>
                <w:color w:val="auto"/>
              </w:rPr>
            </w:pPr>
            <w:r>
              <w:rPr>
                <w:rFonts w:hint="eastAsia"/>
                <w:b/>
                <w:bCs/>
                <w:color w:val="auto"/>
              </w:rPr>
              <w:t>4、土壤和地下水环境现状调查与评价</w:t>
            </w:r>
          </w:p>
          <w:p>
            <w:pPr>
              <w:ind w:firstLine="480"/>
              <w:rPr>
                <w:color w:val="auto"/>
              </w:rPr>
            </w:pPr>
            <w:r>
              <w:rPr>
                <w:rFonts w:hint="eastAsia"/>
                <w:color w:val="auto"/>
              </w:rPr>
              <w:t xml:space="preserve">根据生态环境部办公厅2020年12月24日印发的《建设项目环境影响报告表编制技术指南（污染影响类）（试行）》中的要求：“地下水、土壤环境。原则上不开展环境质量现状调查。建设项目存在土壤、地下水环境污染途径的，应结合污染源、保护目标分布情况开展现状调查以留作背景值。” </w:t>
            </w:r>
          </w:p>
          <w:p>
            <w:pPr>
              <w:ind w:firstLine="480"/>
              <w:rPr>
                <w:color w:val="auto"/>
              </w:rPr>
            </w:pPr>
            <w:r>
              <w:rPr>
                <w:rFonts w:hint="eastAsia"/>
                <w:color w:val="auto"/>
              </w:rPr>
              <w:t>结合本项目工程分析，项目不存在土壤、地下水环境污染途径，因此，可不开展土壤、地下水环境质量现状调查。</w:t>
            </w:r>
          </w:p>
          <w:p>
            <w:pPr>
              <w:ind w:firstLine="0" w:firstLineChars="0"/>
              <w:rPr>
                <w:b/>
                <w:bCs/>
                <w:color w:val="auto"/>
              </w:rPr>
            </w:pPr>
            <w:r>
              <w:rPr>
                <w:rFonts w:hint="eastAsia"/>
                <w:b/>
                <w:bCs/>
                <w:color w:val="auto"/>
              </w:rPr>
              <w:t xml:space="preserve">5、生态环境现状 </w:t>
            </w:r>
          </w:p>
          <w:p>
            <w:pPr>
              <w:ind w:firstLine="480"/>
              <w:rPr>
                <w:color w:val="auto"/>
              </w:rPr>
            </w:pPr>
            <w:r>
              <w:rPr>
                <w:rFonts w:hint="eastAsia"/>
                <w:color w:val="auto"/>
              </w:rPr>
              <w:t>根据《建设项目环境影响报告表编制技术指南（污染影响类）》，“产业园区外建设项目新增用地且用地范围内含有生态环境保护目标时，应进行生态现状调查”。本项目为</w:t>
            </w:r>
            <w:r>
              <w:rPr>
                <w:rFonts w:hint="eastAsia"/>
                <w:color w:val="auto"/>
                <w:lang w:eastAsia="zh-CN"/>
              </w:rPr>
              <w:t>衡阳桑德凯天再生资源科技有限公司3t/h沼气锅炉改扩建项目</w:t>
            </w:r>
            <w:r>
              <w:rPr>
                <w:rFonts w:hint="eastAsia"/>
                <w:color w:val="auto"/>
              </w:rPr>
              <w:t>项目，位于</w:t>
            </w:r>
            <w:r>
              <w:rPr>
                <w:bCs/>
                <w:color w:val="auto"/>
              </w:rPr>
              <w:t>湖南省衡阳市衡阳县集兵镇太栗村罗坪组</w:t>
            </w:r>
            <w:r>
              <w:rPr>
                <w:rFonts w:hint="eastAsia"/>
                <w:color w:val="auto"/>
              </w:rPr>
              <w:t>，在现有项目场地红线内，未新增用地且用地范围内无生态环境保护目标，因此本次评价不对生态环境质量现状进行评价分析。</w:t>
            </w:r>
          </w:p>
          <w:p>
            <w:pPr>
              <w:adjustRightInd w:val="0"/>
              <w:snapToGrid w:val="0"/>
              <w:ind w:firstLine="0" w:firstLineChars="0"/>
              <w:rPr>
                <w:bCs/>
                <w:color w:val="auto"/>
              </w:rPr>
            </w:pPr>
            <w:r>
              <w:rPr>
                <w:rFonts w:hint="eastAsia"/>
                <w:b/>
                <w:color w:val="auto"/>
              </w:rPr>
              <w:t>6</w:t>
            </w:r>
            <w:r>
              <w:rPr>
                <w:b/>
                <w:color w:val="auto"/>
              </w:rPr>
              <w:t>、电</w:t>
            </w:r>
            <w:r>
              <w:rPr>
                <w:rFonts w:hint="eastAsia"/>
                <w:b/>
                <w:color w:val="auto"/>
              </w:rPr>
              <w:t>磁</w:t>
            </w:r>
            <w:r>
              <w:rPr>
                <w:b/>
                <w:color w:val="auto"/>
              </w:rPr>
              <w:t>辐射</w:t>
            </w:r>
          </w:p>
          <w:p>
            <w:pPr>
              <w:adjustRightInd w:val="0"/>
              <w:snapToGrid w:val="0"/>
              <w:ind w:firstLine="480"/>
              <w:rPr>
                <w:b/>
                <w:bCs/>
                <w:color w:val="auto"/>
              </w:rPr>
            </w:pPr>
            <w:r>
              <w:rPr>
                <w:color w:val="auto"/>
              </w:rPr>
              <w:t>本项目不属于电磁辐射类项目，故不进行电磁辐射现状</w:t>
            </w:r>
            <w:r>
              <w:rPr>
                <w:rFonts w:hint="eastAsia"/>
                <w:color w:val="auto"/>
              </w:rPr>
              <w:t>调查</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dxa"/>
            <w:vAlign w:val="center"/>
          </w:tcPr>
          <w:p>
            <w:pPr>
              <w:ind w:firstLine="0" w:firstLineChars="0"/>
              <w:jc w:val="center"/>
              <w:rPr>
                <w:color w:val="auto"/>
              </w:rPr>
            </w:pPr>
            <w:r>
              <w:rPr>
                <w:rFonts w:hint="eastAsia"/>
                <w:color w:val="auto"/>
              </w:rPr>
              <w:t>环境保护目标</w:t>
            </w:r>
          </w:p>
        </w:tc>
        <w:tc>
          <w:tcPr>
            <w:tcW w:w="8062" w:type="dxa"/>
          </w:tcPr>
          <w:p>
            <w:pPr>
              <w:ind w:firstLine="480"/>
              <w:rPr>
                <w:color w:val="auto"/>
              </w:rPr>
            </w:pPr>
            <w:r>
              <w:rPr>
                <w:rFonts w:hint="eastAsia"/>
                <w:color w:val="auto"/>
              </w:rPr>
              <w:t>本项目位于</w:t>
            </w:r>
            <w:r>
              <w:rPr>
                <w:bCs/>
                <w:color w:val="auto"/>
              </w:rPr>
              <w:t>湖南省衡阳市衡阳县集兵镇太栗村罗坪组</w:t>
            </w:r>
            <w:r>
              <w:rPr>
                <w:rFonts w:hint="eastAsia"/>
                <w:color w:val="auto"/>
              </w:rPr>
              <w:t>，根据现场调查，项目附近地表水主要为</w:t>
            </w:r>
            <w:r>
              <w:rPr>
                <w:rFonts w:hint="eastAsia"/>
                <w:bCs/>
                <w:color w:val="auto"/>
              </w:rPr>
              <w:t>三渡河、</w:t>
            </w:r>
            <w:r>
              <w:rPr>
                <w:rFonts w:hint="eastAsia"/>
                <w:color w:val="auto"/>
              </w:rPr>
              <w:t>横江铺河</w:t>
            </w:r>
            <w:r>
              <w:rPr>
                <w:rFonts w:hint="eastAsia"/>
                <w:bCs/>
                <w:color w:val="auto"/>
              </w:rPr>
              <w:t>和湘江</w:t>
            </w:r>
            <w:r>
              <w:rPr>
                <w:rFonts w:hint="eastAsia"/>
                <w:color w:val="auto"/>
              </w:rPr>
              <w:t>，周围无珍稀动植物和文物保护区等。</w:t>
            </w:r>
          </w:p>
          <w:p>
            <w:pPr>
              <w:ind w:firstLine="480"/>
              <w:rPr>
                <w:color w:val="auto"/>
              </w:rPr>
            </w:pPr>
            <w:r>
              <w:rPr>
                <w:rFonts w:hint="eastAsia"/>
                <w:color w:val="auto"/>
              </w:rPr>
              <w:t>本项目主要环境保护目标见表3-4。</w:t>
            </w:r>
          </w:p>
          <w:p>
            <w:pPr>
              <w:spacing w:line="240" w:lineRule="auto"/>
              <w:ind w:firstLine="422"/>
              <w:jc w:val="center"/>
              <w:rPr>
                <w:b/>
                <w:bCs/>
                <w:color w:val="auto"/>
                <w:sz w:val="21"/>
                <w:szCs w:val="21"/>
              </w:rPr>
            </w:pPr>
            <w:r>
              <w:rPr>
                <w:rFonts w:hint="eastAsia"/>
                <w:b/>
                <w:bCs/>
                <w:color w:val="auto"/>
                <w:sz w:val="21"/>
                <w:szCs w:val="21"/>
              </w:rPr>
              <w:t>表3-4  项目主要环境保护目标列表</w:t>
            </w:r>
          </w:p>
          <w:tbl>
            <w:tblPr>
              <w:tblStyle w:val="2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7"/>
              <w:gridCol w:w="840"/>
              <w:gridCol w:w="1033"/>
              <w:gridCol w:w="1755"/>
              <w:gridCol w:w="1779"/>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8" w:type="dxa"/>
                  <w:vAlign w:val="center"/>
                </w:tcPr>
                <w:p>
                  <w:pPr>
                    <w:pStyle w:val="31"/>
                    <w:rPr>
                      <w:color w:val="auto"/>
                    </w:rPr>
                  </w:pPr>
                  <w:r>
                    <w:rPr>
                      <w:rFonts w:hint="eastAsia"/>
                      <w:color w:val="auto"/>
                    </w:rPr>
                    <w:t>项目</w:t>
                  </w:r>
                </w:p>
              </w:tc>
              <w:tc>
                <w:tcPr>
                  <w:tcW w:w="1873" w:type="dxa"/>
                  <w:gridSpan w:val="2"/>
                  <w:vAlign w:val="center"/>
                </w:tcPr>
                <w:p>
                  <w:pPr>
                    <w:pStyle w:val="31"/>
                    <w:rPr>
                      <w:color w:val="auto"/>
                    </w:rPr>
                  </w:pPr>
                  <w:r>
                    <w:rPr>
                      <w:color w:val="auto"/>
                    </w:rPr>
                    <w:t>保护目标</w:t>
                  </w:r>
                </w:p>
              </w:tc>
              <w:tc>
                <w:tcPr>
                  <w:tcW w:w="1755" w:type="dxa"/>
                  <w:vAlign w:val="center"/>
                </w:tcPr>
                <w:p>
                  <w:pPr>
                    <w:pStyle w:val="31"/>
                    <w:rPr>
                      <w:color w:val="auto"/>
                    </w:rPr>
                  </w:pPr>
                  <w:r>
                    <w:rPr>
                      <w:color w:val="auto"/>
                    </w:rPr>
                    <w:t>规模、功能</w:t>
                  </w:r>
                </w:p>
              </w:tc>
              <w:tc>
                <w:tcPr>
                  <w:tcW w:w="1779" w:type="dxa"/>
                  <w:vAlign w:val="center"/>
                </w:tcPr>
                <w:p>
                  <w:pPr>
                    <w:pStyle w:val="31"/>
                    <w:rPr>
                      <w:color w:val="auto"/>
                    </w:rPr>
                  </w:pPr>
                  <w:r>
                    <w:rPr>
                      <w:color w:val="auto"/>
                    </w:rPr>
                    <w:t>对拟建工程厂界方位及距离</w:t>
                  </w:r>
                </w:p>
              </w:tc>
              <w:tc>
                <w:tcPr>
                  <w:tcW w:w="1770" w:type="dxa"/>
                  <w:vAlign w:val="center"/>
                </w:tcPr>
                <w:p>
                  <w:pPr>
                    <w:pStyle w:val="31"/>
                    <w:rPr>
                      <w:color w:val="auto"/>
                    </w:rPr>
                  </w:pPr>
                  <w:r>
                    <w:rPr>
                      <w:rFonts w:hint="eastAsia"/>
                      <w:color w:val="auto"/>
                    </w:rPr>
                    <w:t>环境保护区域标准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 w:hRule="atLeast"/>
                <w:jc w:val="center"/>
              </w:trPr>
              <w:tc>
                <w:tcPr>
                  <w:tcW w:w="658" w:type="dxa"/>
                  <w:vMerge w:val="restart"/>
                  <w:vAlign w:val="center"/>
                </w:tcPr>
                <w:p>
                  <w:pPr>
                    <w:pStyle w:val="31"/>
                    <w:rPr>
                      <w:color w:val="auto"/>
                    </w:rPr>
                  </w:pPr>
                  <w:r>
                    <w:rPr>
                      <w:rFonts w:hint="eastAsia"/>
                      <w:color w:val="auto"/>
                    </w:rPr>
                    <w:t>大气环境</w:t>
                  </w:r>
                </w:p>
              </w:tc>
              <w:tc>
                <w:tcPr>
                  <w:tcW w:w="840" w:type="dxa"/>
                  <w:vMerge w:val="restart"/>
                  <w:vAlign w:val="center"/>
                </w:tcPr>
                <w:p>
                  <w:pPr>
                    <w:pStyle w:val="31"/>
                    <w:rPr>
                      <w:color w:val="auto"/>
                    </w:rPr>
                  </w:pPr>
                  <w:r>
                    <w:rPr>
                      <w:rFonts w:hint="eastAsia"/>
                      <w:color w:val="auto"/>
                    </w:rPr>
                    <w:t>附近散户居民点</w:t>
                  </w:r>
                </w:p>
              </w:tc>
              <w:tc>
                <w:tcPr>
                  <w:tcW w:w="1033" w:type="dxa"/>
                  <w:vAlign w:val="center"/>
                </w:tcPr>
                <w:p>
                  <w:pPr>
                    <w:pStyle w:val="31"/>
                    <w:rPr>
                      <w:color w:val="auto"/>
                    </w:rPr>
                  </w:pPr>
                  <w:r>
                    <w:rPr>
                      <w:rFonts w:hint="eastAsia"/>
                      <w:color w:val="auto"/>
                    </w:rPr>
                    <w:t>居民点1</w:t>
                  </w:r>
                </w:p>
              </w:tc>
              <w:tc>
                <w:tcPr>
                  <w:tcW w:w="1755" w:type="dxa"/>
                  <w:vAlign w:val="center"/>
                </w:tcPr>
                <w:p>
                  <w:pPr>
                    <w:pStyle w:val="31"/>
                    <w:rPr>
                      <w:color w:val="auto"/>
                    </w:rPr>
                  </w:pPr>
                  <w:r>
                    <w:rPr>
                      <w:rFonts w:hint="eastAsia"/>
                      <w:color w:val="auto"/>
                    </w:rPr>
                    <w:t>居住，约4人</w:t>
                  </w:r>
                </w:p>
              </w:tc>
              <w:tc>
                <w:tcPr>
                  <w:tcW w:w="1779" w:type="dxa"/>
                  <w:vAlign w:val="center"/>
                </w:tcPr>
                <w:p>
                  <w:pPr>
                    <w:pStyle w:val="31"/>
                    <w:rPr>
                      <w:color w:val="auto"/>
                    </w:rPr>
                  </w:pPr>
                  <w:r>
                    <w:rPr>
                      <w:rFonts w:hint="eastAsia"/>
                      <w:color w:val="auto"/>
                    </w:rPr>
                    <w:t>W，122m</w:t>
                  </w:r>
                </w:p>
              </w:tc>
              <w:tc>
                <w:tcPr>
                  <w:tcW w:w="1770" w:type="dxa"/>
                  <w:vMerge w:val="restart"/>
                  <w:vAlign w:val="center"/>
                </w:tcPr>
                <w:p>
                  <w:pPr>
                    <w:pStyle w:val="31"/>
                    <w:rPr>
                      <w:color w:val="auto"/>
                    </w:rPr>
                  </w:pPr>
                  <w:r>
                    <w:rPr>
                      <w:rFonts w:hint="eastAsia"/>
                      <w:color w:val="auto"/>
                    </w:rPr>
                    <w:t>《环境空气质量标准》（GB3095-2012及2018修改单）</w:t>
                  </w:r>
                  <w:r>
                    <w:rPr>
                      <w:color w:val="auto"/>
                    </w:rPr>
                    <w:t>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 w:hRule="atLeast"/>
                <w:jc w:val="center"/>
              </w:trPr>
              <w:tc>
                <w:tcPr>
                  <w:tcW w:w="658" w:type="dxa"/>
                  <w:vMerge w:val="continue"/>
                  <w:vAlign w:val="center"/>
                </w:tcPr>
                <w:p>
                  <w:pPr>
                    <w:pStyle w:val="31"/>
                    <w:rPr>
                      <w:color w:val="auto"/>
                    </w:rPr>
                  </w:pPr>
                </w:p>
              </w:tc>
              <w:tc>
                <w:tcPr>
                  <w:tcW w:w="840" w:type="dxa"/>
                  <w:vMerge w:val="continue"/>
                  <w:vAlign w:val="center"/>
                </w:tcPr>
                <w:p>
                  <w:pPr>
                    <w:pStyle w:val="31"/>
                    <w:rPr>
                      <w:color w:val="auto"/>
                    </w:rPr>
                  </w:pPr>
                </w:p>
              </w:tc>
              <w:tc>
                <w:tcPr>
                  <w:tcW w:w="1033" w:type="dxa"/>
                  <w:vAlign w:val="center"/>
                </w:tcPr>
                <w:p>
                  <w:pPr>
                    <w:pStyle w:val="31"/>
                    <w:rPr>
                      <w:color w:val="auto"/>
                    </w:rPr>
                  </w:pPr>
                  <w:r>
                    <w:rPr>
                      <w:rFonts w:hint="eastAsia"/>
                      <w:color w:val="auto"/>
                    </w:rPr>
                    <w:t>居民点2</w:t>
                  </w:r>
                </w:p>
              </w:tc>
              <w:tc>
                <w:tcPr>
                  <w:tcW w:w="1755" w:type="dxa"/>
                  <w:vAlign w:val="center"/>
                </w:tcPr>
                <w:p>
                  <w:pPr>
                    <w:pStyle w:val="31"/>
                    <w:rPr>
                      <w:color w:val="auto"/>
                    </w:rPr>
                  </w:pPr>
                  <w:r>
                    <w:rPr>
                      <w:rFonts w:hint="eastAsia"/>
                      <w:color w:val="auto"/>
                    </w:rPr>
                    <w:t>居住，约3人</w:t>
                  </w:r>
                </w:p>
              </w:tc>
              <w:tc>
                <w:tcPr>
                  <w:tcW w:w="1779" w:type="dxa"/>
                  <w:vAlign w:val="center"/>
                </w:tcPr>
                <w:p>
                  <w:pPr>
                    <w:pStyle w:val="31"/>
                    <w:rPr>
                      <w:color w:val="auto"/>
                    </w:rPr>
                  </w:pPr>
                  <w:r>
                    <w:rPr>
                      <w:rFonts w:hint="eastAsia"/>
                      <w:color w:val="auto"/>
                    </w:rPr>
                    <w:t>W，237m</w:t>
                  </w:r>
                </w:p>
              </w:tc>
              <w:tc>
                <w:tcPr>
                  <w:tcW w:w="1770" w:type="dxa"/>
                  <w:vMerge w:val="continue"/>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 w:hRule="atLeast"/>
                <w:jc w:val="center"/>
              </w:trPr>
              <w:tc>
                <w:tcPr>
                  <w:tcW w:w="658" w:type="dxa"/>
                  <w:vMerge w:val="continue"/>
                  <w:vAlign w:val="center"/>
                </w:tcPr>
                <w:p>
                  <w:pPr>
                    <w:pStyle w:val="31"/>
                    <w:rPr>
                      <w:color w:val="auto"/>
                    </w:rPr>
                  </w:pPr>
                </w:p>
              </w:tc>
              <w:tc>
                <w:tcPr>
                  <w:tcW w:w="840" w:type="dxa"/>
                  <w:vMerge w:val="continue"/>
                  <w:vAlign w:val="center"/>
                </w:tcPr>
                <w:p>
                  <w:pPr>
                    <w:pStyle w:val="31"/>
                    <w:rPr>
                      <w:color w:val="auto"/>
                    </w:rPr>
                  </w:pPr>
                </w:p>
              </w:tc>
              <w:tc>
                <w:tcPr>
                  <w:tcW w:w="1033" w:type="dxa"/>
                  <w:vAlign w:val="center"/>
                </w:tcPr>
                <w:p>
                  <w:pPr>
                    <w:pStyle w:val="31"/>
                    <w:rPr>
                      <w:color w:val="auto"/>
                    </w:rPr>
                  </w:pPr>
                  <w:r>
                    <w:rPr>
                      <w:rFonts w:hint="eastAsia"/>
                      <w:color w:val="auto"/>
                    </w:rPr>
                    <w:t>居民点3</w:t>
                  </w:r>
                </w:p>
              </w:tc>
              <w:tc>
                <w:tcPr>
                  <w:tcW w:w="1755" w:type="dxa"/>
                  <w:vAlign w:val="center"/>
                </w:tcPr>
                <w:p>
                  <w:pPr>
                    <w:pStyle w:val="31"/>
                    <w:rPr>
                      <w:color w:val="auto"/>
                    </w:rPr>
                  </w:pPr>
                  <w:r>
                    <w:rPr>
                      <w:rFonts w:hint="eastAsia"/>
                      <w:color w:val="auto"/>
                    </w:rPr>
                    <w:t>居住，约4人</w:t>
                  </w:r>
                </w:p>
              </w:tc>
              <w:tc>
                <w:tcPr>
                  <w:tcW w:w="1779" w:type="dxa"/>
                  <w:vAlign w:val="center"/>
                </w:tcPr>
                <w:p>
                  <w:pPr>
                    <w:pStyle w:val="31"/>
                    <w:rPr>
                      <w:color w:val="auto"/>
                    </w:rPr>
                  </w:pPr>
                  <w:r>
                    <w:rPr>
                      <w:rFonts w:hint="eastAsia"/>
                      <w:color w:val="auto"/>
                    </w:rPr>
                    <w:t>W，287m</w:t>
                  </w:r>
                </w:p>
              </w:tc>
              <w:tc>
                <w:tcPr>
                  <w:tcW w:w="1770" w:type="dxa"/>
                  <w:vMerge w:val="continue"/>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 w:hRule="atLeast"/>
                <w:jc w:val="center"/>
              </w:trPr>
              <w:tc>
                <w:tcPr>
                  <w:tcW w:w="658" w:type="dxa"/>
                  <w:vMerge w:val="continue"/>
                  <w:vAlign w:val="center"/>
                </w:tcPr>
                <w:p>
                  <w:pPr>
                    <w:pStyle w:val="31"/>
                    <w:rPr>
                      <w:color w:val="auto"/>
                    </w:rPr>
                  </w:pPr>
                </w:p>
              </w:tc>
              <w:tc>
                <w:tcPr>
                  <w:tcW w:w="840" w:type="dxa"/>
                  <w:vMerge w:val="continue"/>
                  <w:vAlign w:val="center"/>
                </w:tcPr>
                <w:p>
                  <w:pPr>
                    <w:pStyle w:val="31"/>
                    <w:rPr>
                      <w:color w:val="auto"/>
                    </w:rPr>
                  </w:pPr>
                </w:p>
              </w:tc>
              <w:tc>
                <w:tcPr>
                  <w:tcW w:w="1033" w:type="dxa"/>
                  <w:vAlign w:val="center"/>
                </w:tcPr>
                <w:p>
                  <w:pPr>
                    <w:pStyle w:val="31"/>
                    <w:rPr>
                      <w:color w:val="auto"/>
                    </w:rPr>
                  </w:pPr>
                  <w:r>
                    <w:rPr>
                      <w:rFonts w:hint="eastAsia"/>
                      <w:color w:val="auto"/>
                    </w:rPr>
                    <w:t>居民点4</w:t>
                  </w:r>
                </w:p>
              </w:tc>
              <w:tc>
                <w:tcPr>
                  <w:tcW w:w="1755" w:type="dxa"/>
                  <w:vAlign w:val="center"/>
                </w:tcPr>
                <w:p>
                  <w:pPr>
                    <w:pStyle w:val="31"/>
                    <w:rPr>
                      <w:color w:val="auto"/>
                    </w:rPr>
                  </w:pPr>
                  <w:r>
                    <w:rPr>
                      <w:rFonts w:hint="eastAsia"/>
                      <w:color w:val="auto"/>
                    </w:rPr>
                    <w:t>居住，约3人</w:t>
                  </w:r>
                </w:p>
              </w:tc>
              <w:tc>
                <w:tcPr>
                  <w:tcW w:w="1779" w:type="dxa"/>
                  <w:vAlign w:val="center"/>
                </w:tcPr>
                <w:p>
                  <w:pPr>
                    <w:pStyle w:val="31"/>
                    <w:rPr>
                      <w:color w:val="auto"/>
                    </w:rPr>
                  </w:pPr>
                  <w:r>
                    <w:rPr>
                      <w:rFonts w:hint="eastAsia"/>
                      <w:color w:val="auto"/>
                    </w:rPr>
                    <w:t>NW，454m</w:t>
                  </w:r>
                </w:p>
              </w:tc>
              <w:tc>
                <w:tcPr>
                  <w:tcW w:w="1770" w:type="dxa"/>
                  <w:vMerge w:val="continue"/>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 w:hRule="atLeast"/>
                <w:jc w:val="center"/>
              </w:trPr>
              <w:tc>
                <w:tcPr>
                  <w:tcW w:w="658" w:type="dxa"/>
                  <w:vMerge w:val="continue"/>
                  <w:vAlign w:val="center"/>
                </w:tcPr>
                <w:p>
                  <w:pPr>
                    <w:pStyle w:val="31"/>
                    <w:rPr>
                      <w:color w:val="auto"/>
                    </w:rPr>
                  </w:pPr>
                </w:p>
              </w:tc>
              <w:tc>
                <w:tcPr>
                  <w:tcW w:w="840" w:type="dxa"/>
                  <w:vMerge w:val="continue"/>
                  <w:vAlign w:val="center"/>
                </w:tcPr>
                <w:p>
                  <w:pPr>
                    <w:pStyle w:val="31"/>
                    <w:rPr>
                      <w:color w:val="auto"/>
                    </w:rPr>
                  </w:pPr>
                </w:p>
              </w:tc>
              <w:tc>
                <w:tcPr>
                  <w:tcW w:w="1033" w:type="dxa"/>
                  <w:vAlign w:val="center"/>
                </w:tcPr>
                <w:p>
                  <w:pPr>
                    <w:pStyle w:val="31"/>
                    <w:rPr>
                      <w:color w:val="auto"/>
                    </w:rPr>
                  </w:pPr>
                  <w:r>
                    <w:rPr>
                      <w:rFonts w:hint="eastAsia"/>
                      <w:color w:val="auto"/>
                    </w:rPr>
                    <w:t>居民点5</w:t>
                  </w:r>
                </w:p>
              </w:tc>
              <w:tc>
                <w:tcPr>
                  <w:tcW w:w="1755" w:type="dxa"/>
                  <w:vAlign w:val="center"/>
                </w:tcPr>
                <w:p>
                  <w:pPr>
                    <w:pStyle w:val="31"/>
                    <w:rPr>
                      <w:color w:val="auto"/>
                    </w:rPr>
                  </w:pPr>
                  <w:r>
                    <w:rPr>
                      <w:rFonts w:hint="eastAsia"/>
                      <w:color w:val="auto"/>
                    </w:rPr>
                    <w:t>居住，约3人</w:t>
                  </w:r>
                </w:p>
              </w:tc>
              <w:tc>
                <w:tcPr>
                  <w:tcW w:w="1779" w:type="dxa"/>
                  <w:vAlign w:val="center"/>
                </w:tcPr>
                <w:p>
                  <w:pPr>
                    <w:pStyle w:val="31"/>
                    <w:rPr>
                      <w:color w:val="auto"/>
                    </w:rPr>
                  </w:pPr>
                  <w:r>
                    <w:rPr>
                      <w:rFonts w:hint="eastAsia"/>
                      <w:color w:val="auto"/>
                    </w:rPr>
                    <w:t>NW，396m</w:t>
                  </w:r>
                </w:p>
              </w:tc>
              <w:tc>
                <w:tcPr>
                  <w:tcW w:w="1770" w:type="dxa"/>
                  <w:vMerge w:val="continue"/>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 w:hRule="atLeast"/>
                <w:jc w:val="center"/>
              </w:trPr>
              <w:tc>
                <w:tcPr>
                  <w:tcW w:w="658" w:type="dxa"/>
                  <w:vMerge w:val="continue"/>
                  <w:vAlign w:val="center"/>
                </w:tcPr>
                <w:p>
                  <w:pPr>
                    <w:pStyle w:val="31"/>
                    <w:rPr>
                      <w:color w:val="auto"/>
                    </w:rPr>
                  </w:pPr>
                </w:p>
              </w:tc>
              <w:tc>
                <w:tcPr>
                  <w:tcW w:w="840" w:type="dxa"/>
                  <w:vMerge w:val="continue"/>
                  <w:vAlign w:val="center"/>
                </w:tcPr>
                <w:p>
                  <w:pPr>
                    <w:pStyle w:val="31"/>
                    <w:rPr>
                      <w:color w:val="auto"/>
                    </w:rPr>
                  </w:pPr>
                </w:p>
              </w:tc>
              <w:tc>
                <w:tcPr>
                  <w:tcW w:w="1033" w:type="dxa"/>
                  <w:vAlign w:val="center"/>
                </w:tcPr>
                <w:p>
                  <w:pPr>
                    <w:pStyle w:val="31"/>
                    <w:rPr>
                      <w:color w:val="auto"/>
                    </w:rPr>
                  </w:pPr>
                  <w:r>
                    <w:rPr>
                      <w:rFonts w:hint="eastAsia"/>
                      <w:color w:val="auto"/>
                    </w:rPr>
                    <w:t>居民点6</w:t>
                  </w:r>
                </w:p>
              </w:tc>
              <w:tc>
                <w:tcPr>
                  <w:tcW w:w="1755" w:type="dxa"/>
                  <w:vAlign w:val="center"/>
                </w:tcPr>
                <w:p>
                  <w:pPr>
                    <w:pStyle w:val="31"/>
                    <w:rPr>
                      <w:color w:val="auto"/>
                    </w:rPr>
                  </w:pPr>
                  <w:r>
                    <w:rPr>
                      <w:rFonts w:hint="eastAsia"/>
                      <w:color w:val="auto"/>
                    </w:rPr>
                    <w:t>居住，约3人</w:t>
                  </w:r>
                </w:p>
              </w:tc>
              <w:tc>
                <w:tcPr>
                  <w:tcW w:w="1779" w:type="dxa"/>
                  <w:vAlign w:val="center"/>
                </w:tcPr>
                <w:p>
                  <w:pPr>
                    <w:pStyle w:val="31"/>
                    <w:rPr>
                      <w:color w:val="auto"/>
                    </w:rPr>
                  </w:pPr>
                  <w:r>
                    <w:rPr>
                      <w:rFonts w:hint="eastAsia"/>
                      <w:color w:val="auto"/>
                    </w:rPr>
                    <w:t>NW，373m</w:t>
                  </w:r>
                </w:p>
              </w:tc>
              <w:tc>
                <w:tcPr>
                  <w:tcW w:w="1770" w:type="dxa"/>
                  <w:vMerge w:val="continue"/>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 w:hRule="atLeast"/>
                <w:jc w:val="center"/>
              </w:trPr>
              <w:tc>
                <w:tcPr>
                  <w:tcW w:w="658" w:type="dxa"/>
                  <w:vMerge w:val="continue"/>
                  <w:vAlign w:val="center"/>
                </w:tcPr>
                <w:p>
                  <w:pPr>
                    <w:pStyle w:val="31"/>
                    <w:rPr>
                      <w:color w:val="auto"/>
                    </w:rPr>
                  </w:pPr>
                </w:p>
              </w:tc>
              <w:tc>
                <w:tcPr>
                  <w:tcW w:w="840" w:type="dxa"/>
                  <w:vMerge w:val="continue"/>
                  <w:vAlign w:val="center"/>
                </w:tcPr>
                <w:p>
                  <w:pPr>
                    <w:pStyle w:val="31"/>
                    <w:rPr>
                      <w:color w:val="auto"/>
                    </w:rPr>
                  </w:pPr>
                </w:p>
              </w:tc>
              <w:tc>
                <w:tcPr>
                  <w:tcW w:w="1033" w:type="dxa"/>
                  <w:vAlign w:val="center"/>
                </w:tcPr>
                <w:p>
                  <w:pPr>
                    <w:pStyle w:val="31"/>
                    <w:rPr>
                      <w:color w:val="auto"/>
                    </w:rPr>
                  </w:pPr>
                  <w:r>
                    <w:rPr>
                      <w:rFonts w:hint="eastAsia"/>
                      <w:color w:val="auto"/>
                    </w:rPr>
                    <w:t>居民点7</w:t>
                  </w:r>
                </w:p>
              </w:tc>
              <w:tc>
                <w:tcPr>
                  <w:tcW w:w="1755" w:type="dxa"/>
                  <w:vAlign w:val="center"/>
                </w:tcPr>
                <w:p>
                  <w:pPr>
                    <w:pStyle w:val="31"/>
                    <w:rPr>
                      <w:color w:val="auto"/>
                    </w:rPr>
                  </w:pPr>
                  <w:r>
                    <w:rPr>
                      <w:rFonts w:hint="eastAsia"/>
                      <w:color w:val="auto"/>
                    </w:rPr>
                    <w:t>居住，约8人</w:t>
                  </w:r>
                </w:p>
              </w:tc>
              <w:tc>
                <w:tcPr>
                  <w:tcW w:w="1779" w:type="dxa"/>
                  <w:vAlign w:val="center"/>
                </w:tcPr>
                <w:p>
                  <w:pPr>
                    <w:pStyle w:val="31"/>
                    <w:rPr>
                      <w:color w:val="auto"/>
                    </w:rPr>
                  </w:pPr>
                  <w:r>
                    <w:rPr>
                      <w:rFonts w:hint="eastAsia"/>
                      <w:color w:val="auto"/>
                    </w:rPr>
                    <w:t>NW，389m</w:t>
                  </w:r>
                </w:p>
              </w:tc>
              <w:tc>
                <w:tcPr>
                  <w:tcW w:w="1770" w:type="dxa"/>
                  <w:vMerge w:val="continue"/>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 w:hRule="atLeast"/>
                <w:jc w:val="center"/>
              </w:trPr>
              <w:tc>
                <w:tcPr>
                  <w:tcW w:w="658" w:type="dxa"/>
                  <w:vMerge w:val="continue"/>
                  <w:vAlign w:val="center"/>
                </w:tcPr>
                <w:p>
                  <w:pPr>
                    <w:pStyle w:val="31"/>
                    <w:rPr>
                      <w:color w:val="auto"/>
                    </w:rPr>
                  </w:pPr>
                </w:p>
              </w:tc>
              <w:tc>
                <w:tcPr>
                  <w:tcW w:w="840" w:type="dxa"/>
                  <w:vMerge w:val="continue"/>
                  <w:vAlign w:val="center"/>
                </w:tcPr>
                <w:p>
                  <w:pPr>
                    <w:pStyle w:val="31"/>
                    <w:rPr>
                      <w:color w:val="auto"/>
                    </w:rPr>
                  </w:pPr>
                </w:p>
              </w:tc>
              <w:tc>
                <w:tcPr>
                  <w:tcW w:w="1033" w:type="dxa"/>
                  <w:vAlign w:val="center"/>
                </w:tcPr>
                <w:p>
                  <w:pPr>
                    <w:pStyle w:val="31"/>
                    <w:rPr>
                      <w:color w:val="auto"/>
                    </w:rPr>
                  </w:pPr>
                  <w:r>
                    <w:rPr>
                      <w:rFonts w:hint="eastAsia"/>
                      <w:color w:val="auto"/>
                    </w:rPr>
                    <w:t>居民点8</w:t>
                  </w:r>
                </w:p>
              </w:tc>
              <w:tc>
                <w:tcPr>
                  <w:tcW w:w="1755" w:type="dxa"/>
                  <w:vAlign w:val="center"/>
                </w:tcPr>
                <w:p>
                  <w:pPr>
                    <w:pStyle w:val="31"/>
                    <w:rPr>
                      <w:color w:val="auto"/>
                    </w:rPr>
                  </w:pPr>
                  <w:r>
                    <w:rPr>
                      <w:rFonts w:hint="eastAsia"/>
                      <w:color w:val="auto"/>
                    </w:rPr>
                    <w:t>居住，约3人</w:t>
                  </w:r>
                </w:p>
              </w:tc>
              <w:tc>
                <w:tcPr>
                  <w:tcW w:w="1779" w:type="dxa"/>
                  <w:vAlign w:val="center"/>
                </w:tcPr>
                <w:p>
                  <w:pPr>
                    <w:pStyle w:val="31"/>
                    <w:rPr>
                      <w:color w:val="auto"/>
                    </w:rPr>
                  </w:pPr>
                  <w:r>
                    <w:rPr>
                      <w:rFonts w:hint="eastAsia"/>
                      <w:color w:val="auto"/>
                    </w:rPr>
                    <w:t>N，457m</w:t>
                  </w:r>
                </w:p>
              </w:tc>
              <w:tc>
                <w:tcPr>
                  <w:tcW w:w="1770" w:type="dxa"/>
                  <w:vMerge w:val="continue"/>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 w:hRule="atLeast"/>
                <w:jc w:val="center"/>
              </w:trPr>
              <w:tc>
                <w:tcPr>
                  <w:tcW w:w="658" w:type="dxa"/>
                  <w:vMerge w:val="continue"/>
                  <w:vAlign w:val="center"/>
                </w:tcPr>
                <w:p>
                  <w:pPr>
                    <w:pStyle w:val="31"/>
                    <w:rPr>
                      <w:color w:val="auto"/>
                    </w:rPr>
                  </w:pPr>
                </w:p>
              </w:tc>
              <w:tc>
                <w:tcPr>
                  <w:tcW w:w="840" w:type="dxa"/>
                  <w:vMerge w:val="continue"/>
                  <w:vAlign w:val="center"/>
                </w:tcPr>
                <w:p>
                  <w:pPr>
                    <w:pStyle w:val="31"/>
                    <w:rPr>
                      <w:color w:val="auto"/>
                    </w:rPr>
                  </w:pPr>
                </w:p>
              </w:tc>
              <w:tc>
                <w:tcPr>
                  <w:tcW w:w="1033" w:type="dxa"/>
                  <w:vAlign w:val="center"/>
                </w:tcPr>
                <w:p>
                  <w:pPr>
                    <w:pStyle w:val="31"/>
                    <w:rPr>
                      <w:color w:val="auto"/>
                    </w:rPr>
                  </w:pPr>
                  <w:r>
                    <w:rPr>
                      <w:rFonts w:hint="eastAsia"/>
                      <w:color w:val="auto"/>
                    </w:rPr>
                    <w:t>居民点9</w:t>
                  </w:r>
                </w:p>
              </w:tc>
              <w:tc>
                <w:tcPr>
                  <w:tcW w:w="1755" w:type="dxa"/>
                  <w:vAlign w:val="center"/>
                </w:tcPr>
                <w:p>
                  <w:pPr>
                    <w:pStyle w:val="31"/>
                    <w:rPr>
                      <w:color w:val="auto"/>
                    </w:rPr>
                  </w:pPr>
                  <w:r>
                    <w:rPr>
                      <w:rFonts w:hint="eastAsia"/>
                      <w:color w:val="auto"/>
                    </w:rPr>
                    <w:t>居住，约3人</w:t>
                  </w:r>
                </w:p>
              </w:tc>
              <w:tc>
                <w:tcPr>
                  <w:tcW w:w="1779" w:type="dxa"/>
                  <w:vAlign w:val="center"/>
                </w:tcPr>
                <w:p>
                  <w:pPr>
                    <w:pStyle w:val="31"/>
                    <w:rPr>
                      <w:color w:val="auto"/>
                    </w:rPr>
                  </w:pPr>
                  <w:r>
                    <w:rPr>
                      <w:rFonts w:hint="eastAsia"/>
                      <w:color w:val="auto"/>
                    </w:rPr>
                    <w:t>N，499m</w:t>
                  </w:r>
                </w:p>
              </w:tc>
              <w:tc>
                <w:tcPr>
                  <w:tcW w:w="1770" w:type="dxa"/>
                  <w:vMerge w:val="continue"/>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658" w:type="dxa"/>
                  <w:vAlign w:val="center"/>
                </w:tcPr>
                <w:p>
                  <w:pPr>
                    <w:pStyle w:val="31"/>
                    <w:rPr>
                      <w:color w:val="auto"/>
                    </w:rPr>
                  </w:pPr>
                  <w:r>
                    <w:rPr>
                      <w:rFonts w:hint="eastAsia"/>
                      <w:color w:val="auto"/>
                    </w:rPr>
                    <w:t>声环境</w:t>
                  </w:r>
                </w:p>
              </w:tc>
              <w:tc>
                <w:tcPr>
                  <w:tcW w:w="5407" w:type="dxa"/>
                  <w:gridSpan w:val="4"/>
                  <w:vAlign w:val="center"/>
                </w:tcPr>
                <w:p>
                  <w:pPr>
                    <w:pStyle w:val="31"/>
                    <w:rPr>
                      <w:color w:val="auto"/>
                    </w:rPr>
                  </w:pPr>
                  <w:r>
                    <w:rPr>
                      <w:rFonts w:hint="eastAsia"/>
                      <w:color w:val="auto"/>
                    </w:rPr>
                    <w:t>本项目50m范围内无声环境保护目标</w:t>
                  </w:r>
                </w:p>
              </w:tc>
              <w:tc>
                <w:tcPr>
                  <w:tcW w:w="1770" w:type="dxa"/>
                  <w:vAlign w:val="center"/>
                </w:tcPr>
                <w:p>
                  <w:pPr>
                    <w:pStyle w:val="31"/>
                    <w:rPr>
                      <w:color w:val="auto"/>
                    </w:rPr>
                  </w:pPr>
                  <w:r>
                    <w:rPr>
                      <w:rFonts w:hint="eastAsia"/>
                      <w:color w:val="auto"/>
                    </w:rPr>
                    <w:t>《声环境质量标准》（GB3096-2008）中2类标准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58" w:type="dxa"/>
                  <w:vMerge w:val="restart"/>
                  <w:vAlign w:val="center"/>
                </w:tcPr>
                <w:p>
                  <w:pPr>
                    <w:pStyle w:val="31"/>
                    <w:rPr>
                      <w:color w:val="auto"/>
                    </w:rPr>
                  </w:pPr>
                  <w:r>
                    <w:rPr>
                      <w:rFonts w:hint="eastAsia"/>
                      <w:color w:val="auto"/>
                    </w:rPr>
                    <w:t>地表水环境</w:t>
                  </w:r>
                </w:p>
              </w:tc>
              <w:tc>
                <w:tcPr>
                  <w:tcW w:w="1873" w:type="dxa"/>
                  <w:gridSpan w:val="2"/>
                  <w:vAlign w:val="center"/>
                </w:tcPr>
                <w:p>
                  <w:pPr>
                    <w:pStyle w:val="31"/>
                    <w:rPr>
                      <w:color w:val="auto"/>
                    </w:rPr>
                  </w:pPr>
                  <w:r>
                    <w:rPr>
                      <w:rFonts w:hint="eastAsia"/>
                      <w:color w:val="auto"/>
                    </w:rPr>
                    <w:t>三渡河</w:t>
                  </w:r>
                </w:p>
              </w:tc>
              <w:tc>
                <w:tcPr>
                  <w:tcW w:w="1755" w:type="dxa"/>
                  <w:vAlign w:val="center"/>
                </w:tcPr>
                <w:p>
                  <w:pPr>
                    <w:pStyle w:val="31"/>
                    <w:rPr>
                      <w:color w:val="auto"/>
                    </w:rPr>
                  </w:pPr>
                  <w:r>
                    <w:rPr>
                      <w:rFonts w:hint="eastAsia"/>
                      <w:color w:val="auto"/>
                    </w:rPr>
                    <w:t>农田灌溉</w:t>
                  </w:r>
                </w:p>
              </w:tc>
              <w:tc>
                <w:tcPr>
                  <w:tcW w:w="1779" w:type="dxa"/>
                  <w:vAlign w:val="center"/>
                </w:tcPr>
                <w:p>
                  <w:pPr>
                    <w:pStyle w:val="31"/>
                    <w:rPr>
                      <w:color w:val="auto"/>
                    </w:rPr>
                  </w:pPr>
                  <w:r>
                    <w:rPr>
                      <w:rFonts w:hint="eastAsia"/>
                      <w:color w:val="auto"/>
                    </w:rPr>
                    <w:t>NE，约587m</w:t>
                  </w:r>
                </w:p>
              </w:tc>
              <w:tc>
                <w:tcPr>
                  <w:tcW w:w="1770" w:type="dxa"/>
                  <w:vAlign w:val="center"/>
                </w:tcPr>
                <w:p>
                  <w:pPr>
                    <w:pStyle w:val="31"/>
                    <w:rPr>
                      <w:color w:val="auto"/>
                    </w:rPr>
                  </w:pPr>
                  <w:r>
                    <w:rPr>
                      <w:rFonts w:hint="eastAsia"/>
                      <w:color w:val="auto"/>
                    </w:rPr>
                    <w:t>《农田灌溉水质标准值》（GB 5084—2021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658" w:type="dxa"/>
                  <w:vMerge w:val="continue"/>
                  <w:vAlign w:val="center"/>
                </w:tcPr>
                <w:p>
                  <w:pPr>
                    <w:pStyle w:val="31"/>
                    <w:rPr>
                      <w:color w:val="auto"/>
                    </w:rPr>
                  </w:pPr>
                </w:p>
              </w:tc>
              <w:tc>
                <w:tcPr>
                  <w:tcW w:w="1873" w:type="dxa"/>
                  <w:gridSpan w:val="2"/>
                  <w:vAlign w:val="center"/>
                </w:tcPr>
                <w:p>
                  <w:pPr>
                    <w:pStyle w:val="31"/>
                    <w:rPr>
                      <w:color w:val="auto"/>
                    </w:rPr>
                  </w:pPr>
                  <w:r>
                    <w:rPr>
                      <w:rFonts w:hint="eastAsia"/>
                      <w:color w:val="auto"/>
                    </w:rPr>
                    <w:t>横江铺河</w:t>
                  </w:r>
                </w:p>
              </w:tc>
              <w:tc>
                <w:tcPr>
                  <w:tcW w:w="1755" w:type="dxa"/>
                  <w:vAlign w:val="center"/>
                </w:tcPr>
                <w:p>
                  <w:pPr>
                    <w:pStyle w:val="31"/>
                    <w:rPr>
                      <w:color w:val="auto"/>
                    </w:rPr>
                  </w:pPr>
                  <w:r>
                    <w:rPr>
                      <w:rFonts w:hint="eastAsia"/>
                      <w:color w:val="auto"/>
                    </w:rPr>
                    <w:t>/</w:t>
                  </w:r>
                </w:p>
              </w:tc>
              <w:tc>
                <w:tcPr>
                  <w:tcW w:w="1779" w:type="dxa"/>
                  <w:vAlign w:val="center"/>
                </w:tcPr>
                <w:p>
                  <w:pPr>
                    <w:pStyle w:val="31"/>
                    <w:rPr>
                      <w:color w:val="auto"/>
                    </w:rPr>
                  </w:pPr>
                  <w:r>
                    <w:rPr>
                      <w:rFonts w:hint="eastAsia"/>
                      <w:color w:val="auto"/>
                    </w:rPr>
                    <w:t>SW，约1185m</w:t>
                  </w:r>
                </w:p>
              </w:tc>
              <w:tc>
                <w:tcPr>
                  <w:tcW w:w="1770" w:type="dxa"/>
                  <w:vMerge w:val="restart"/>
                  <w:vAlign w:val="center"/>
                </w:tcPr>
                <w:p>
                  <w:pPr>
                    <w:pStyle w:val="31"/>
                    <w:rPr>
                      <w:color w:val="auto"/>
                    </w:rPr>
                  </w:pPr>
                  <w:r>
                    <w:rPr>
                      <w:rFonts w:hint="eastAsia"/>
                      <w:color w:val="auto"/>
                    </w:rPr>
                    <w:t>《地表水环境质量标准》（GB3838-2002）III类标准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658" w:type="dxa"/>
                  <w:vMerge w:val="continue"/>
                  <w:vAlign w:val="center"/>
                </w:tcPr>
                <w:p>
                  <w:pPr>
                    <w:pStyle w:val="31"/>
                    <w:rPr>
                      <w:color w:val="auto"/>
                    </w:rPr>
                  </w:pPr>
                </w:p>
              </w:tc>
              <w:tc>
                <w:tcPr>
                  <w:tcW w:w="1873" w:type="dxa"/>
                  <w:gridSpan w:val="2"/>
                  <w:vAlign w:val="center"/>
                </w:tcPr>
                <w:p>
                  <w:pPr>
                    <w:pStyle w:val="31"/>
                    <w:rPr>
                      <w:color w:val="auto"/>
                    </w:rPr>
                  </w:pPr>
                  <w:r>
                    <w:rPr>
                      <w:rFonts w:hint="eastAsia"/>
                      <w:color w:val="auto"/>
                    </w:rPr>
                    <w:t>湘江</w:t>
                  </w:r>
                </w:p>
              </w:tc>
              <w:tc>
                <w:tcPr>
                  <w:tcW w:w="1755" w:type="dxa"/>
                  <w:vAlign w:val="center"/>
                </w:tcPr>
                <w:p>
                  <w:pPr>
                    <w:pStyle w:val="31"/>
                    <w:rPr>
                      <w:color w:val="auto"/>
                    </w:rPr>
                  </w:pPr>
                  <w:r>
                    <w:rPr>
                      <w:rFonts w:hint="eastAsia"/>
                      <w:color w:val="auto"/>
                    </w:rPr>
                    <w:t>III类水体（工业、渔业、景观娱乐用水区）</w:t>
                  </w:r>
                </w:p>
              </w:tc>
              <w:tc>
                <w:tcPr>
                  <w:tcW w:w="1779" w:type="dxa"/>
                  <w:vAlign w:val="center"/>
                </w:tcPr>
                <w:p>
                  <w:pPr>
                    <w:pStyle w:val="31"/>
                    <w:rPr>
                      <w:color w:val="auto"/>
                    </w:rPr>
                  </w:pPr>
                  <w:r>
                    <w:rPr>
                      <w:rFonts w:hint="eastAsia"/>
                      <w:color w:val="auto"/>
                    </w:rPr>
                    <w:t>SE，约2640m</w:t>
                  </w:r>
                </w:p>
              </w:tc>
              <w:tc>
                <w:tcPr>
                  <w:tcW w:w="1770" w:type="dxa"/>
                  <w:vMerge w:val="continue"/>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658" w:type="dxa"/>
                  <w:vAlign w:val="center"/>
                </w:tcPr>
                <w:p>
                  <w:pPr>
                    <w:pStyle w:val="31"/>
                    <w:rPr>
                      <w:color w:val="auto"/>
                    </w:rPr>
                  </w:pPr>
                  <w:r>
                    <w:rPr>
                      <w:rFonts w:hint="eastAsia"/>
                      <w:color w:val="auto"/>
                    </w:rPr>
                    <w:t>地下水环境</w:t>
                  </w:r>
                </w:p>
              </w:tc>
              <w:tc>
                <w:tcPr>
                  <w:tcW w:w="7177" w:type="dxa"/>
                  <w:gridSpan w:val="5"/>
                  <w:vAlign w:val="center"/>
                </w:tcPr>
                <w:p>
                  <w:pPr>
                    <w:pStyle w:val="31"/>
                    <w:rPr>
                      <w:color w:val="auto"/>
                    </w:rPr>
                  </w:pPr>
                  <w:r>
                    <w:rPr>
                      <w:rFonts w:hint="eastAsia"/>
                      <w:color w:val="auto"/>
                      <w:szCs w:val="21"/>
                    </w:rPr>
                    <w:t>本项目厂界外500米范围内无地下水集中式饮用水水源和热水、矿泉水、温泉等特殊地下水资源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8" w:type="dxa"/>
                  <w:vAlign w:val="center"/>
                </w:tcPr>
                <w:p>
                  <w:pPr>
                    <w:pStyle w:val="31"/>
                    <w:rPr>
                      <w:color w:val="auto"/>
                    </w:rPr>
                  </w:pPr>
                  <w:r>
                    <w:rPr>
                      <w:rFonts w:hint="eastAsia"/>
                      <w:color w:val="auto"/>
                    </w:rPr>
                    <w:t>生态环境</w:t>
                  </w:r>
                </w:p>
              </w:tc>
              <w:tc>
                <w:tcPr>
                  <w:tcW w:w="7177" w:type="dxa"/>
                  <w:gridSpan w:val="5"/>
                  <w:vAlign w:val="center"/>
                </w:tcPr>
                <w:p>
                  <w:pPr>
                    <w:pStyle w:val="31"/>
                    <w:rPr>
                      <w:color w:val="auto"/>
                    </w:rPr>
                  </w:pPr>
                  <w:r>
                    <w:rPr>
                      <w:color w:val="auto"/>
                      <w:szCs w:val="21"/>
                    </w:rPr>
                    <w:t>项目不涉及新增用地，无生态环境保护目标</w:t>
                  </w:r>
                </w:p>
              </w:tc>
            </w:tr>
          </w:tbl>
          <w:p>
            <w:pPr>
              <w:spacing w:line="240" w:lineRule="auto"/>
              <w:ind w:firstLine="482"/>
              <w:jc w:val="center"/>
              <w:rPr>
                <w:b/>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dxa"/>
            <w:vAlign w:val="center"/>
          </w:tcPr>
          <w:p>
            <w:pPr>
              <w:ind w:firstLine="0" w:firstLineChars="0"/>
              <w:jc w:val="center"/>
              <w:rPr>
                <w:color w:val="auto"/>
              </w:rPr>
            </w:pPr>
            <w:r>
              <w:rPr>
                <w:rFonts w:hint="eastAsia"/>
                <w:color w:val="auto"/>
              </w:rPr>
              <w:t>污染物排放控制标准</w:t>
            </w:r>
          </w:p>
        </w:tc>
        <w:tc>
          <w:tcPr>
            <w:tcW w:w="8062" w:type="dxa"/>
          </w:tcPr>
          <w:p>
            <w:pPr>
              <w:ind w:firstLine="482"/>
              <w:rPr>
                <w:color w:val="auto"/>
              </w:rPr>
            </w:pPr>
            <w:r>
              <w:rPr>
                <w:rFonts w:hint="eastAsia"/>
                <w:b/>
                <w:bCs/>
                <w:color w:val="auto"/>
              </w:rPr>
              <w:t>1、大气污染物排放标准</w:t>
            </w:r>
          </w:p>
          <w:p>
            <w:pPr>
              <w:ind w:firstLine="480"/>
              <w:rPr>
                <w:color w:val="auto"/>
              </w:rPr>
            </w:pPr>
            <w:r>
              <w:rPr>
                <w:rFonts w:hint="eastAsia"/>
                <w:color w:val="auto"/>
              </w:rPr>
              <w:t>本项目营运期生产废气主要为锅炉的</w:t>
            </w:r>
            <w:r>
              <w:rPr>
                <w:color w:val="auto"/>
              </w:rPr>
              <w:t>燃烧废气</w:t>
            </w:r>
            <w:r>
              <w:rPr>
                <w:rFonts w:hint="eastAsia"/>
                <w:color w:val="auto"/>
              </w:rPr>
              <w:t>，主要污染因子为颗粒物、SO</w:t>
            </w:r>
            <w:r>
              <w:rPr>
                <w:rFonts w:hint="eastAsia"/>
                <w:color w:val="auto"/>
                <w:vertAlign w:val="subscript"/>
              </w:rPr>
              <w:t>2</w:t>
            </w:r>
            <w:r>
              <w:rPr>
                <w:rFonts w:hint="eastAsia"/>
                <w:color w:val="auto"/>
              </w:rPr>
              <w:t>、NOx，</w:t>
            </w:r>
            <w:r>
              <w:rPr>
                <w:color w:val="auto"/>
              </w:rPr>
              <w:t>经排气筒DA001（15m）排放</w:t>
            </w:r>
            <w:r>
              <w:rPr>
                <w:rFonts w:hint="eastAsia"/>
                <w:color w:val="auto"/>
              </w:rPr>
              <w:t>。本项目有组织排放的颗粒物、SO</w:t>
            </w:r>
            <w:r>
              <w:rPr>
                <w:rFonts w:hint="eastAsia"/>
                <w:color w:val="auto"/>
                <w:vertAlign w:val="subscript"/>
              </w:rPr>
              <w:t>2</w:t>
            </w:r>
            <w:r>
              <w:rPr>
                <w:rFonts w:hint="eastAsia"/>
                <w:color w:val="auto"/>
              </w:rPr>
              <w:t>和NOx执行</w:t>
            </w:r>
            <w:r>
              <w:rPr>
                <w:color w:val="auto"/>
              </w:rPr>
              <w:t>《锅炉大气污染物排放标准》(GB13271-2014)中</w:t>
            </w:r>
            <w:r>
              <w:rPr>
                <w:rFonts w:hint="eastAsia"/>
                <w:color w:val="auto"/>
              </w:rPr>
              <w:t>表2燃气锅炉标准；</w:t>
            </w:r>
          </w:p>
          <w:p>
            <w:pPr>
              <w:ind w:firstLine="480"/>
              <w:rPr>
                <w:color w:val="auto"/>
              </w:rPr>
            </w:pPr>
            <w:r>
              <w:rPr>
                <w:rFonts w:hint="eastAsia"/>
                <w:color w:val="auto"/>
              </w:rPr>
              <w:t>本项目有组织废气污染物排放标准详见表35，不涉及无组织废气污染物排放。</w:t>
            </w:r>
          </w:p>
          <w:p>
            <w:pPr>
              <w:pStyle w:val="32"/>
              <w:rPr>
                <w:color w:val="auto"/>
              </w:rPr>
            </w:pPr>
            <w:r>
              <w:rPr>
                <w:rFonts w:hint="eastAsia"/>
                <w:color w:val="auto"/>
              </w:rPr>
              <w:t>表3-5  项目有组织废气污染物排放标准</w:t>
            </w:r>
          </w:p>
          <w:tbl>
            <w:tblPr>
              <w:tblStyle w:val="2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75"/>
              <w:gridCol w:w="1305"/>
              <w:gridCol w:w="1304"/>
              <w:gridCol w:w="1846"/>
              <w:gridCol w:w="826"/>
              <w:gridCol w:w="16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0" w:hRule="atLeast"/>
                <w:jc w:val="center"/>
              </w:trPr>
              <w:tc>
                <w:tcPr>
                  <w:tcW w:w="558" w:type="pct"/>
                  <w:vMerge w:val="restart"/>
                  <w:tcBorders>
                    <w:tl2br w:val="nil"/>
                    <w:tr2bl w:val="nil"/>
                  </w:tcBorders>
                  <w:tcMar>
                    <w:top w:w="15" w:type="dxa"/>
                    <w:left w:w="15" w:type="dxa"/>
                    <w:right w:w="15" w:type="dxa"/>
                  </w:tcMar>
                  <w:vAlign w:val="center"/>
                </w:tcPr>
                <w:p>
                  <w:pPr>
                    <w:pStyle w:val="31"/>
                    <w:rPr>
                      <w:color w:val="auto"/>
                    </w:rPr>
                  </w:pPr>
                  <w:r>
                    <w:rPr>
                      <w:rFonts w:hint="eastAsia"/>
                      <w:color w:val="auto"/>
                    </w:rPr>
                    <w:t>排放口</w:t>
                  </w:r>
                </w:p>
              </w:tc>
              <w:tc>
                <w:tcPr>
                  <w:tcW w:w="832" w:type="pct"/>
                  <w:tcBorders>
                    <w:tl2br w:val="nil"/>
                    <w:tr2bl w:val="nil"/>
                  </w:tcBorders>
                  <w:tcMar>
                    <w:top w:w="15" w:type="dxa"/>
                    <w:left w:w="15" w:type="dxa"/>
                    <w:right w:w="15" w:type="dxa"/>
                  </w:tcMar>
                  <w:vAlign w:val="center"/>
                </w:tcPr>
                <w:p>
                  <w:pPr>
                    <w:pStyle w:val="31"/>
                    <w:rPr>
                      <w:color w:val="auto"/>
                    </w:rPr>
                  </w:pPr>
                  <w:r>
                    <w:rPr>
                      <w:color w:val="auto"/>
                    </w:rPr>
                    <w:t>污染物名称</w:t>
                  </w:r>
                </w:p>
              </w:tc>
              <w:tc>
                <w:tcPr>
                  <w:tcW w:w="832" w:type="pct"/>
                  <w:tcBorders>
                    <w:tl2br w:val="nil"/>
                    <w:tr2bl w:val="nil"/>
                  </w:tcBorders>
                  <w:tcMar>
                    <w:top w:w="15" w:type="dxa"/>
                    <w:left w:w="15" w:type="dxa"/>
                    <w:right w:w="15" w:type="dxa"/>
                  </w:tcMar>
                  <w:vAlign w:val="center"/>
                </w:tcPr>
                <w:p>
                  <w:pPr>
                    <w:pStyle w:val="31"/>
                    <w:rPr>
                      <w:color w:val="auto"/>
                    </w:rPr>
                  </w:pPr>
                  <w:r>
                    <w:rPr>
                      <w:color w:val="auto"/>
                    </w:rPr>
                    <w:t>最高允许排放浓</w:t>
                  </w:r>
                  <w:r>
                    <w:rPr>
                      <w:rFonts w:hint="eastAsia"/>
                      <w:color w:val="auto"/>
                    </w:rPr>
                    <w:t>度</w:t>
                  </w:r>
                  <w:r>
                    <w:rPr>
                      <w:color w:val="auto"/>
                    </w:rPr>
                    <w:t>（mg</w:t>
                  </w:r>
                  <w:r>
                    <w:rPr>
                      <w:rFonts w:hint="eastAsia"/>
                      <w:color w:val="auto"/>
                    </w:rPr>
                    <w:t>/</w:t>
                  </w:r>
                  <w:r>
                    <w:rPr>
                      <w:color w:val="auto"/>
                    </w:rPr>
                    <w:t>m³</w:t>
                  </w:r>
                  <w:r>
                    <w:rPr>
                      <w:rFonts w:hint="eastAsia"/>
                      <w:color w:val="auto"/>
                    </w:rPr>
                    <w:t>）</w:t>
                  </w:r>
                </w:p>
              </w:tc>
              <w:tc>
                <w:tcPr>
                  <w:tcW w:w="1177" w:type="pct"/>
                  <w:tcBorders>
                    <w:tl2br w:val="nil"/>
                    <w:tr2bl w:val="nil"/>
                  </w:tcBorders>
                  <w:noWrap/>
                  <w:tcMar>
                    <w:top w:w="15" w:type="dxa"/>
                    <w:left w:w="15" w:type="dxa"/>
                    <w:right w:w="15" w:type="dxa"/>
                  </w:tcMar>
                  <w:vAlign w:val="center"/>
                </w:tcPr>
                <w:p>
                  <w:pPr>
                    <w:pStyle w:val="31"/>
                    <w:rPr>
                      <w:color w:val="auto"/>
                    </w:rPr>
                  </w:pPr>
                  <w:r>
                    <w:rPr>
                      <w:color w:val="auto"/>
                    </w:rPr>
                    <w:t>排气筒高度（m</w:t>
                  </w:r>
                  <w:r>
                    <w:rPr>
                      <w:rFonts w:hint="eastAsia"/>
                      <w:color w:val="auto"/>
                    </w:rPr>
                    <w:t>）</w:t>
                  </w:r>
                </w:p>
              </w:tc>
              <w:tc>
                <w:tcPr>
                  <w:tcW w:w="526" w:type="pct"/>
                  <w:tcBorders>
                    <w:tl2br w:val="nil"/>
                    <w:tr2bl w:val="nil"/>
                  </w:tcBorders>
                  <w:noWrap/>
                  <w:tcMar>
                    <w:top w:w="15" w:type="dxa"/>
                    <w:left w:w="15" w:type="dxa"/>
                    <w:right w:w="15" w:type="dxa"/>
                  </w:tcMar>
                  <w:vAlign w:val="center"/>
                </w:tcPr>
                <w:p>
                  <w:pPr>
                    <w:pStyle w:val="31"/>
                    <w:rPr>
                      <w:color w:val="auto"/>
                    </w:rPr>
                  </w:pPr>
                  <w:r>
                    <w:rPr>
                      <w:color w:val="auto"/>
                    </w:rPr>
                    <w:t>二级</w:t>
                  </w:r>
                </w:p>
              </w:tc>
              <w:tc>
                <w:tcPr>
                  <w:tcW w:w="1071" w:type="pct"/>
                  <w:vMerge w:val="restart"/>
                  <w:tcBorders>
                    <w:tl2br w:val="nil"/>
                    <w:tr2bl w:val="nil"/>
                  </w:tcBorders>
                  <w:noWrap/>
                  <w:tcMar>
                    <w:top w:w="15" w:type="dxa"/>
                    <w:left w:w="15" w:type="dxa"/>
                    <w:right w:w="15" w:type="dxa"/>
                  </w:tcMar>
                  <w:vAlign w:val="center"/>
                </w:tcPr>
                <w:p>
                  <w:pPr>
                    <w:pStyle w:val="31"/>
                    <w:rPr>
                      <w:color w:val="auto"/>
                    </w:rPr>
                  </w:pPr>
                  <w:r>
                    <w:rPr>
                      <w:color w:val="auto"/>
                    </w:rPr>
                    <w:t>标准名称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 w:hRule="atLeast"/>
                <w:jc w:val="center"/>
              </w:trPr>
              <w:tc>
                <w:tcPr>
                  <w:tcW w:w="558" w:type="pct"/>
                  <w:vMerge w:val="restart"/>
                  <w:tcBorders>
                    <w:tl2br w:val="nil"/>
                    <w:tr2bl w:val="nil"/>
                  </w:tcBorders>
                  <w:noWrap/>
                  <w:tcMar>
                    <w:top w:w="15" w:type="dxa"/>
                    <w:left w:w="15" w:type="dxa"/>
                    <w:right w:w="15" w:type="dxa"/>
                  </w:tcMar>
                  <w:vAlign w:val="center"/>
                </w:tcPr>
                <w:p>
                  <w:pPr>
                    <w:pStyle w:val="31"/>
                    <w:rPr>
                      <w:color w:val="auto"/>
                    </w:rPr>
                  </w:pPr>
                  <w:r>
                    <w:rPr>
                      <w:rFonts w:hint="eastAsia"/>
                      <w:color w:val="auto"/>
                    </w:rPr>
                    <w:t>DA001排气筒</w:t>
                  </w:r>
                </w:p>
              </w:tc>
              <w:tc>
                <w:tcPr>
                  <w:tcW w:w="832" w:type="pct"/>
                  <w:tcBorders>
                    <w:tl2br w:val="nil"/>
                    <w:tr2bl w:val="nil"/>
                  </w:tcBorders>
                  <w:noWrap/>
                  <w:tcMar>
                    <w:top w:w="15" w:type="dxa"/>
                    <w:left w:w="15" w:type="dxa"/>
                    <w:right w:w="15" w:type="dxa"/>
                  </w:tcMar>
                  <w:vAlign w:val="center"/>
                </w:tcPr>
                <w:p>
                  <w:pPr>
                    <w:pStyle w:val="31"/>
                    <w:rPr>
                      <w:color w:val="auto"/>
                    </w:rPr>
                  </w:pPr>
                  <w:r>
                    <w:rPr>
                      <w:rFonts w:hint="eastAsia"/>
                      <w:color w:val="auto"/>
                    </w:rPr>
                    <w:t>颗粒物</w:t>
                  </w:r>
                </w:p>
              </w:tc>
              <w:tc>
                <w:tcPr>
                  <w:tcW w:w="832" w:type="pct"/>
                  <w:tcBorders>
                    <w:tl2br w:val="nil"/>
                    <w:tr2bl w:val="nil"/>
                  </w:tcBorders>
                  <w:noWrap/>
                  <w:tcMar>
                    <w:top w:w="15" w:type="dxa"/>
                    <w:left w:w="15" w:type="dxa"/>
                    <w:right w:w="15" w:type="dxa"/>
                  </w:tcMar>
                  <w:vAlign w:val="center"/>
                </w:tcPr>
                <w:p>
                  <w:pPr>
                    <w:pStyle w:val="31"/>
                    <w:rPr>
                      <w:color w:val="auto"/>
                    </w:rPr>
                  </w:pPr>
                  <w:r>
                    <w:rPr>
                      <w:rFonts w:hint="eastAsia"/>
                      <w:color w:val="auto"/>
                    </w:rPr>
                    <w:t>20</w:t>
                  </w:r>
                </w:p>
              </w:tc>
              <w:tc>
                <w:tcPr>
                  <w:tcW w:w="1177" w:type="pct"/>
                  <w:tcBorders>
                    <w:tl2br w:val="nil"/>
                    <w:tr2bl w:val="nil"/>
                  </w:tcBorders>
                  <w:noWrap/>
                  <w:tcMar>
                    <w:top w:w="15" w:type="dxa"/>
                    <w:left w:w="15" w:type="dxa"/>
                    <w:right w:w="15" w:type="dxa"/>
                  </w:tcMar>
                  <w:vAlign w:val="center"/>
                </w:tcPr>
                <w:p>
                  <w:pPr>
                    <w:pStyle w:val="31"/>
                    <w:rPr>
                      <w:color w:val="auto"/>
                    </w:rPr>
                  </w:pPr>
                  <w:r>
                    <w:rPr>
                      <w:rFonts w:hint="eastAsia"/>
                      <w:color w:val="auto"/>
                    </w:rPr>
                    <w:t>15</w:t>
                  </w:r>
                </w:p>
              </w:tc>
              <w:tc>
                <w:tcPr>
                  <w:tcW w:w="526" w:type="pct"/>
                  <w:tcBorders>
                    <w:tl2br w:val="nil"/>
                    <w:tr2bl w:val="nil"/>
                  </w:tcBorders>
                  <w:noWrap/>
                  <w:tcMar>
                    <w:top w:w="15" w:type="dxa"/>
                    <w:left w:w="15" w:type="dxa"/>
                    <w:right w:w="15" w:type="dxa"/>
                  </w:tcMar>
                  <w:vAlign w:val="center"/>
                </w:tcPr>
                <w:p>
                  <w:pPr>
                    <w:pStyle w:val="31"/>
                    <w:rPr>
                      <w:color w:val="auto"/>
                    </w:rPr>
                  </w:pPr>
                  <w:r>
                    <w:rPr>
                      <w:rFonts w:hint="eastAsia"/>
                      <w:color w:val="auto"/>
                    </w:rPr>
                    <w:t>/</w:t>
                  </w:r>
                </w:p>
              </w:tc>
              <w:tc>
                <w:tcPr>
                  <w:tcW w:w="1071" w:type="pct"/>
                  <w:vMerge w:val="restart"/>
                  <w:tcBorders>
                    <w:tl2br w:val="nil"/>
                    <w:tr2bl w:val="nil"/>
                  </w:tcBorders>
                  <w:tcMar>
                    <w:top w:w="15" w:type="dxa"/>
                    <w:left w:w="15" w:type="dxa"/>
                    <w:right w:w="15" w:type="dxa"/>
                  </w:tcMar>
                  <w:vAlign w:val="center"/>
                </w:tcPr>
                <w:p>
                  <w:pPr>
                    <w:pStyle w:val="31"/>
                    <w:rPr>
                      <w:color w:val="auto"/>
                    </w:rPr>
                  </w:pPr>
                  <w:r>
                    <w:rPr>
                      <w:color w:val="auto"/>
                    </w:rPr>
                    <w:t>《锅炉大气污染物排放标准》(GB13271-2014)中</w:t>
                  </w:r>
                  <w:r>
                    <w:rPr>
                      <w:rFonts w:hint="eastAsia"/>
                      <w:color w:val="auto"/>
                    </w:rPr>
                    <w:t>表2燃气锅炉标准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 w:hRule="atLeast"/>
                <w:jc w:val="center"/>
              </w:trPr>
              <w:tc>
                <w:tcPr>
                  <w:tcW w:w="558" w:type="pct"/>
                  <w:vMerge w:val="continue"/>
                  <w:tcBorders>
                    <w:tl2br w:val="nil"/>
                    <w:tr2bl w:val="nil"/>
                  </w:tcBorders>
                  <w:noWrap/>
                  <w:tcMar>
                    <w:top w:w="15" w:type="dxa"/>
                    <w:left w:w="15" w:type="dxa"/>
                    <w:right w:w="15" w:type="dxa"/>
                  </w:tcMar>
                  <w:vAlign w:val="center"/>
                </w:tcPr>
                <w:p>
                  <w:pPr>
                    <w:pStyle w:val="31"/>
                    <w:rPr>
                      <w:color w:val="auto"/>
                    </w:rPr>
                  </w:pPr>
                </w:p>
              </w:tc>
              <w:tc>
                <w:tcPr>
                  <w:tcW w:w="832" w:type="pct"/>
                  <w:tcBorders>
                    <w:tl2br w:val="nil"/>
                    <w:tr2bl w:val="nil"/>
                  </w:tcBorders>
                  <w:noWrap/>
                  <w:tcMar>
                    <w:top w:w="15" w:type="dxa"/>
                    <w:left w:w="15" w:type="dxa"/>
                    <w:right w:w="15" w:type="dxa"/>
                  </w:tcMar>
                  <w:vAlign w:val="center"/>
                </w:tcPr>
                <w:p>
                  <w:pPr>
                    <w:pStyle w:val="31"/>
                    <w:rPr>
                      <w:color w:val="auto"/>
                    </w:rPr>
                  </w:pPr>
                  <w:r>
                    <w:rPr>
                      <w:color w:val="auto"/>
                    </w:rPr>
                    <w:t>SO</w:t>
                  </w:r>
                  <w:r>
                    <w:rPr>
                      <w:color w:val="auto"/>
                      <w:vertAlign w:val="subscript"/>
                    </w:rPr>
                    <w:t>2</w:t>
                  </w:r>
                </w:p>
              </w:tc>
              <w:tc>
                <w:tcPr>
                  <w:tcW w:w="832" w:type="pct"/>
                  <w:tcBorders>
                    <w:tl2br w:val="nil"/>
                    <w:tr2bl w:val="nil"/>
                  </w:tcBorders>
                  <w:noWrap/>
                  <w:tcMar>
                    <w:top w:w="15" w:type="dxa"/>
                    <w:left w:w="15" w:type="dxa"/>
                    <w:right w:w="15" w:type="dxa"/>
                  </w:tcMar>
                  <w:vAlign w:val="center"/>
                </w:tcPr>
                <w:p>
                  <w:pPr>
                    <w:pStyle w:val="31"/>
                    <w:rPr>
                      <w:color w:val="auto"/>
                    </w:rPr>
                  </w:pPr>
                  <w:r>
                    <w:rPr>
                      <w:rFonts w:hint="eastAsia"/>
                      <w:color w:val="auto"/>
                    </w:rPr>
                    <w:t>50</w:t>
                  </w:r>
                </w:p>
              </w:tc>
              <w:tc>
                <w:tcPr>
                  <w:tcW w:w="1177" w:type="pct"/>
                  <w:tcBorders>
                    <w:tl2br w:val="nil"/>
                    <w:tr2bl w:val="nil"/>
                  </w:tcBorders>
                  <w:noWrap/>
                  <w:tcMar>
                    <w:top w:w="15" w:type="dxa"/>
                    <w:left w:w="15" w:type="dxa"/>
                    <w:right w:w="15" w:type="dxa"/>
                  </w:tcMar>
                  <w:vAlign w:val="center"/>
                </w:tcPr>
                <w:p>
                  <w:pPr>
                    <w:pStyle w:val="31"/>
                    <w:rPr>
                      <w:color w:val="auto"/>
                    </w:rPr>
                  </w:pPr>
                  <w:r>
                    <w:rPr>
                      <w:rFonts w:hint="eastAsia"/>
                      <w:color w:val="auto"/>
                    </w:rPr>
                    <w:t>15</w:t>
                  </w:r>
                </w:p>
              </w:tc>
              <w:tc>
                <w:tcPr>
                  <w:tcW w:w="526" w:type="pct"/>
                  <w:tcBorders>
                    <w:tl2br w:val="nil"/>
                    <w:tr2bl w:val="nil"/>
                  </w:tcBorders>
                  <w:noWrap/>
                  <w:tcMar>
                    <w:top w:w="15" w:type="dxa"/>
                    <w:left w:w="15" w:type="dxa"/>
                    <w:right w:w="15" w:type="dxa"/>
                  </w:tcMar>
                  <w:vAlign w:val="center"/>
                </w:tcPr>
                <w:p>
                  <w:pPr>
                    <w:pStyle w:val="31"/>
                    <w:rPr>
                      <w:color w:val="auto"/>
                    </w:rPr>
                  </w:pPr>
                  <w:r>
                    <w:rPr>
                      <w:rFonts w:hint="eastAsia"/>
                      <w:color w:val="auto"/>
                    </w:rPr>
                    <w:t>/</w:t>
                  </w:r>
                </w:p>
              </w:tc>
              <w:tc>
                <w:tcPr>
                  <w:tcW w:w="1071" w:type="pct"/>
                  <w:vMerge w:val="continue"/>
                  <w:tcBorders>
                    <w:tl2br w:val="nil"/>
                    <w:tr2bl w:val="nil"/>
                  </w:tcBorders>
                  <w:tcMar>
                    <w:top w:w="15" w:type="dxa"/>
                    <w:left w:w="15" w:type="dxa"/>
                    <w:right w:w="15" w:type="dxa"/>
                  </w:tcMar>
                  <w:vAlign w:val="center"/>
                </w:tcPr>
                <w:p>
                  <w:pPr>
                    <w:pStyle w:val="31"/>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 w:hRule="atLeast"/>
                <w:jc w:val="center"/>
              </w:trPr>
              <w:tc>
                <w:tcPr>
                  <w:tcW w:w="558" w:type="pct"/>
                  <w:vMerge w:val="continue"/>
                  <w:tcBorders>
                    <w:tl2br w:val="nil"/>
                    <w:tr2bl w:val="nil"/>
                  </w:tcBorders>
                  <w:noWrap/>
                  <w:tcMar>
                    <w:top w:w="15" w:type="dxa"/>
                    <w:left w:w="15" w:type="dxa"/>
                    <w:right w:w="15" w:type="dxa"/>
                  </w:tcMar>
                  <w:vAlign w:val="center"/>
                </w:tcPr>
                <w:p>
                  <w:pPr>
                    <w:pStyle w:val="31"/>
                    <w:rPr>
                      <w:color w:val="auto"/>
                    </w:rPr>
                  </w:pPr>
                </w:p>
              </w:tc>
              <w:tc>
                <w:tcPr>
                  <w:tcW w:w="832" w:type="pct"/>
                  <w:tcBorders>
                    <w:tl2br w:val="nil"/>
                    <w:tr2bl w:val="nil"/>
                  </w:tcBorders>
                  <w:noWrap/>
                  <w:tcMar>
                    <w:top w:w="15" w:type="dxa"/>
                    <w:left w:w="15" w:type="dxa"/>
                    <w:right w:w="15" w:type="dxa"/>
                  </w:tcMar>
                  <w:vAlign w:val="center"/>
                </w:tcPr>
                <w:p>
                  <w:pPr>
                    <w:pStyle w:val="31"/>
                    <w:rPr>
                      <w:color w:val="auto"/>
                    </w:rPr>
                  </w:pPr>
                  <w:r>
                    <w:rPr>
                      <w:rFonts w:hint="eastAsia"/>
                      <w:color w:val="auto"/>
                    </w:rPr>
                    <w:t>NOx</w:t>
                  </w:r>
                </w:p>
              </w:tc>
              <w:tc>
                <w:tcPr>
                  <w:tcW w:w="832" w:type="pct"/>
                  <w:tcBorders>
                    <w:tl2br w:val="nil"/>
                    <w:tr2bl w:val="nil"/>
                  </w:tcBorders>
                  <w:noWrap/>
                  <w:tcMar>
                    <w:top w:w="15" w:type="dxa"/>
                    <w:left w:w="15" w:type="dxa"/>
                    <w:right w:w="15" w:type="dxa"/>
                  </w:tcMar>
                  <w:vAlign w:val="center"/>
                </w:tcPr>
                <w:p>
                  <w:pPr>
                    <w:pStyle w:val="31"/>
                    <w:rPr>
                      <w:color w:val="auto"/>
                    </w:rPr>
                  </w:pPr>
                  <w:r>
                    <w:rPr>
                      <w:rFonts w:hint="eastAsia"/>
                      <w:color w:val="auto"/>
                    </w:rPr>
                    <w:t>200</w:t>
                  </w:r>
                </w:p>
              </w:tc>
              <w:tc>
                <w:tcPr>
                  <w:tcW w:w="1177" w:type="pct"/>
                  <w:tcBorders>
                    <w:tl2br w:val="nil"/>
                    <w:tr2bl w:val="nil"/>
                  </w:tcBorders>
                  <w:noWrap/>
                  <w:tcMar>
                    <w:top w:w="15" w:type="dxa"/>
                    <w:left w:w="15" w:type="dxa"/>
                    <w:right w:w="15" w:type="dxa"/>
                  </w:tcMar>
                  <w:vAlign w:val="center"/>
                </w:tcPr>
                <w:p>
                  <w:pPr>
                    <w:pStyle w:val="31"/>
                    <w:rPr>
                      <w:color w:val="auto"/>
                    </w:rPr>
                  </w:pPr>
                  <w:r>
                    <w:rPr>
                      <w:rFonts w:hint="eastAsia"/>
                      <w:color w:val="auto"/>
                    </w:rPr>
                    <w:t>15</w:t>
                  </w:r>
                </w:p>
              </w:tc>
              <w:tc>
                <w:tcPr>
                  <w:tcW w:w="526" w:type="pct"/>
                  <w:tcBorders>
                    <w:tl2br w:val="nil"/>
                    <w:tr2bl w:val="nil"/>
                  </w:tcBorders>
                  <w:noWrap/>
                  <w:tcMar>
                    <w:top w:w="15" w:type="dxa"/>
                    <w:left w:w="15" w:type="dxa"/>
                    <w:right w:w="15" w:type="dxa"/>
                  </w:tcMar>
                  <w:vAlign w:val="center"/>
                </w:tcPr>
                <w:p>
                  <w:pPr>
                    <w:pStyle w:val="31"/>
                    <w:rPr>
                      <w:color w:val="auto"/>
                    </w:rPr>
                  </w:pPr>
                  <w:r>
                    <w:rPr>
                      <w:rFonts w:hint="eastAsia"/>
                      <w:color w:val="auto"/>
                    </w:rPr>
                    <w:t>/</w:t>
                  </w:r>
                </w:p>
              </w:tc>
              <w:tc>
                <w:tcPr>
                  <w:tcW w:w="1071" w:type="pct"/>
                  <w:vMerge w:val="continue"/>
                  <w:tcBorders>
                    <w:tl2br w:val="nil"/>
                    <w:tr2bl w:val="nil"/>
                  </w:tcBorders>
                  <w:tcMar>
                    <w:top w:w="15" w:type="dxa"/>
                    <w:left w:w="15" w:type="dxa"/>
                    <w:right w:w="15" w:type="dxa"/>
                  </w:tcMar>
                  <w:vAlign w:val="center"/>
                </w:tcPr>
                <w:p>
                  <w:pPr>
                    <w:pStyle w:val="31"/>
                    <w:rPr>
                      <w:color w:val="auto"/>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72" w:hRule="atLeast"/>
                <w:jc w:val="center"/>
              </w:trPr>
              <w:tc>
                <w:tcPr>
                  <w:tcW w:w="558" w:type="pct"/>
                  <w:vMerge w:val="continue"/>
                  <w:tcBorders>
                    <w:tl2br w:val="nil"/>
                    <w:tr2bl w:val="nil"/>
                  </w:tcBorders>
                  <w:noWrap/>
                  <w:tcMar>
                    <w:top w:w="15" w:type="dxa"/>
                    <w:left w:w="15" w:type="dxa"/>
                    <w:right w:w="15" w:type="dxa"/>
                  </w:tcMar>
                  <w:vAlign w:val="center"/>
                </w:tcPr>
                <w:p>
                  <w:pPr>
                    <w:pStyle w:val="31"/>
                    <w:rPr>
                      <w:color w:val="auto"/>
                    </w:rPr>
                  </w:pPr>
                </w:p>
              </w:tc>
              <w:tc>
                <w:tcPr>
                  <w:tcW w:w="832" w:type="pct"/>
                  <w:tcBorders>
                    <w:tl2br w:val="nil"/>
                    <w:tr2bl w:val="nil"/>
                  </w:tcBorders>
                  <w:noWrap/>
                  <w:tcMar>
                    <w:top w:w="15" w:type="dxa"/>
                    <w:left w:w="15" w:type="dxa"/>
                    <w:right w:w="15" w:type="dxa"/>
                  </w:tcMar>
                  <w:vAlign w:val="center"/>
                </w:tcPr>
                <w:p>
                  <w:pPr>
                    <w:pStyle w:val="31"/>
                    <w:rPr>
                      <w:color w:val="auto"/>
                    </w:rPr>
                  </w:pPr>
                  <w:r>
                    <w:rPr>
                      <w:rFonts w:hint="eastAsia"/>
                      <w:color w:val="auto"/>
                    </w:rPr>
                    <w:t>烟气黑度（林格曼黑度，级）</w:t>
                  </w:r>
                </w:p>
              </w:tc>
              <w:tc>
                <w:tcPr>
                  <w:tcW w:w="2536" w:type="pct"/>
                  <w:gridSpan w:val="3"/>
                  <w:tcBorders>
                    <w:tl2br w:val="nil"/>
                    <w:tr2bl w:val="nil"/>
                  </w:tcBorders>
                  <w:noWrap/>
                  <w:tcMar>
                    <w:top w:w="15" w:type="dxa"/>
                    <w:left w:w="15" w:type="dxa"/>
                    <w:right w:w="15" w:type="dxa"/>
                  </w:tcMar>
                  <w:vAlign w:val="center"/>
                </w:tcPr>
                <w:p>
                  <w:pPr>
                    <w:pStyle w:val="31"/>
                    <w:rPr>
                      <w:color w:val="auto"/>
                    </w:rPr>
                  </w:pPr>
                  <w:r>
                    <w:rPr>
                      <w:color w:val="auto"/>
                    </w:rPr>
                    <w:t>≤</w:t>
                  </w:r>
                  <w:r>
                    <w:rPr>
                      <w:rFonts w:hint="eastAsia"/>
                      <w:color w:val="auto"/>
                    </w:rPr>
                    <w:t>1</w:t>
                  </w:r>
                </w:p>
              </w:tc>
              <w:tc>
                <w:tcPr>
                  <w:tcW w:w="1071" w:type="pct"/>
                  <w:vMerge w:val="continue"/>
                  <w:tcBorders>
                    <w:tl2br w:val="nil"/>
                    <w:tr2bl w:val="nil"/>
                  </w:tcBorders>
                  <w:tcMar>
                    <w:top w:w="15" w:type="dxa"/>
                    <w:left w:w="15" w:type="dxa"/>
                    <w:right w:w="15" w:type="dxa"/>
                  </w:tcMar>
                  <w:vAlign w:val="center"/>
                </w:tcPr>
                <w:p>
                  <w:pPr>
                    <w:pStyle w:val="31"/>
                    <w:rPr>
                      <w:color w:val="auto"/>
                    </w:rPr>
                  </w:pPr>
                </w:p>
              </w:tc>
            </w:tr>
          </w:tbl>
          <w:p>
            <w:pPr>
              <w:pStyle w:val="31"/>
              <w:jc w:val="both"/>
              <w:rPr>
                <w:color w:val="auto"/>
              </w:rPr>
            </w:pPr>
          </w:p>
          <w:p>
            <w:pPr>
              <w:ind w:firstLine="482"/>
              <w:rPr>
                <w:color w:val="auto"/>
              </w:rPr>
            </w:pPr>
            <w:r>
              <w:rPr>
                <w:rFonts w:hint="eastAsia"/>
                <w:b/>
                <w:bCs/>
                <w:color w:val="auto"/>
              </w:rPr>
              <w:t>2、水污染物排放标准</w:t>
            </w:r>
          </w:p>
          <w:p>
            <w:pPr>
              <w:ind w:firstLine="480"/>
              <w:rPr>
                <w:color w:val="auto"/>
              </w:rPr>
            </w:pPr>
            <w:r>
              <w:rPr>
                <w:rFonts w:hint="eastAsia"/>
                <w:bCs/>
                <w:color w:val="auto"/>
                <w:szCs w:val="21"/>
              </w:rPr>
              <w:t>本项目雨污分流，生产废水主要为离子交换树脂再生废水、纯水制备废水及锅炉排水，依托厂区污水处理系统处理，达到《污水综合排放标准》GB8978-1996表4中三级标准后，进入衡阳第二生活垃圾填埋场渗滤液污水处理站进行深化处理。</w:t>
            </w:r>
          </w:p>
          <w:p>
            <w:pPr>
              <w:ind w:firstLine="480"/>
              <w:rPr>
                <w:color w:val="auto"/>
              </w:rPr>
            </w:pPr>
            <w:r>
              <w:rPr>
                <w:rFonts w:hint="eastAsia"/>
                <w:color w:val="auto"/>
              </w:rPr>
              <w:t>本项目废水排放执行标准详见表3-6。</w:t>
            </w:r>
          </w:p>
          <w:p>
            <w:pPr>
              <w:pStyle w:val="32"/>
              <w:rPr>
                <w:color w:val="auto"/>
              </w:rPr>
            </w:pPr>
            <w:r>
              <w:rPr>
                <w:rFonts w:hint="eastAsia"/>
                <w:color w:val="auto"/>
              </w:rPr>
              <w:t>表3-6  项目水污染物排放标准限值一览表</w:t>
            </w:r>
          </w:p>
          <w:tbl>
            <w:tblPr>
              <w:tblStyle w:val="23"/>
              <w:tblW w:w="78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1"/>
              <w:gridCol w:w="2712"/>
              <w:gridCol w:w="2244"/>
              <w:gridCol w:w="1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Align w:val="center"/>
                </w:tcPr>
                <w:p>
                  <w:pPr>
                    <w:pStyle w:val="31"/>
                    <w:rPr>
                      <w:color w:val="auto"/>
                    </w:rPr>
                  </w:pPr>
                  <w:r>
                    <w:rPr>
                      <w:rFonts w:hint="eastAsia"/>
                      <w:color w:val="auto"/>
                    </w:rPr>
                    <w:t>类别</w:t>
                  </w:r>
                </w:p>
              </w:tc>
              <w:tc>
                <w:tcPr>
                  <w:tcW w:w="2712" w:type="dxa"/>
                  <w:vAlign w:val="center"/>
                </w:tcPr>
                <w:p>
                  <w:pPr>
                    <w:pStyle w:val="31"/>
                    <w:rPr>
                      <w:color w:val="auto"/>
                    </w:rPr>
                  </w:pPr>
                  <w:r>
                    <w:rPr>
                      <w:rFonts w:hint="eastAsia"/>
                      <w:color w:val="auto"/>
                    </w:rPr>
                    <w:t>标准名称</w:t>
                  </w:r>
                </w:p>
              </w:tc>
              <w:tc>
                <w:tcPr>
                  <w:tcW w:w="2244" w:type="dxa"/>
                  <w:vAlign w:val="center"/>
                </w:tcPr>
                <w:p>
                  <w:pPr>
                    <w:pStyle w:val="31"/>
                    <w:rPr>
                      <w:color w:val="auto"/>
                    </w:rPr>
                  </w:pPr>
                  <w:r>
                    <w:rPr>
                      <w:rFonts w:hint="eastAsia"/>
                      <w:color w:val="auto"/>
                    </w:rPr>
                    <w:t>项目</w:t>
                  </w:r>
                </w:p>
              </w:tc>
              <w:tc>
                <w:tcPr>
                  <w:tcW w:w="1960" w:type="dxa"/>
                  <w:vAlign w:val="center"/>
                </w:tcPr>
                <w:p>
                  <w:pPr>
                    <w:pStyle w:val="31"/>
                    <w:rPr>
                      <w:color w:val="auto"/>
                    </w:rPr>
                  </w:pPr>
                  <w:r>
                    <w:rPr>
                      <w:rFonts w:hint="eastAsia"/>
                      <w:color w:val="auto"/>
                    </w:rPr>
                    <w:t>标准限值（mg</w:t>
                  </w:r>
                  <w:r>
                    <w:rPr>
                      <w:rFonts w:hint="eastAsia" w:ascii="Calibri Light" w:hAnsi="Calibri Light" w:cs="Calibri Light"/>
                      <w:color w:val="auto"/>
                    </w:rPr>
                    <w:t>/</w:t>
                  </w:r>
                  <w:r>
                    <w:rPr>
                      <w:rFonts w:hint="eastAsia"/>
                      <w:color w:val="auto"/>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restart"/>
                  <w:vAlign w:val="center"/>
                </w:tcPr>
                <w:p>
                  <w:pPr>
                    <w:pStyle w:val="31"/>
                    <w:rPr>
                      <w:color w:val="auto"/>
                    </w:rPr>
                  </w:pPr>
                  <w:r>
                    <w:rPr>
                      <w:rFonts w:hint="eastAsia"/>
                      <w:color w:val="auto"/>
                    </w:rPr>
                    <w:t>废水</w:t>
                  </w:r>
                </w:p>
              </w:tc>
              <w:tc>
                <w:tcPr>
                  <w:tcW w:w="2712" w:type="dxa"/>
                  <w:vMerge w:val="restart"/>
                  <w:vAlign w:val="center"/>
                </w:tcPr>
                <w:p>
                  <w:pPr>
                    <w:pStyle w:val="31"/>
                    <w:rPr>
                      <w:color w:val="auto"/>
                    </w:rPr>
                  </w:pPr>
                  <w:r>
                    <w:rPr>
                      <w:rFonts w:hint="eastAsia"/>
                      <w:color w:val="auto"/>
                    </w:rPr>
                    <w:t>厂区设计出水标准</w:t>
                  </w:r>
                </w:p>
              </w:tc>
              <w:tc>
                <w:tcPr>
                  <w:tcW w:w="2244" w:type="dxa"/>
                  <w:vAlign w:val="center"/>
                </w:tcPr>
                <w:p>
                  <w:pPr>
                    <w:pStyle w:val="31"/>
                    <w:rPr>
                      <w:color w:val="auto"/>
                    </w:rPr>
                  </w:pPr>
                  <w:r>
                    <w:rPr>
                      <w:rFonts w:hint="eastAsia"/>
                      <w:color w:val="auto"/>
                    </w:rPr>
                    <w:t>pH（无量纲）</w:t>
                  </w:r>
                </w:p>
              </w:tc>
              <w:tc>
                <w:tcPr>
                  <w:tcW w:w="1960" w:type="dxa"/>
                  <w:vAlign w:val="center"/>
                </w:tcPr>
                <w:p>
                  <w:pPr>
                    <w:pStyle w:val="31"/>
                    <w:rPr>
                      <w:color w:val="auto"/>
                    </w:rPr>
                  </w:pPr>
                  <w:r>
                    <w:rPr>
                      <w:rFonts w:hint="eastAsia"/>
                      <w:color w:val="auto"/>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continue"/>
                  <w:vAlign w:val="center"/>
                </w:tcPr>
                <w:p>
                  <w:pPr>
                    <w:pStyle w:val="31"/>
                    <w:rPr>
                      <w:color w:val="auto"/>
                    </w:rPr>
                  </w:pPr>
                </w:p>
              </w:tc>
              <w:tc>
                <w:tcPr>
                  <w:tcW w:w="2712" w:type="dxa"/>
                  <w:vMerge w:val="continue"/>
                  <w:vAlign w:val="center"/>
                </w:tcPr>
                <w:p>
                  <w:pPr>
                    <w:pStyle w:val="31"/>
                    <w:rPr>
                      <w:color w:val="auto"/>
                    </w:rPr>
                  </w:pPr>
                </w:p>
              </w:tc>
              <w:tc>
                <w:tcPr>
                  <w:tcW w:w="2244" w:type="dxa"/>
                  <w:vAlign w:val="center"/>
                </w:tcPr>
                <w:p>
                  <w:pPr>
                    <w:pStyle w:val="31"/>
                    <w:rPr>
                      <w:color w:val="auto"/>
                    </w:rPr>
                  </w:pPr>
                  <w:r>
                    <w:rPr>
                      <w:rFonts w:hint="eastAsia"/>
                      <w:color w:val="auto"/>
                    </w:rPr>
                    <w:t>COD</w:t>
                  </w:r>
                </w:p>
              </w:tc>
              <w:tc>
                <w:tcPr>
                  <w:tcW w:w="1960" w:type="dxa"/>
                  <w:vAlign w:val="center"/>
                </w:tcPr>
                <w:p>
                  <w:pPr>
                    <w:pStyle w:val="31"/>
                    <w:rPr>
                      <w:color w:val="auto"/>
                    </w:rPr>
                  </w:pPr>
                  <w:r>
                    <w:rPr>
                      <w:color w:val="auto"/>
                    </w:rPr>
                    <w:t>≤</w:t>
                  </w:r>
                  <w:r>
                    <w:rPr>
                      <w:rFonts w:hint="eastAsia"/>
                      <w:color w:val="auto"/>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continue"/>
                  <w:vAlign w:val="center"/>
                </w:tcPr>
                <w:p>
                  <w:pPr>
                    <w:pStyle w:val="31"/>
                    <w:rPr>
                      <w:color w:val="auto"/>
                    </w:rPr>
                  </w:pPr>
                </w:p>
              </w:tc>
              <w:tc>
                <w:tcPr>
                  <w:tcW w:w="2712" w:type="dxa"/>
                  <w:vMerge w:val="continue"/>
                  <w:vAlign w:val="center"/>
                </w:tcPr>
                <w:p>
                  <w:pPr>
                    <w:pStyle w:val="31"/>
                    <w:rPr>
                      <w:color w:val="auto"/>
                    </w:rPr>
                  </w:pPr>
                </w:p>
              </w:tc>
              <w:tc>
                <w:tcPr>
                  <w:tcW w:w="2244" w:type="dxa"/>
                  <w:vAlign w:val="center"/>
                </w:tcPr>
                <w:p>
                  <w:pPr>
                    <w:pStyle w:val="31"/>
                    <w:rPr>
                      <w:color w:val="auto"/>
                    </w:rPr>
                  </w:pPr>
                  <w:r>
                    <w:rPr>
                      <w:rFonts w:hint="eastAsia"/>
                      <w:color w:val="auto"/>
                    </w:rPr>
                    <w:t>BOD</w:t>
                  </w:r>
                  <w:r>
                    <w:rPr>
                      <w:rFonts w:hint="eastAsia"/>
                      <w:color w:val="auto"/>
                      <w:vertAlign w:val="subscript"/>
                    </w:rPr>
                    <w:t>5</w:t>
                  </w:r>
                </w:p>
              </w:tc>
              <w:tc>
                <w:tcPr>
                  <w:tcW w:w="1960" w:type="dxa"/>
                  <w:vAlign w:val="center"/>
                </w:tcPr>
                <w:p>
                  <w:pPr>
                    <w:pStyle w:val="31"/>
                    <w:rPr>
                      <w:color w:val="auto"/>
                    </w:rPr>
                  </w:pPr>
                  <w:r>
                    <w:rPr>
                      <w:color w:val="auto"/>
                    </w:rPr>
                    <w:t>≤</w:t>
                  </w:r>
                  <w:r>
                    <w:rPr>
                      <w:rFonts w:hint="eastAsia"/>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continue"/>
                  <w:vAlign w:val="center"/>
                </w:tcPr>
                <w:p>
                  <w:pPr>
                    <w:pStyle w:val="31"/>
                    <w:rPr>
                      <w:color w:val="auto"/>
                    </w:rPr>
                  </w:pPr>
                </w:p>
              </w:tc>
              <w:tc>
                <w:tcPr>
                  <w:tcW w:w="2712" w:type="dxa"/>
                  <w:vMerge w:val="continue"/>
                  <w:vAlign w:val="center"/>
                </w:tcPr>
                <w:p>
                  <w:pPr>
                    <w:pStyle w:val="31"/>
                    <w:rPr>
                      <w:color w:val="auto"/>
                    </w:rPr>
                  </w:pPr>
                </w:p>
              </w:tc>
              <w:tc>
                <w:tcPr>
                  <w:tcW w:w="2244" w:type="dxa"/>
                  <w:vAlign w:val="center"/>
                </w:tcPr>
                <w:p>
                  <w:pPr>
                    <w:pStyle w:val="31"/>
                    <w:rPr>
                      <w:color w:val="auto"/>
                    </w:rPr>
                  </w:pPr>
                  <w:r>
                    <w:rPr>
                      <w:rFonts w:hint="eastAsia"/>
                      <w:color w:val="auto"/>
                    </w:rPr>
                    <w:t>SS</w:t>
                  </w:r>
                </w:p>
              </w:tc>
              <w:tc>
                <w:tcPr>
                  <w:tcW w:w="1960" w:type="dxa"/>
                  <w:vAlign w:val="center"/>
                </w:tcPr>
                <w:p>
                  <w:pPr>
                    <w:pStyle w:val="31"/>
                    <w:rPr>
                      <w:color w:val="auto"/>
                    </w:rPr>
                  </w:pPr>
                  <w:r>
                    <w:rPr>
                      <w:color w:val="auto"/>
                    </w:rPr>
                    <w:t>≤</w:t>
                  </w:r>
                  <w:r>
                    <w:rPr>
                      <w:rFonts w:hint="eastAsia"/>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continue"/>
                  <w:vAlign w:val="center"/>
                </w:tcPr>
                <w:p>
                  <w:pPr>
                    <w:pStyle w:val="31"/>
                    <w:rPr>
                      <w:color w:val="auto"/>
                    </w:rPr>
                  </w:pPr>
                </w:p>
              </w:tc>
              <w:tc>
                <w:tcPr>
                  <w:tcW w:w="2712" w:type="dxa"/>
                  <w:vMerge w:val="continue"/>
                  <w:vAlign w:val="center"/>
                </w:tcPr>
                <w:p>
                  <w:pPr>
                    <w:pStyle w:val="31"/>
                    <w:rPr>
                      <w:color w:val="auto"/>
                    </w:rPr>
                  </w:pPr>
                </w:p>
              </w:tc>
              <w:tc>
                <w:tcPr>
                  <w:tcW w:w="2244" w:type="dxa"/>
                  <w:vAlign w:val="center"/>
                </w:tcPr>
                <w:p>
                  <w:pPr>
                    <w:pStyle w:val="31"/>
                    <w:rPr>
                      <w:color w:val="auto"/>
                    </w:rPr>
                  </w:pPr>
                  <w:r>
                    <w:rPr>
                      <w:rFonts w:hint="eastAsia"/>
                      <w:color w:val="auto"/>
                    </w:rPr>
                    <w:t>氨氮</w:t>
                  </w:r>
                </w:p>
              </w:tc>
              <w:tc>
                <w:tcPr>
                  <w:tcW w:w="1960" w:type="dxa"/>
                  <w:vAlign w:val="center"/>
                </w:tcPr>
                <w:p>
                  <w:pPr>
                    <w:pStyle w:val="31"/>
                    <w:rPr>
                      <w:color w:val="auto"/>
                    </w:rPr>
                  </w:pPr>
                  <w:r>
                    <w:rPr>
                      <w:color w:val="auto"/>
                    </w:rPr>
                    <w:t>≤</w:t>
                  </w:r>
                  <w:r>
                    <w:rPr>
                      <w:rFonts w:hint="eastAsia"/>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continue"/>
                  <w:vAlign w:val="center"/>
                </w:tcPr>
                <w:p>
                  <w:pPr>
                    <w:pStyle w:val="31"/>
                    <w:rPr>
                      <w:color w:val="auto"/>
                    </w:rPr>
                  </w:pPr>
                </w:p>
              </w:tc>
              <w:tc>
                <w:tcPr>
                  <w:tcW w:w="2712" w:type="dxa"/>
                  <w:vMerge w:val="continue"/>
                  <w:vAlign w:val="center"/>
                </w:tcPr>
                <w:p>
                  <w:pPr>
                    <w:pStyle w:val="31"/>
                    <w:rPr>
                      <w:color w:val="auto"/>
                    </w:rPr>
                  </w:pPr>
                </w:p>
              </w:tc>
              <w:tc>
                <w:tcPr>
                  <w:tcW w:w="2244" w:type="dxa"/>
                  <w:vAlign w:val="center"/>
                </w:tcPr>
                <w:p>
                  <w:pPr>
                    <w:pStyle w:val="31"/>
                    <w:rPr>
                      <w:color w:val="auto"/>
                    </w:rPr>
                  </w:pPr>
                  <w:r>
                    <w:rPr>
                      <w:rFonts w:hint="eastAsia"/>
                      <w:color w:val="auto"/>
                    </w:rPr>
                    <w:t>动植物油</w:t>
                  </w:r>
                </w:p>
              </w:tc>
              <w:tc>
                <w:tcPr>
                  <w:tcW w:w="1960" w:type="dxa"/>
                  <w:vAlign w:val="center"/>
                </w:tcPr>
                <w:p>
                  <w:pPr>
                    <w:pStyle w:val="31"/>
                    <w:rPr>
                      <w:color w:val="auto"/>
                    </w:rPr>
                  </w:pPr>
                  <w:r>
                    <w:rPr>
                      <w:color w:val="auto"/>
                    </w:rPr>
                    <w:t>≤</w:t>
                  </w:r>
                  <w:r>
                    <w:rPr>
                      <w:rFonts w:hint="eastAsia"/>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continue"/>
                  <w:vAlign w:val="center"/>
                </w:tcPr>
                <w:p>
                  <w:pPr>
                    <w:pStyle w:val="31"/>
                    <w:rPr>
                      <w:color w:val="auto"/>
                    </w:rPr>
                  </w:pPr>
                </w:p>
              </w:tc>
              <w:tc>
                <w:tcPr>
                  <w:tcW w:w="2712" w:type="dxa"/>
                  <w:vMerge w:val="restart"/>
                  <w:vAlign w:val="center"/>
                </w:tcPr>
                <w:p>
                  <w:pPr>
                    <w:pStyle w:val="31"/>
                    <w:rPr>
                      <w:color w:val="auto"/>
                    </w:rPr>
                  </w:pPr>
                  <w:r>
                    <w:rPr>
                      <w:rFonts w:hint="eastAsia"/>
                      <w:color w:val="auto"/>
                    </w:rPr>
                    <w:t>《污水综合排放标准》（GB8978-1996）表4中的三级标准</w:t>
                  </w:r>
                </w:p>
                <w:p>
                  <w:pPr>
                    <w:pStyle w:val="31"/>
                    <w:rPr>
                      <w:color w:val="auto"/>
                    </w:rPr>
                  </w:pPr>
                </w:p>
              </w:tc>
              <w:tc>
                <w:tcPr>
                  <w:tcW w:w="2244" w:type="dxa"/>
                  <w:vAlign w:val="center"/>
                </w:tcPr>
                <w:p>
                  <w:pPr>
                    <w:pStyle w:val="31"/>
                    <w:rPr>
                      <w:color w:val="auto"/>
                    </w:rPr>
                  </w:pPr>
                  <w:r>
                    <w:rPr>
                      <w:rFonts w:hint="eastAsia"/>
                      <w:color w:val="auto"/>
                    </w:rPr>
                    <w:t>pH（无量纲）</w:t>
                  </w:r>
                </w:p>
              </w:tc>
              <w:tc>
                <w:tcPr>
                  <w:tcW w:w="1960" w:type="dxa"/>
                  <w:vAlign w:val="center"/>
                </w:tcPr>
                <w:p>
                  <w:pPr>
                    <w:pStyle w:val="31"/>
                    <w:rPr>
                      <w:color w:val="auto"/>
                    </w:rPr>
                  </w:pPr>
                  <w:r>
                    <w:rPr>
                      <w:rFonts w:hint="eastAsia"/>
                      <w:color w:val="auto"/>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continue"/>
                  <w:vAlign w:val="center"/>
                </w:tcPr>
                <w:p>
                  <w:pPr>
                    <w:pStyle w:val="31"/>
                    <w:rPr>
                      <w:color w:val="auto"/>
                    </w:rPr>
                  </w:pPr>
                </w:p>
              </w:tc>
              <w:tc>
                <w:tcPr>
                  <w:tcW w:w="2712" w:type="dxa"/>
                  <w:vMerge w:val="continue"/>
                  <w:vAlign w:val="center"/>
                </w:tcPr>
                <w:p>
                  <w:pPr>
                    <w:pStyle w:val="31"/>
                    <w:rPr>
                      <w:color w:val="auto"/>
                    </w:rPr>
                  </w:pPr>
                </w:p>
              </w:tc>
              <w:tc>
                <w:tcPr>
                  <w:tcW w:w="2244" w:type="dxa"/>
                  <w:vAlign w:val="center"/>
                </w:tcPr>
                <w:p>
                  <w:pPr>
                    <w:pStyle w:val="31"/>
                    <w:rPr>
                      <w:color w:val="auto"/>
                    </w:rPr>
                  </w:pPr>
                  <w:r>
                    <w:rPr>
                      <w:rFonts w:hint="eastAsia"/>
                      <w:color w:val="auto"/>
                    </w:rPr>
                    <w:t>COD</w:t>
                  </w:r>
                </w:p>
              </w:tc>
              <w:tc>
                <w:tcPr>
                  <w:tcW w:w="1960" w:type="dxa"/>
                  <w:vAlign w:val="center"/>
                </w:tcPr>
                <w:p>
                  <w:pPr>
                    <w:pStyle w:val="31"/>
                    <w:rPr>
                      <w:color w:val="auto"/>
                    </w:rPr>
                  </w:pPr>
                  <w:r>
                    <w:rPr>
                      <w:rFonts w:hint="eastAsia"/>
                      <w:color w:val="auto"/>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continue"/>
                  <w:vAlign w:val="center"/>
                </w:tcPr>
                <w:p>
                  <w:pPr>
                    <w:pStyle w:val="31"/>
                    <w:rPr>
                      <w:color w:val="auto"/>
                    </w:rPr>
                  </w:pPr>
                </w:p>
              </w:tc>
              <w:tc>
                <w:tcPr>
                  <w:tcW w:w="2712" w:type="dxa"/>
                  <w:vMerge w:val="continue"/>
                  <w:vAlign w:val="center"/>
                </w:tcPr>
                <w:p>
                  <w:pPr>
                    <w:pStyle w:val="31"/>
                    <w:rPr>
                      <w:color w:val="auto"/>
                    </w:rPr>
                  </w:pPr>
                </w:p>
              </w:tc>
              <w:tc>
                <w:tcPr>
                  <w:tcW w:w="2244" w:type="dxa"/>
                  <w:vAlign w:val="center"/>
                </w:tcPr>
                <w:p>
                  <w:pPr>
                    <w:pStyle w:val="31"/>
                    <w:rPr>
                      <w:color w:val="auto"/>
                    </w:rPr>
                  </w:pPr>
                  <w:r>
                    <w:rPr>
                      <w:rFonts w:hint="eastAsia"/>
                      <w:color w:val="auto"/>
                    </w:rPr>
                    <w:t>BOD</w:t>
                  </w:r>
                  <w:r>
                    <w:rPr>
                      <w:rFonts w:hint="eastAsia"/>
                      <w:color w:val="auto"/>
                      <w:vertAlign w:val="subscript"/>
                    </w:rPr>
                    <w:t>5</w:t>
                  </w:r>
                </w:p>
              </w:tc>
              <w:tc>
                <w:tcPr>
                  <w:tcW w:w="1960" w:type="dxa"/>
                  <w:vAlign w:val="center"/>
                </w:tcPr>
                <w:p>
                  <w:pPr>
                    <w:pStyle w:val="31"/>
                    <w:rPr>
                      <w:color w:val="auto"/>
                    </w:rPr>
                  </w:pPr>
                  <w:r>
                    <w:rPr>
                      <w:rFonts w:hint="eastAsia"/>
                      <w:color w:val="auto"/>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continue"/>
                  <w:vAlign w:val="center"/>
                </w:tcPr>
                <w:p>
                  <w:pPr>
                    <w:pStyle w:val="31"/>
                    <w:rPr>
                      <w:color w:val="auto"/>
                    </w:rPr>
                  </w:pPr>
                </w:p>
              </w:tc>
              <w:tc>
                <w:tcPr>
                  <w:tcW w:w="2712" w:type="dxa"/>
                  <w:vMerge w:val="continue"/>
                  <w:vAlign w:val="center"/>
                </w:tcPr>
                <w:p>
                  <w:pPr>
                    <w:pStyle w:val="31"/>
                    <w:rPr>
                      <w:color w:val="auto"/>
                    </w:rPr>
                  </w:pPr>
                </w:p>
              </w:tc>
              <w:tc>
                <w:tcPr>
                  <w:tcW w:w="2244" w:type="dxa"/>
                  <w:vAlign w:val="center"/>
                </w:tcPr>
                <w:p>
                  <w:pPr>
                    <w:pStyle w:val="31"/>
                    <w:rPr>
                      <w:color w:val="auto"/>
                    </w:rPr>
                  </w:pPr>
                  <w:r>
                    <w:rPr>
                      <w:rFonts w:hint="eastAsia"/>
                      <w:color w:val="auto"/>
                    </w:rPr>
                    <w:t>SS</w:t>
                  </w:r>
                </w:p>
              </w:tc>
              <w:tc>
                <w:tcPr>
                  <w:tcW w:w="1960" w:type="dxa"/>
                  <w:vAlign w:val="center"/>
                </w:tcPr>
                <w:p>
                  <w:pPr>
                    <w:pStyle w:val="31"/>
                    <w:rPr>
                      <w:color w:val="auto"/>
                    </w:rPr>
                  </w:pPr>
                  <w:r>
                    <w:rPr>
                      <w:rFonts w:hint="eastAsia"/>
                      <w:color w:val="auto"/>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continue"/>
                  <w:vAlign w:val="center"/>
                </w:tcPr>
                <w:p>
                  <w:pPr>
                    <w:pStyle w:val="31"/>
                    <w:rPr>
                      <w:color w:val="auto"/>
                    </w:rPr>
                  </w:pPr>
                </w:p>
              </w:tc>
              <w:tc>
                <w:tcPr>
                  <w:tcW w:w="2712" w:type="dxa"/>
                  <w:vMerge w:val="continue"/>
                  <w:vAlign w:val="center"/>
                </w:tcPr>
                <w:p>
                  <w:pPr>
                    <w:pStyle w:val="31"/>
                    <w:rPr>
                      <w:color w:val="auto"/>
                    </w:rPr>
                  </w:pPr>
                </w:p>
              </w:tc>
              <w:tc>
                <w:tcPr>
                  <w:tcW w:w="2244" w:type="dxa"/>
                  <w:vAlign w:val="center"/>
                </w:tcPr>
                <w:p>
                  <w:pPr>
                    <w:pStyle w:val="31"/>
                    <w:rPr>
                      <w:color w:val="auto"/>
                    </w:rPr>
                  </w:pPr>
                  <w:r>
                    <w:rPr>
                      <w:rFonts w:hint="eastAsia"/>
                      <w:color w:val="auto"/>
                    </w:rPr>
                    <w:t>氨氮</w:t>
                  </w:r>
                </w:p>
              </w:tc>
              <w:tc>
                <w:tcPr>
                  <w:tcW w:w="1960" w:type="dxa"/>
                  <w:vAlign w:val="center"/>
                </w:tcPr>
                <w:p>
                  <w:pPr>
                    <w:pStyle w:val="31"/>
                    <w:rPr>
                      <w:color w:val="auto"/>
                    </w:rPr>
                  </w:pPr>
                  <w:r>
                    <w:rPr>
                      <w:rFonts w:hint="eastAsia" w:ascii="Calibri Light" w:hAnsi="Calibri Light" w:cs="Calibri Light"/>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vMerge w:val="continue"/>
                  <w:vAlign w:val="center"/>
                </w:tcPr>
                <w:p>
                  <w:pPr>
                    <w:pStyle w:val="31"/>
                    <w:rPr>
                      <w:color w:val="auto"/>
                    </w:rPr>
                  </w:pPr>
                </w:p>
              </w:tc>
              <w:tc>
                <w:tcPr>
                  <w:tcW w:w="2712" w:type="dxa"/>
                  <w:vMerge w:val="continue"/>
                  <w:vAlign w:val="center"/>
                </w:tcPr>
                <w:p>
                  <w:pPr>
                    <w:pStyle w:val="31"/>
                    <w:rPr>
                      <w:color w:val="auto"/>
                    </w:rPr>
                  </w:pPr>
                </w:p>
              </w:tc>
              <w:tc>
                <w:tcPr>
                  <w:tcW w:w="2244" w:type="dxa"/>
                  <w:vAlign w:val="center"/>
                </w:tcPr>
                <w:p>
                  <w:pPr>
                    <w:pStyle w:val="31"/>
                    <w:rPr>
                      <w:color w:val="auto"/>
                    </w:rPr>
                  </w:pPr>
                  <w:r>
                    <w:rPr>
                      <w:rFonts w:hint="eastAsia"/>
                      <w:color w:val="auto"/>
                    </w:rPr>
                    <w:t>动植物油</w:t>
                  </w:r>
                </w:p>
              </w:tc>
              <w:tc>
                <w:tcPr>
                  <w:tcW w:w="1960" w:type="dxa"/>
                  <w:vAlign w:val="center"/>
                </w:tcPr>
                <w:p>
                  <w:pPr>
                    <w:pStyle w:val="31"/>
                    <w:rPr>
                      <w:color w:val="auto"/>
                    </w:rPr>
                  </w:pPr>
                  <w:r>
                    <w:rPr>
                      <w:rFonts w:hint="eastAsia"/>
                      <w:color w:val="auto"/>
                    </w:rPr>
                    <w:t>15</w:t>
                  </w:r>
                </w:p>
              </w:tc>
            </w:tr>
          </w:tbl>
          <w:p>
            <w:pPr>
              <w:pStyle w:val="31"/>
              <w:rPr>
                <w:color w:val="auto"/>
              </w:rPr>
            </w:pPr>
          </w:p>
          <w:p>
            <w:pPr>
              <w:ind w:firstLine="482"/>
              <w:rPr>
                <w:b/>
                <w:bCs/>
                <w:color w:val="auto"/>
              </w:rPr>
            </w:pPr>
            <w:r>
              <w:rPr>
                <w:rFonts w:hint="eastAsia"/>
                <w:b/>
                <w:bCs/>
                <w:color w:val="auto"/>
              </w:rPr>
              <w:t>3、噪声排放标准</w:t>
            </w:r>
          </w:p>
          <w:p>
            <w:pPr>
              <w:ind w:firstLine="480"/>
              <w:rPr>
                <w:color w:val="auto"/>
              </w:rPr>
            </w:pPr>
            <w:r>
              <w:rPr>
                <w:rFonts w:hint="eastAsia"/>
                <w:color w:val="auto"/>
              </w:rPr>
              <w:t>（1）施工期</w:t>
            </w:r>
          </w:p>
          <w:p>
            <w:pPr>
              <w:ind w:firstLine="480"/>
              <w:rPr>
                <w:color w:val="auto"/>
              </w:rPr>
            </w:pPr>
            <w:r>
              <w:rPr>
                <w:rFonts w:hint="eastAsia"/>
                <w:color w:val="auto"/>
              </w:rPr>
              <w:t>本项目施工期场界噪声执行《建筑施工场界环境噪声排放标准》（GB12523-2011）：昼间</w:t>
            </w:r>
            <w:r>
              <w:rPr>
                <w:color w:val="auto"/>
              </w:rPr>
              <w:t>≤</w:t>
            </w:r>
            <w:r>
              <w:rPr>
                <w:rFonts w:hint="eastAsia"/>
                <w:color w:val="auto"/>
              </w:rPr>
              <w:t>70dB（A）、夜间</w:t>
            </w:r>
            <w:r>
              <w:rPr>
                <w:color w:val="auto"/>
              </w:rPr>
              <w:t>≤</w:t>
            </w:r>
            <w:r>
              <w:rPr>
                <w:rFonts w:hint="eastAsia"/>
                <w:color w:val="auto"/>
              </w:rPr>
              <w:t>55dB（A）。</w:t>
            </w:r>
          </w:p>
          <w:p>
            <w:pPr>
              <w:ind w:firstLine="480"/>
              <w:rPr>
                <w:color w:val="auto"/>
              </w:rPr>
            </w:pPr>
            <w:r>
              <w:rPr>
                <w:rFonts w:hint="eastAsia"/>
                <w:color w:val="auto"/>
              </w:rPr>
              <w:t>（2）营运期</w:t>
            </w:r>
          </w:p>
          <w:p>
            <w:pPr>
              <w:ind w:firstLine="480"/>
              <w:rPr>
                <w:color w:val="auto"/>
              </w:rPr>
            </w:pPr>
            <w:r>
              <w:rPr>
                <w:rFonts w:hint="eastAsia"/>
                <w:color w:val="auto"/>
              </w:rPr>
              <w:t>本项目运营期厂界噪声执行《工业企业厂界环境噪声排放标准》（GB12348-2008）中2类标准，详见表3-7。</w:t>
            </w:r>
          </w:p>
          <w:p>
            <w:pPr>
              <w:pStyle w:val="32"/>
              <w:rPr>
                <w:color w:val="auto"/>
              </w:rPr>
            </w:pPr>
            <w:r>
              <w:rPr>
                <w:rFonts w:hint="eastAsia"/>
                <w:color w:val="auto"/>
              </w:rPr>
              <w:t>表3-7  《工业企业厂界环境噪声排放标准》（GB12348-2008）（摘录）</w:t>
            </w:r>
          </w:p>
          <w:tbl>
            <w:tblPr>
              <w:tblStyle w:val="2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10"/>
              <w:gridCol w:w="2612"/>
              <w:gridCol w:w="2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1" w:type="dxa"/>
                  <w:vAlign w:val="center"/>
                </w:tcPr>
                <w:p>
                  <w:pPr>
                    <w:pStyle w:val="31"/>
                    <w:rPr>
                      <w:color w:val="auto"/>
                    </w:rPr>
                  </w:pPr>
                  <w:r>
                    <w:rPr>
                      <w:rFonts w:hint="eastAsia"/>
                      <w:color w:val="auto"/>
                    </w:rPr>
                    <w:t>厂界外声环境区类别</w:t>
                  </w:r>
                </w:p>
              </w:tc>
              <w:tc>
                <w:tcPr>
                  <w:tcW w:w="2612" w:type="dxa"/>
                  <w:vAlign w:val="center"/>
                </w:tcPr>
                <w:p>
                  <w:pPr>
                    <w:pStyle w:val="31"/>
                    <w:rPr>
                      <w:color w:val="auto"/>
                    </w:rPr>
                  </w:pPr>
                  <w:r>
                    <w:rPr>
                      <w:rFonts w:hint="eastAsia"/>
                      <w:color w:val="auto"/>
                    </w:rPr>
                    <w:t>昼  间</w:t>
                  </w:r>
                </w:p>
              </w:tc>
              <w:tc>
                <w:tcPr>
                  <w:tcW w:w="2612" w:type="dxa"/>
                  <w:vAlign w:val="center"/>
                </w:tcPr>
                <w:p>
                  <w:pPr>
                    <w:pStyle w:val="31"/>
                    <w:rPr>
                      <w:color w:val="auto"/>
                    </w:rPr>
                  </w:pPr>
                  <w:r>
                    <w:rPr>
                      <w:rFonts w:hint="eastAsia"/>
                      <w:color w:val="auto"/>
                    </w:rPr>
                    <w:t>夜  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1" w:type="dxa"/>
                  <w:vAlign w:val="center"/>
                </w:tcPr>
                <w:p>
                  <w:pPr>
                    <w:pStyle w:val="31"/>
                    <w:rPr>
                      <w:color w:val="auto"/>
                    </w:rPr>
                  </w:pPr>
                  <w:r>
                    <w:rPr>
                      <w:rFonts w:hint="eastAsia"/>
                      <w:color w:val="auto"/>
                    </w:rPr>
                    <w:t>2类</w:t>
                  </w:r>
                </w:p>
              </w:tc>
              <w:tc>
                <w:tcPr>
                  <w:tcW w:w="2612" w:type="dxa"/>
                  <w:vAlign w:val="center"/>
                </w:tcPr>
                <w:p>
                  <w:pPr>
                    <w:pStyle w:val="31"/>
                    <w:rPr>
                      <w:color w:val="auto"/>
                    </w:rPr>
                  </w:pPr>
                  <w:r>
                    <w:rPr>
                      <w:rFonts w:hint="eastAsia"/>
                      <w:color w:val="auto"/>
                    </w:rPr>
                    <w:t>60dB（A）</w:t>
                  </w:r>
                </w:p>
              </w:tc>
              <w:tc>
                <w:tcPr>
                  <w:tcW w:w="2612" w:type="dxa"/>
                  <w:vAlign w:val="center"/>
                </w:tcPr>
                <w:p>
                  <w:pPr>
                    <w:pStyle w:val="31"/>
                    <w:rPr>
                      <w:color w:val="auto"/>
                    </w:rPr>
                  </w:pPr>
                  <w:r>
                    <w:rPr>
                      <w:rFonts w:hint="eastAsia"/>
                      <w:color w:val="auto"/>
                    </w:rPr>
                    <w:t>50dB（A）</w:t>
                  </w:r>
                </w:p>
              </w:tc>
            </w:tr>
          </w:tbl>
          <w:p>
            <w:pPr>
              <w:pStyle w:val="31"/>
              <w:rPr>
                <w:color w:val="auto"/>
              </w:rPr>
            </w:pPr>
          </w:p>
          <w:p>
            <w:pPr>
              <w:ind w:firstLine="0" w:firstLineChars="0"/>
              <w:rPr>
                <w:b/>
                <w:bCs/>
                <w:color w:val="auto"/>
              </w:rPr>
            </w:pPr>
            <w:r>
              <w:rPr>
                <w:rFonts w:hint="eastAsia"/>
                <w:b/>
                <w:bCs/>
                <w:color w:val="auto"/>
              </w:rPr>
              <w:t>4、固体废物排放标准</w:t>
            </w:r>
          </w:p>
          <w:p>
            <w:pPr>
              <w:ind w:firstLine="480"/>
              <w:rPr>
                <w:b/>
                <w:bCs/>
                <w:color w:val="auto"/>
              </w:rPr>
            </w:pPr>
            <w:r>
              <w:rPr>
                <w:color w:val="auto"/>
              </w:rPr>
              <w:t>本项目</w:t>
            </w:r>
            <w:r>
              <w:rPr>
                <w:rFonts w:hint="eastAsia"/>
                <w:color w:val="auto"/>
              </w:rPr>
              <w:t>一般工业固体废物处置执行《一般工业固体废物贮存和填埋污染控制标准》（GB18599-2020）；危险废物处置执行《危险废物贮存污染控制标准》（GB18597-2023）</w:t>
            </w:r>
            <w:r>
              <w:rPr>
                <w:bCs/>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0" w:type="dxa"/>
            <w:vAlign w:val="center"/>
          </w:tcPr>
          <w:p>
            <w:pPr>
              <w:ind w:firstLine="0" w:firstLineChars="0"/>
              <w:jc w:val="center"/>
              <w:rPr>
                <w:color w:val="auto"/>
              </w:rPr>
            </w:pPr>
            <w:r>
              <w:rPr>
                <w:rFonts w:hint="eastAsia"/>
                <w:color w:val="auto"/>
              </w:rPr>
              <w:t>总量控制指标</w:t>
            </w:r>
          </w:p>
        </w:tc>
        <w:tc>
          <w:tcPr>
            <w:tcW w:w="8062" w:type="dxa"/>
          </w:tcPr>
          <w:p>
            <w:pPr>
              <w:pStyle w:val="12"/>
              <w:ind w:firstLine="480"/>
              <w:rPr>
                <w:color w:val="auto"/>
              </w:rPr>
            </w:pPr>
            <w:r>
              <w:rPr>
                <w:rFonts w:hint="eastAsia"/>
                <w:color w:val="auto"/>
              </w:rPr>
              <w:t>根据《湖南省“十四五”生态环境保护规划》及湖南省人民政府办公厅关于印发《湖南省主要污染物排污权有偿使用和交易管理办法》的通知（湘政办发〔2022〕23号），湖南省对化学需氧量、氨氮、二氧化硫、氮氧化物、铅、镉、砷、汞、铬、挥发性有机物、总磷等十一类污染物实施总量控制。</w:t>
            </w:r>
          </w:p>
          <w:p>
            <w:pPr>
              <w:ind w:firstLine="0" w:firstLineChars="0"/>
              <w:rPr>
                <w:color w:val="auto"/>
              </w:rPr>
            </w:pPr>
            <w:r>
              <w:rPr>
                <w:rFonts w:hint="eastAsia"/>
                <w:color w:val="auto"/>
              </w:rPr>
              <w:t>1、废水总量控制建议指标</w:t>
            </w:r>
          </w:p>
          <w:p>
            <w:pPr>
              <w:ind w:firstLine="480"/>
              <w:rPr>
                <w:color w:val="auto"/>
              </w:rPr>
            </w:pPr>
            <w:r>
              <w:rPr>
                <w:rFonts w:hint="eastAsia"/>
                <w:color w:val="auto"/>
              </w:rPr>
              <w:t>根据国家生态环境部和湖南省实施总量控制的要求，衡阳桑德凯天再生资源科技有限公司需要进行总量控制的废水污染物为COD和NH</w:t>
            </w:r>
            <w:r>
              <w:rPr>
                <w:rFonts w:hint="eastAsia"/>
                <w:color w:val="auto"/>
                <w:vertAlign w:val="subscript"/>
              </w:rPr>
              <w:t>3</w:t>
            </w:r>
            <w:r>
              <w:rPr>
                <w:rFonts w:hint="eastAsia"/>
                <w:color w:val="auto"/>
              </w:rPr>
              <w:t>-N。</w:t>
            </w:r>
          </w:p>
          <w:p>
            <w:pPr>
              <w:ind w:firstLine="480"/>
              <w:rPr>
                <w:color w:val="auto"/>
              </w:rPr>
            </w:pPr>
            <w:r>
              <w:rPr>
                <w:rFonts w:hint="eastAsia"/>
                <w:color w:val="auto"/>
              </w:rPr>
              <w:t>本项目改扩建完成后排入厂区污水处理站的废水量为10.715t</w:t>
            </w:r>
            <w:r>
              <w:rPr>
                <w:color w:val="auto"/>
              </w:rPr>
              <w:t>/d</w:t>
            </w:r>
            <w:r>
              <w:rPr>
                <w:rFonts w:hint="eastAsia"/>
                <w:color w:val="auto"/>
              </w:rPr>
              <w:t>（3535.816t/a），现有2t锅炉排入厂区污水处理站的废水量为7.161t</w:t>
            </w:r>
            <w:r>
              <w:rPr>
                <w:color w:val="auto"/>
              </w:rPr>
              <w:t>/d</w:t>
            </w:r>
            <w:r>
              <w:rPr>
                <w:rFonts w:hint="eastAsia"/>
                <w:color w:val="auto"/>
              </w:rPr>
              <w:t>（2360.000t/a），其他现有工艺废水排入厂区污水处理站的废水量为147t</w:t>
            </w:r>
            <w:r>
              <w:rPr>
                <w:color w:val="auto"/>
              </w:rPr>
              <w:t>/d</w:t>
            </w:r>
            <w:r>
              <w:rPr>
                <w:rFonts w:hint="eastAsia"/>
                <w:color w:val="auto"/>
              </w:rPr>
              <w:t>（48510t/a），改扩建完成后排入厂区污水处理站的废水量为164.875t</w:t>
            </w:r>
            <w:r>
              <w:rPr>
                <w:color w:val="auto"/>
              </w:rPr>
              <w:t>/d</w:t>
            </w:r>
            <w:r>
              <w:rPr>
                <w:rFonts w:hint="eastAsia"/>
                <w:color w:val="auto"/>
              </w:rPr>
              <w:t>（54408.815t/a），进入</w:t>
            </w:r>
            <w:r>
              <w:rPr>
                <w:rFonts w:hint="eastAsia"/>
                <w:bCs/>
                <w:color w:val="auto"/>
                <w:szCs w:val="21"/>
              </w:rPr>
              <w:t>厂区污水处理系统处理，达到《污水综合排放标准》GB8978-1996表4中三级标准后，进入衡阳第二生活垃圾填埋场渗滤液污水处理站进行深化处理</w:t>
            </w:r>
            <w:r>
              <w:rPr>
                <w:rFonts w:hint="eastAsia"/>
                <w:color w:val="auto"/>
              </w:rPr>
              <w:t>。</w:t>
            </w:r>
          </w:p>
          <w:p>
            <w:pPr>
              <w:ind w:firstLine="480"/>
              <w:rPr>
                <w:color w:val="auto"/>
              </w:rPr>
            </w:pPr>
            <w:r>
              <w:rPr>
                <w:rFonts w:hint="eastAsia"/>
                <w:color w:val="auto"/>
              </w:rPr>
              <w:t>本项目改扩建完成后排入厂区污水处理站的COD产生量为2.4t/a，现有2t锅炉排入厂区污水处理站的COD产生量为1.60t/a，其他现有工艺废水排入厂区污水处理站的COD产生量为4.38t/a，改扩建完成后排入厂区污水处理站的COD产生量为8.380t/a因此，本项目改扩建完成后废水经</w:t>
            </w:r>
            <w:r>
              <w:rPr>
                <w:rFonts w:hint="eastAsia"/>
                <w:bCs/>
                <w:color w:val="auto"/>
                <w:szCs w:val="21"/>
              </w:rPr>
              <w:t>厂区污水处理系统</w:t>
            </w:r>
            <w:r>
              <w:rPr>
                <w:rFonts w:hint="eastAsia"/>
                <w:color w:val="auto"/>
              </w:rPr>
              <w:t>处理后，排入</w:t>
            </w:r>
            <w:r>
              <w:rPr>
                <w:rFonts w:hint="eastAsia"/>
                <w:bCs/>
                <w:color w:val="auto"/>
                <w:szCs w:val="21"/>
              </w:rPr>
              <w:t>市政管网</w:t>
            </w:r>
            <w:r>
              <w:rPr>
                <w:rFonts w:hint="eastAsia"/>
                <w:color w:val="auto"/>
              </w:rPr>
              <w:t>的水污染物总量增加，具体数值为：COD 8.380t/a，氨氮0.66t/a。</w:t>
            </w:r>
          </w:p>
          <w:p>
            <w:pPr>
              <w:ind w:firstLine="0" w:firstLineChars="0"/>
              <w:rPr>
                <w:color w:val="auto"/>
              </w:rPr>
            </w:pPr>
            <w:r>
              <w:rPr>
                <w:rFonts w:hint="eastAsia"/>
                <w:color w:val="auto"/>
              </w:rPr>
              <w:t>2、废气总量控制建议指标</w:t>
            </w:r>
          </w:p>
          <w:p>
            <w:pPr>
              <w:ind w:firstLine="480"/>
              <w:rPr>
                <w:color w:val="auto"/>
              </w:rPr>
            </w:pPr>
            <w:r>
              <w:rPr>
                <w:rFonts w:hint="eastAsia"/>
                <w:color w:val="auto"/>
              </w:rPr>
              <w:t>根据国家生态环境部和湖南省实施总量控制的要求，衡阳桑德凯天再生资源科技有限公司需要进行总量控制的废气污染物为SO</w:t>
            </w:r>
            <w:r>
              <w:rPr>
                <w:rFonts w:hint="eastAsia"/>
                <w:color w:val="auto"/>
                <w:vertAlign w:val="subscript"/>
              </w:rPr>
              <w:t>2</w:t>
            </w:r>
            <w:r>
              <w:rPr>
                <w:rFonts w:hint="eastAsia"/>
                <w:color w:val="auto"/>
              </w:rPr>
              <w:t>、NO</w:t>
            </w:r>
            <w:r>
              <w:rPr>
                <w:rFonts w:hint="eastAsia"/>
                <w:color w:val="auto"/>
                <w:vertAlign w:val="subscript"/>
              </w:rPr>
              <w:t>x</w:t>
            </w:r>
            <w:r>
              <w:rPr>
                <w:rFonts w:hint="eastAsia"/>
                <w:color w:val="auto"/>
              </w:rPr>
              <w:t>。</w:t>
            </w:r>
          </w:p>
          <w:p>
            <w:pPr>
              <w:ind w:firstLine="480"/>
              <w:rPr>
                <w:color w:val="auto"/>
              </w:rPr>
            </w:pPr>
            <w:r>
              <w:rPr>
                <w:rFonts w:hint="eastAsia"/>
                <w:color w:val="auto"/>
              </w:rPr>
              <w:t>根据本环评第四章“运营期环境影响和保护措施”中大气污染物源强核算结果，本项目废气总量控制指标为SO</w:t>
            </w:r>
            <w:r>
              <w:rPr>
                <w:rFonts w:hint="eastAsia"/>
                <w:color w:val="auto"/>
                <w:vertAlign w:val="subscript"/>
              </w:rPr>
              <w:t>2</w:t>
            </w:r>
            <w:r>
              <w:rPr>
                <w:rFonts w:hint="eastAsia"/>
                <w:color w:val="auto"/>
              </w:rPr>
              <w:t>：0.174t/a和NOx：0.816t/a，现有项目为SO</w:t>
            </w:r>
            <w:r>
              <w:rPr>
                <w:rFonts w:hint="eastAsia"/>
                <w:color w:val="auto"/>
                <w:vertAlign w:val="subscript"/>
              </w:rPr>
              <w:t>2</w:t>
            </w:r>
            <w:r>
              <w:rPr>
                <w:rFonts w:hint="eastAsia"/>
                <w:color w:val="auto"/>
              </w:rPr>
              <w:t>：0.090t/a和NOx：0.419t/a。项目改扩建完成后全厂废气总量控制指标为SO</w:t>
            </w:r>
            <w:r>
              <w:rPr>
                <w:rFonts w:hint="eastAsia"/>
                <w:color w:val="auto"/>
                <w:vertAlign w:val="subscript"/>
              </w:rPr>
              <w:t>2</w:t>
            </w:r>
            <w:r>
              <w:rPr>
                <w:rFonts w:hint="eastAsia"/>
                <w:color w:val="auto"/>
              </w:rPr>
              <w:t>：0.264t/a和NOx：1.235/a。</w:t>
            </w:r>
          </w:p>
          <w:p>
            <w:pPr>
              <w:ind w:firstLine="480"/>
              <w:rPr>
                <w:color w:val="auto"/>
              </w:rPr>
            </w:pPr>
            <w:r>
              <w:rPr>
                <w:rFonts w:hint="eastAsia"/>
                <w:color w:val="auto"/>
              </w:rPr>
              <w:t>综上，本项目污染物排放总量控制指标情况详见表3-8，项目改扩建完成后全厂污染物排放总量控制指标情况详见表3-9。</w:t>
            </w:r>
          </w:p>
          <w:p>
            <w:pPr>
              <w:pStyle w:val="32"/>
              <w:rPr>
                <w:color w:val="auto"/>
              </w:rPr>
            </w:pPr>
            <w:r>
              <w:rPr>
                <w:rFonts w:hint="eastAsia"/>
                <w:color w:val="auto"/>
              </w:rPr>
              <w:t>表3-</w:t>
            </w:r>
            <w:r>
              <w:rPr>
                <w:color w:val="auto"/>
              </w:rPr>
              <w:fldChar w:fldCharType="begin"/>
            </w:r>
            <w:r>
              <w:rPr>
                <w:color w:val="auto"/>
              </w:rPr>
              <w:instrText xml:space="preserve"> SEQ 表3- </w:instrText>
            </w:r>
            <w:r>
              <w:rPr>
                <w:color w:val="auto"/>
              </w:rPr>
              <w:fldChar w:fldCharType="separate"/>
            </w:r>
            <w:r>
              <w:rPr>
                <w:color w:val="auto"/>
              </w:rPr>
              <w:t>1</w:t>
            </w:r>
            <w:r>
              <w:rPr>
                <w:rFonts w:hint="eastAsia"/>
                <w:color w:val="auto"/>
              </w:rPr>
              <w:t>8</w:t>
            </w:r>
            <w:r>
              <w:rPr>
                <w:color w:val="auto"/>
              </w:rPr>
              <w:fldChar w:fldCharType="end"/>
            </w:r>
            <w:r>
              <w:rPr>
                <w:rFonts w:hint="eastAsia"/>
                <w:color w:val="auto"/>
              </w:rPr>
              <w:t xml:space="preserve">  本项目污染物总量控制指标情况一览表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0"/>
              <w:gridCol w:w="2433"/>
              <w:gridCol w:w="31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30" w:type="dxa"/>
                  <w:vAlign w:val="center"/>
                </w:tcPr>
                <w:p>
                  <w:pPr>
                    <w:pStyle w:val="31"/>
                    <w:rPr>
                      <w:color w:val="auto"/>
                    </w:rPr>
                  </w:pPr>
                  <w:r>
                    <w:rPr>
                      <w:rFonts w:hint="eastAsia"/>
                      <w:color w:val="auto"/>
                    </w:rPr>
                    <w:t>污染物类别</w:t>
                  </w:r>
                </w:p>
              </w:tc>
              <w:tc>
                <w:tcPr>
                  <w:tcW w:w="2433" w:type="dxa"/>
                  <w:vAlign w:val="center"/>
                </w:tcPr>
                <w:p>
                  <w:pPr>
                    <w:pStyle w:val="31"/>
                    <w:rPr>
                      <w:color w:val="auto"/>
                    </w:rPr>
                  </w:pPr>
                  <w:r>
                    <w:rPr>
                      <w:rFonts w:hint="eastAsia"/>
                      <w:color w:val="auto"/>
                    </w:rPr>
                    <w:t>总量控制因子</w:t>
                  </w:r>
                </w:p>
              </w:tc>
              <w:tc>
                <w:tcPr>
                  <w:tcW w:w="3173" w:type="dxa"/>
                  <w:vAlign w:val="center"/>
                </w:tcPr>
                <w:p>
                  <w:pPr>
                    <w:pStyle w:val="31"/>
                    <w:rPr>
                      <w:color w:val="auto"/>
                    </w:rPr>
                  </w:pPr>
                  <w:r>
                    <w:rPr>
                      <w:rFonts w:hint="eastAsia"/>
                      <w:color w:val="auto"/>
                    </w:rPr>
                    <w:t>本项目核算排放量（</w:t>
                  </w:r>
                  <w:r>
                    <w:rPr>
                      <w:color w:val="auto"/>
                      <w:szCs w:val="21"/>
                    </w:rPr>
                    <w:t>t/a</w:t>
                  </w:r>
                  <w:r>
                    <w:rPr>
                      <w:rFonts w:hint="eastAsia"/>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30" w:type="dxa"/>
                  <w:vMerge w:val="restart"/>
                  <w:vAlign w:val="center"/>
                </w:tcPr>
                <w:p>
                  <w:pPr>
                    <w:pStyle w:val="31"/>
                    <w:rPr>
                      <w:color w:val="auto"/>
                    </w:rPr>
                  </w:pPr>
                  <w:r>
                    <w:rPr>
                      <w:rFonts w:hint="eastAsia"/>
                      <w:color w:val="auto"/>
                    </w:rPr>
                    <w:t>废水</w:t>
                  </w:r>
                </w:p>
              </w:tc>
              <w:tc>
                <w:tcPr>
                  <w:tcW w:w="2433" w:type="dxa"/>
                  <w:vAlign w:val="center"/>
                </w:tcPr>
                <w:p>
                  <w:pPr>
                    <w:pStyle w:val="31"/>
                    <w:rPr>
                      <w:color w:val="auto"/>
                    </w:rPr>
                  </w:pPr>
                  <w:r>
                    <w:rPr>
                      <w:rFonts w:hint="eastAsia"/>
                      <w:color w:val="auto"/>
                    </w:rPr>
                    <w:t>COD</w:t>
                  </w:r>
                </w:p>
              </w:tc>
              <w:tc>
                <w:tcPr>
                  <w:tcW w:w="3173" w:type="dxa"/>
                  <w:vAlign w:val="center"/>
                </w:tcPr>
                <w:p>
                  <w:pPr>
                    <w:pStyle w:val="31"/>
                    <w:rPr>
                      <w:color w:val="auto"/>
                    </w:rPr>
                  </w:pPr>
                  <w:r>
                    <w:rPr>
                      <w:rFonts w:hint="eastAsia"/>
                      <w:color w:val="auto"/>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30" w:type="dxa"/>
                  <w:vMerge w:val="continue"/>
                  <w:vAlign w:val="center"/>
                </w:tcPr>
                <w:p>
                  <w:pPr>
                    <w:pStyle w:val="31"/>
                    <w:rPr>
                      <w:color w:val="auto"/>
                    </w:rPr>
                  </w:pPr>
                  <w:bookmarkStart w:id="6" w:name="OLE_LINK3" w:colFirst="1" w:colLast="2"/>
                </w:p>
              </w:tc>
              <w:tc>
                <w:tcPr>
                  <w:tcW w:w="2433" w:type="dxa"/>
                  <w:vAlign w:val="center"/>
                </w:tcPr>
                <w:p>
                  <w:pPr>
                    <w:pStyle w:val="31"/>
                    <w:rPr>
                      <w:color w:val="auto"/>
                    </w:rPr>
                  </w:pPr>
                  <w:r>
                    <w:rPr>
                      <w:rFonts w:hint="eastAsia"/>
                      <w:color w:val="auto"/>
                    </w:rPr>
                    <w:t>NH</w:t>
                  </w:r>
                  <w:r>
                    <w:rPr>
                      <w:rFonts w:hint="eastAsia"/>
                      <w:color w:val="auto"/>
                      <w:vertAlign w:val="subscript"/>
                    </w:rPr>
                    <w:t>3</w:t>
                  </w:r>
                  <w:r>
                    <w:rPr>
                      <w:rFonts w:hint="eastAsia"/>
                      <w:color w:val="auto"/>
                    </w:rPr>
                    <w:t>-N</w:t>
                  </w:r>
                </w:p>
              </w:tc>
              <w:tc>
                <w:tcPr>
                  <w:tcW w:w="3173" w:type="dxa"/>
                  <w:vAlign w:val="center"/>
                </w:tcPr>
                <w:p>
                  <w:pPr>
                    <w:pStyle w:val="31"/>
                    <w:rPr>
                      <w:color w:val="auto"/>
                    </w:rPr>
                  </w:pPr>
                  <w:r>
                    <w:rPr>
                      <w:rFonts w:hint="eastAsia"/>
                      <w:color w:val="auto"/>
                    </w:rPr>
                    <w:t>0.66</w:t>
                  </w:r>
                </w:p>
              </w:tc>
            </w:tr>
            <w:bookmarkEnd w:id="6"/>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30" w:type="dxa"/>
                  <w:vMerge w:val="restart"/>
                  <w:vAlign w:val="center"/>
                </w:tcPr>
                <w:p>
                  <w:pPr>
                    <w:pStyle w:val="31"/>
                    <w:rPr>
                      <w:color w:val="auto"/>
                    </w:rPr>
                  </w:pPr>
                  <w:r>
                    <w:rPr>
                      <w:rFonts w:hint="eastAsia"/>
                      <w:color w:val="auto"/>
                    </w:rPr>
                    <w:t>废气</w:t>
                  </w:r>
                </w:p>
              </w:tc>
              <w:tc>
                <w:tcPr>
                  <w:tcW w:w="2433" w:type="dxa"/>
                  <w:vAlign w:val="center"/>
                </w:tcPr>
                <w:p>
                  <w:pPr>
                    <w:pStyle w:val="31"/>
                    <w:rPr>
                      <w:color w:val="auto"/>
                    </w:rPr>
                  </w:pPr>
                  <w:r>
                    <w:rPr>
                      <w:rFonts w:hint="eastAsia"/>
                      <w:color w:val="auto"/>
                    </w:rPr>
                    <w:t>SO</w:t>
                  </w:r>
                  <w:r>
                    <w:rPr>
                      <w:rFonts w:hint="eastAsia"/>
                      <w:color w:val="auto"/>
                      <w:vertAlign w:val="subscript"/>
                    </w:rPr>
                    <w:t>2</w:t>
                  </w:r>
                </w:p>
              </w:tc>
              <w:tc>
                <w:tcPr>
                  <w:tcW w:w="3173" w:type="dxa"/>
                  <w:vAlign w:val="center"/>
                </w:tcPr>
                <w:p>
                  <w:pPr>
                    <w:pStyle w:val="31"/>
                    <w:rPr>
                      <w:color w:val="auto"/>
                    </w:rPr>
                  </w:pPr>
                  <w:r>
                    <w:rPr>
                      <w:rFonts w:hint="eastAsia"/>
                      <w:color w:val="auto"/>
                    </w:rPr>
                    <w:t>0.174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30" w:type="dxa"/>
                  <w:vMerge w:val="continue"/>
                  <w:vAlign w:val="center"/>
                </w:tcPr>
                <w:p>
                  <w:pPr>
                    <w:pStyle w:val="31"/>
                    <w:rPr>
                      <w:color w:val="auto"/>
                    </w:rPr>
                  </w:pPr>
                </w:p>
              </w:tc>
              <w:tc>
                <w:tcPr>
                  <w:tcW w:w="2433" w:type="dxa"/>
                  <w:vAlign w:val="center"/>
                </w:tcPr>
                <w:p>
                  <w:pPr>
                    <w:pStyle w:val="31"/>
                    <w:rPr>
                      <w:color w:val="auto"/>
                    </w:rPr>
                  </w:pPr>
                  <w:r>
                    <w:rPr>
                      <w:rFonts w:hint="eastAsia"/>
                      <w:color w:val="auto"/>
                    </w:rPr>
                    <w:t>NO</w:t>
                  </w:r>
                  <w:r>
                    <w:rPr>
                      <w:rFonts w:hint="eastAsia"/>
                      <w:color w:val="auto"/>
                      <w:vertAlign w:val="subscript"/>
                    </w:rPr>
                    <w:t>x</w:t>
                  </w:r>
                </w:p>
              </w:tc>
              <w:tc>
                <w:tcPr>
                  <w:tcW w:w="3173" w:type="dxa"/>
                  <w:vAlign w:val="center"/>
                </w:tcPr>
                <w:p>
                  <w:pPr>
                    <w:pStyle w:val="31"/>
                    <w:rPr>
                      <w:color w:val="auto"/>
                    </w:rPr>
                  </w:pPr>
                  <w:r>
                    <w:rPr>
                      <w:rFonts w:hint="eastAsia"/>
                      <w:color w:val="auto"/>
                    </w:rPr>
                    <w:t>0.816</w:t>
                  </w:r>
                </w:p>
              </w:tc>
            </w:tr>
          </w:tbl>
          <w:p>
            <w:pPr>
              <w:ind w:firstLine="480"/>
              <w:rPr>
                <w:color w:val="auto"/>
              </w:rPr>
            </w:pPr>
            <w:r>
              <w:rPr>
                <w:rFonts w:hint="eastAsia"/>
                <w:color w:val="auto"/>
              </w:rPr>
              <w:t>由上表可知，本项目废水总量控制指标为COD 8.380t/a，氨氮0.66t/a，废气总量控制指标为SO</w:t>
            </w:r>
            <w:r>
              <w:rPr>
                <w:rFonts w:hint="eastAsia"/>
                <w:color w:val="auto"/>
                <w:vertAlign w:val="subscript"/>
              </w:rPr>
              <w:t>2</w:t>
            </w:r>
            <w:r>
              <w:rPr>
                <w:rFonts w:hint="eastAsia"/>
                <w:color w:val="auto"/>
              </w:rPr>
              <w:t>：1.359t/a和NOx：3.553t/a。总量需企业自行调配。</w:t>
            </w:r>
          </w:p>
          <w:p>
            <w:pPr>
              <w:pStyle w:val="32"/>
              <w:rPr>
                <w:color w:val="auto"/>
              </w:rPr>
            </w:pPr>
            <w:r>
              <w:rPr>
                <w:rFonts w:hint="eastAsia"/>
                <w:color w:val="auto"/>
              </w:rPr>
              <w:t>表3-9  项目改建完成后全厂污染物总量控制指标情况一览表（单位：t/a）</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915"/>
              <w:gridCol w:w="690"/>
              <w:gridCol w:w="758"/>
              <w:gridCol w:w="1215"/>
              <w:gridCol w:w="795"/>
              <w:gridCol w:w="1005"/>
              <w:gridCol w:w="900"/>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688" w:type="dxa"/>
                  <w:vAlign w:val="center"/>
                </w:tcPr>
                <w:p>
                  <w:pPr>
                    <w:pStyle w:val="31"/>
                    <w:rPr>
                      <w:color w:val="auto"/>
                    </w:rPr>
                  </w:pPr>
                  <w:r>
                    <w:rPr>
                      <w:rFonts w:hint="eastAsia"/>
                      <w:color w:val="auto"/>
                    </w:rPr>
                    <w:t>污染物类别</w:t>
                  </w:r>
                </w:p>
              </w:tc>
              <w:tc>
                <w:tcPr>
                  <w:tcW w:w="915" w:type="dxa"/>
                  <w:vAlign w:val="center"/>
                </w:tcPr>
                <w:p>
                  <w:pPr>
                    <w:pStyle w:val="31"/>
                    <w:rPr>
                      <w:color w:val="auto"/>
                    </w:rPr>
                  </w:pPr>
                  <w:r>
                    <w:rPr>
                      <w:rFonts w:hint="eastAsia"/>
                      <w:color w:val="auto"/>
                    </w:rPr>
                    <w:t>总量控制因子</w:t>
                  </w:r>
                </w:p>
              </w:tc>
              <w:tc>
                <w:tcPr>
                  <w:tcW w:w="690" w:type="dxa"/>
                  <w:vAlign w:val="center"/>
                </w:tcPr>
                <w:p>
                  <w:pPr>
                    <w:pStyle w:val="31"/>
                    <w:rPr>
                      <w:color w:val="auto"/>
                    </w:rPr>
                  </w:pPr>
                  <w:r>
                    <w:rPr>
                      <w:rFonts w:hint="eastAsia"/>
                      <w:color w:val="auto"/>
                    </w:rPr>
                    <w:t>现有项目</w:t>
                  </w:r>
                </w:p>
              </w:tc>
              <w:tc>
                <w:tcPr>
                  <w:tcW w:w="758" w:type="dxa"/>
                  <w:vAlign w:val="center"/>
                </w:tcPr>
                <w:p>
                  <w:pPr>
                    <w:pStyle w:val="31"/>
                    <w:rPr>
                      <w:color w:val="auto"/>
                    </w:rPr>
                  </w:pPr>
                  <w:r>
                    <w:rPr>
                      <w:rFonts w:hint="eastAsia"/>
                      <w:color w:val="auto"/>
                    </w:rPr>
                    <w:t>在建项目新增</w:t>
                  </w:r>
                </w:p>
              </w:tc>
              <w:tc>
                <w:tcPr>
                  <w:tcW w:w="1215" w:type="dxa"/>
                  <w:vAlign w:val="center"/>
                </w:tcPr>
                <w:p>
                  <w:pPr>
                    <w:pStyle w:val="31"/>
                    <w:rPr>
                      <w:color w:val="auto"/>
                    </w:rPr>
                  </w:pPr>
                  <w:r>
                    <w:rPr>
                      <w:rFonts w:hint="eastAsia"/>
                      <w:color w:val="auto"/>
                    </w:rPr>
                    <w:t>在建项目削减（以新代老削减）</w:t>
                  </w:r>
                </w:p>
              </w:tc>
              <w:tc>
                <w:tcPr>
                  <w:tcW w:w="795" w:type="dxa"/>
                  <w:vAlign w:val="center"/>
                </w:tcPr>
                <w:p>
                  <w:pPr>
                    <w:pStyle w:val="31"/>
                    <w:rPr>
                      <w:color w:val="auto"/>
                    </w:rPr>
                  </w:pPr>
                  <w:r>
                    <w:rPr>
                      <w:rFonts w:hint="eastAsia"/>
                      <w:color w:val="auto"/>
                    </w:rPr>
                    <w:t>本项目新增</w:t>
                  </w:r>
                </w:p>
              </w:tc>
              <w:tc>
                <w:tcPr>
                  <w:tcW w:w="1005" w:type="dxa"/>
                  <w:vAlign w:val="center"/>
                </w:tcPr>
                <w:p>
                  <w:pPr>
                    <w:pStyle w:val="31"/>
                    <w:rPr>
                      <w:color w:val="auto"/>
                    </w:rPr>
                  </w:pPr>
                  <w:r>
                    <w:rPr>
                      <w:rFonts w:hint="eastAsia"/>
                      <w:color w:val="auto"/>
                    </w:rPr>
                    <w:t>本项目削减（产能削减）</w:t>
                  </w:r>
                </w:p>
              </w:tc>
              <w:tc>
                <w:tcPr>
                  <w:tcW w:w="900" w:type="dxa"/>
                  <w:vAlign w:val="center"/>
                </w:tcPr>
                <w:p>
                  <w:pPr>
                    <w:pStyle w:val="31"/>
                    <w:rPr>
                      <w:color w:val="auto"/>
                    </w:rPr>
                  </w:pPr>
                  <w:r>
                    <w:rPr>
                      <w:rFonts w:hint="eastAsia"/>
                      <w:color w:val="auto"/>
                    </w:rPr>
                    <w:t>改建后全厂控制总量</w:t>
                  </w:r>
                </w:p>
              </w:tc>
              <w:tc>
                <w:tcPr>
                  <w:tcW w:w="870" w:type="dxa"/>
                  <w:vAlign w:val="center"/>
                </w:tcPr>
                <w:p>
                  <w:pPr>
                    <w:pStyle w:val="31"/>
                    <w:rPr>
                      <w:color w:val="auto"/>
                    </w:rPr>
                  </w:pPr>
                  <w:r>
                    <w:rPr>
                      <w:rFonts w:hint="eastAsia"/>
                      <w:color w:val="auto"/>
                    </w:rPr>
                    <w:t>企业现有核定排污权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8" w:type="dxa"/>
                  <w:vMerge w:val="restart"/>
                  <w:vAlign w:val="center"/>
                </w:tcPr>
                <w:p>
                  <w:pPr>
                    <w:pStyle w:val="31"/>
                    <w:rPr>
                      <w:color w:val="auto"/>
                    </w:rPr>
                  </w:pPr>
                  <w:r>
                    <w:rPr>
                      <w:rFonts w:hint="eastAsia"/>
                      <w:color w:val="auto"/>
                    </w:rPr>
                    <w:t>废水</w:t>
                  </w:r>
                </w:p>
              </w:tc>
              <w:tc>
                <w:tcPr>
                  <w:tcW w:w="915" w:type="dxa"/>
                  <w:vAlign w:val="center"/>
                </w:tcPr>
                <w:p>
                  <w:pPr>
                    <w:pStyle w:val="31"/>
                    <w:rPr>
                      <w:color w:val="auto"/>
                    </w:rPr>
                  </w:pPr>
                  <w:r>
                    <w:rPr>
                      <w:rFonts w:hint="eastAsia"/>
                      <w:color w:val="auto"/>
                    </w:rPr>
                    <w:t>COD</w:t>
                  </w:r>
                </w:p>
              </w:tc>
              <w:tc>
                <w:tcPr>
                  <w:tcW w:w="690" w:type="dxa"/>
                  <w:vAlign w:val="center"/>
                </w:tcPr>
                <w:p>
                  <w:pPr>
                    <w:pStyle w:val="31"/>
                    <w:rPr>
                      <w:color w:val="auto"/>
                    </w:rPr>
                  </w:pPr>
                  <w:r>
                    <w:rPr>
                      <w:rFonts w:hint="eastAsia"/>
                      <w:color w:val="auto"/>
                    </w:rPr>
                    <w:t>5.98</w:t>
                  </w:r>
                </w:p>
              </w:tc>
              <w:tc>
                <w:tcPr>
                  <w:tcW w:w="758" w:type="dxa"/>
                  <w:vAlign w:val="center"/>
                </w:tcPr>
                <w:p>
                  <w:pPr>
                    <w:pStyle w:val="31"/>
                    <w:rPr>
                      <w:color w:val="auto"/>
                    </w:rPr>
                  </w:pPr>
                  <w:r>
                    <w:rPr>
                      <w:rFonts w:hint="eastAsia"/>
                      <w:color w:val="auto"/>
                    </w:rPr>
                    <w:t>0</w:t>
                  </w:r>
                </w:p>
              </w:tc>
              <w:tc>
                <w:tcPr>
                  <w:tcW w:w="1215" w:type="dxa"/>
                  <w:vAlign w:val="center"/>
                </w:tcPr>
                <w:p>
                  <w:pPr>
                    <w:pStyle w:val="31"/>
                    <w:rPr>
                      <w:color w:val="auto"/>
                    </w:rPr>
                  </w:pPr>
                  <w:r>
                    <w:rPr>
                      <w:rFonts w:hint="eastAsia"/>
                      <w:color w:val="auto"/>
                    </w:rPr>
                    <w:t>/</w:t>
                  </w:r>
                </w:p>
              </w:tc>
              <w:tc>
                <w:tcPr>
                  <w:tcW w:w="795" w:type="dxa"/>
                  <w:vAlign w:val="center"/>
                </w:tcPr>
                <w:p>
                  <w:pPr>
                    <w:pStyle w:val="31"/>
                    <w:rPr>
                      <w:color w:val="auto"/>
                    </w:rPr>
                  </w:pPr>
                  <w:r>
                    <w:rPr>
                      <w:rFonts w:hint="eastAsia"/>
                      <w:color w:val="auto"/>
                    </w:rPr>
                    <w:t>2.4</w:t>
                  </w:r>
                </w:p>
              </w:tc>
              <w:tc>
                <w:tcPr>
                  <w:tcW w:w="1005" w:type="dxa"/>
                  <w:vAlign w:val="center"/>
                </w:tcPr>
                <w:p>
                  <w:pPr>
                    <w:pStyle w:val="31"/>
                    <w:rPr>
                      <w:color w:val="auto"/>
                    </w:rPr>
                  </w:pPr>
                  <w:r>
                    <w:rPr>
                      <w:rFonts w:hint="eastAsia"/>
                      <w:color w:val="auto"/>
                    </w:rPr>
                    <w:t>/</w:t>
                  </w:r>
                </w:p>
              </w:tc>
              <w:tc>
                <w:tcPr>
                  <w:tcW w:w="900" w:type="dxa"/>
                  <w:vAlign w:val="center"/>
                </w:tcPr>
                <w:p>
                  <w:pPr>
                    <w:pStyle w:val="31"/>
                    <w:rPr>
                      <w:color w:val="auto"/>
                    </w:rPr>
                  </w:pPr>
                  <w:r>
                    <w:rPr>
                      <w:rFonts w:hint="eastAsia"/>
                      <w:color w:val="auto"/>
                    </w:rPr>
                    <w:t>8.380</w:t>
                  </w:r>
                </w:p>
              </w:tc>
              <w:tc>
                <w:tcPr>
                  <w:tcW w:w="870" w:type="dxa"/>
                  <w:vAlign w:val="center"/>
                </w:tcPr>
                <w:p>
                  <w:pPr>
                    <w:pStyle w:val="31"/>
                    <w:rPr>
                      <w:color w:val="auto"/>
                    </w:rPr>
                  </w:pPr>
                  <w:r>
                    <w:rPr>
                      <w:rFonts w:hint="eastAsia"/>
                      <w:color w:val="auto"/>
                    </w:rPr>
                    <w:t>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688" w:type="dxa"/>
                  <w:vMerge w:val="continue"/>
                  <w:vAlign w:val="center"/>
                </w:tcPr>
                <w:p>
                  <w:pPr>
                    <w:pStyle w:val="31"/>
                    <w:rPr>
                      <w:color w:val="auto"/>
                    </w:rPr>
                  </w:pPr>
                </w:p>
              </w:tc>
              <w:tc>
                <w:tcPr>
                  <w:tcW w:w="915" w:type="dxa"/>
                  <w:vAlign w:val="center"/>
                </w:tcPr>
                <w:p>
                  <w:pPr>
                    <w:pStyle w:val="31"/>
                    <w:rPr>
                      <w:color w:val="auto"/>
                    </w:rPr>
                  </w:pPr>
                  <w:r>
                    <w:rPr>
                      <w:rFonts w:hint="eastAsia"/>
                      <w:color w:val="auto"/>
                    </w:rPr>
                    <w:t>NH</w:t>
                  </w:r>
                  <w:r>
                    <w:rPr>
                      <w:rFonts w:hint="eastAsia"/>
                      <w:color w:val="auto"/>
                      <w:vertAlign w:val="subscript"/>
                    </w:rPr>
                    <w:t>3</w:t>
                  </w:r>
                  <w:r>
                    <w:rPr>
                      <w:rFonts w:hint="eastAsia"/>
                      <w:color w:val="auto"/>
                    </w:rPr>
                    <w:t>-N</w:t>
                  </w:r>
                </w:p>
              </w:tc>
              <w:tc>
                <w:tcPr>
                  <w:tcW w:w="690" w:type="dxa"/>
                  <w:vAlign w:val="center"/>
                </w:tcPr>
                <w:p>
                  <w:pPr>
                    <w:pStyle w:val="31"/>
                    <w:rPr>
                      <w:color w:val="auto"/>
                    </w:rPr>
                  </w:pPr>
                  <w:r>
                    <w:rPr>
                      <w:rFonts w:hint="eastAsia"/>
                      <w:color w:val="auto"/>
                    </w:rPr>
                    <w:t>0.66</w:t>
                  </w:r>
                </w:p>
              </w:tc>
              <w:tc>
                <w:tcPr>
                  <w:tcW w:w="758" w:type="dxa"/>
                  <w:vAlign w:val="center"/>
                </w:tcPr>
                <w:p>
                  <w:pPr>
                    <w:pStyle w:val="31"/>
                    <w:rPr>
                      <w:color w:val="auto"/>
                    </w:rPr>
                  </w:pPr>
                  <w:r>
                    <w:rPr>
                      <w:rFonts w:hint="eastAsia"/>
                      <w:color w:val="auto"/>
                    </w:rPr>
                    <w:t>0</w:t>
                  </w:r>
                </w:p>
              </w:tc>
              <w:tc>
                <w:tcPr>
                  <w:tcW w:w="1215" w:type="dxa"/>
                  <w:vAlign w:val="center"/>
                </w:tcPr>
                <w:p>
                  <w:pPr>
                    <w:pStyle w:val="31"/>
                    <w:rPr>
                      <w:color w:val="auto"/>
                    </w:rPr>
                  </w:pPr>
                  <w:r>
                    <w:rPr>
                      <w:rFonts w:hint="eastAsia"/>
                      <w:color w:val="auto"/>
                    </w:rPr>
                    <w:t>/</w:t>
                  </w:r>
                </w:p>
              </w:tc>
              <w:tc>
                <w:tcPr>
                  <w:tcW w:w="795" w:type="dxa"/>
                  <w:vAlign w:val="center"/>
                </w:tcPr>
                <w:p>
                  <w:pPr>
                    <w:pStyle w:val="31"/>
                    <w:rPr>
                      <w:color w:val="auto"/>
                    </w:rPr>
                  </w:pPr>
                  <w:r>
                    <w:rPr>
                      <w:rFonts w:hint="eastAsia"/>
                      <w:color w:val="auto"/>
                    </w:rPr>
                    <w:t>0</w:t>
                  </w:r>
                </w:p>
              </w:tc>
              <w:tc>
                <w:tcPr>
                  <w:tcW w:w="1005" w:type="dxa"/>
                  <w:vAlign w:val="center"/>
                </w:tcPr>
                <w:p>
                  <w:pPr>
                    <w:pStyle w:val="31"/>
                    <w:rPr>
                      <w:color w:val="auto"/>
                    </w:rPr>
                  </w:pPr>
                  <w:r>
                    <w:rPr>
                      <w:rFonts w:hint="eastAsia"/>
                      <w:color w:val="auto"/>
                    </w:rPr>
                    <w:t>/</w:t>
                  </w:r>
                </w:p>
              </w:tc>
              <w:tc>
                <w:tcPr>
                  <w:tcW w:w="900" w:type="dxa"/>
                  <w:vAlign w:val="center"/>
                </w:tcPr>
                <w:p>
                  <w:pPr>
                    <w:pStyle w:val="31"/>
                    <w:rPr>
                      <w:color w:val="auto"/>
                    </w:rPr>
                  </w:pPr>
                  <w:r>
                    <w:rPr>
                      <w:rFonts w:hint="eastAsia"/>
                      <w:color w:val="auto"/>
                    </w:rPr>
                    <w:t>0.66</w:t>
                  </w:r>
                </w:p>
              </w:tc>
              <w:tc>
                <w:tcPr>
                  <w:tcW w:w="870" w:type="dxa"/>
                  <w:vAlign w:val="center"/>
                </w:tcPr>
                <w:p>
                  <w:pPr>
                    <w:pStyle w:val="31"/>
                    <w:rPr>
                      <w:color w:val="auto"/>
                    </w:rPr>
                  </w:pPr>
                  <w:r>
                    <w:rPr>
                      <w:rFonts w:hint="eastAsia"/>
                      <w:color w:val="auto"/>
                    </w:rPr>
                    <w:t>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vMerge w:val="restart"/>
                  <w:vAlign w:val="center"/>
                </w:tcPr>
                <w:p>
                  <w:pPr>
                    <w:pStyle w:val="31"/>
                    <w:rPr>
                      <w:color w:val="auto"/>
                    </w:rPr>
                  </w:pPr>
                  <w:r>
                    <w:rPr>
                      <w:rFonts w:hint="eastAsia"/>
                      <w:color w:val="auto"/>
                    </w:rPr>
                    <w:t>废气</w:t>
                  </w:r>
                </w:p>
              </w:tc>
              <w:tc>
                <w:tcPr>
                  <w:tcW w:w="915" w:type="dxa"/>
                  <w:vAlign w:val="center"/>
                </w:tcPr>
                <w:p>
                  <w:pPr>
                    <w:pStyle w:val="31"/>
                    <w:rPr>
                      <w:color w:val="auto"/>
                    </w:rPr>
                  </w:pPr>
                  <w:r>
                    <w:rPr>
                      <w:rFonts w:hint="eastAsia"/>
                      <w:color w:val="auto"/>
                    </w:rPr>
                    <w:t>SO</w:t>
                  </w:r>
                  <w:r>
                    <w:rPr>
                      <w:rFonts w:hint="eastAsia"/>
                      <w:color w:val="auto"/>
                      <w:vertAlign w:val="subscript"/>
                    </w:rPr>
                    <w:t>2</w:t>
                  </w:r>
                </w:p>
              </w:tc>
              <w:tc>
                <w:tcPr>
                  <w:tcW w:w="690" w:type="dxa"/>
                  <w:vAlign w:val="center"/>
                </w:tcPr>
                <w:p>
                  <w:pPr>
                    <w:pStyle w:val="31"/>
                    <w:rPr>
                      <w:color w:val="auto"/>
                    </w:rPr>
                  </w:pPr>
                  <w:r>
                    <w:rPr>
                      <w:rFonts w:hint="eastAsia"/>
                      <w:color w:val="auto"/>
                    </w:rPr>
                    <w:t>0.090</w:t>
                  </w:r>
                </w:p>
              </w:tc>
              <w:tc>
                <w:tcPr>
                  <w:tcW w:w="758" w:type="dxa"/>
                  <w:vAlign w:val="center"/>
                </w:tcPr>
                <w:p>
                  <w:pPr>
                    <w:pStyle w:val="31"/>
                    <w:rPr>
                      <w:color w:val="auto"/>
                    </w:rPr>
                  </w:pPr>
                  <w:r>
                    <w:rPr>
                      <w:rFonts w:hint="eastAsia"/>
                      <w:color w:val="auto"/>
                    </w:rPr>
                    <w:t>0</w:t>
                  </w:r>
                </w:p>
              </w:tc>
              <w:tc>
                <w:tcPr>
                  <w:tcW w:w="1215" w:type="dxa"/>
                  <w:vAlign w:val="center"/>
                </w:tcPr>
                <w:p>
                  <w:pPr>
                    <w:pStyle w:val="31"/>
                    <w:rPr>
                      <w:color w:val="auto"/>
                    </w:rPr>
                  </w:pPr>
                  <w:r>
                    <w:rPr>
                      <w:rFonts w:hint="eastAsia"/>
                      <w:color w:val="auto"/>
                    </w:rPr>
                    <w:t>/</w:t>
                  </w:r>
                </w:p>
              </w:tc>
              <w:tc>
                <w:tcPr>
                  <w:tcW w:w="795" w:type="dxa"/>
                  <w:vAlign w:val="center"/>
                </w:tcPr>
                <w:p>
                  <w:pPr>
                    <w:pStyle w:val="31"/>
                    <w:rPr>
                      <w:color w:val="auto"/>
                    </w:rPr>
                  </w:pPr>
                  <w:r>
                    <w:rPr>
                      <w:rFonts w:hint="eastAsia"/>
                      <w:color w:val="auto"/>
                    </w:rPr>
                    <w:t>0.174</w:t>
                  </w:r>
                </w:p>
              </w:tc>
              <w:tc>
                <w:tcPr>
                  <w:tcW w:w="1005" w:type="dxa"/>
                  <w:vAlign w:val="center"/>
                </w:tcPr>
                <w:p>
                  <w:pPr>
                    <w:pStyle w:val="31"/>
                    <w:rPr>
                      <w:color w:val="auto"/>
                    </w:rPr>
                  </w:pPr>
                  <w:r>
                    <w:rPr>
                      <w:rFonts w:hint="eastAsia"/>
                      <w:color w:val="auto"/>
                    </w:rPr>
                    <w:t>/</w:t>
                  </w:r>
                </w:p>
              </w:tc>
              <w:tc>
                <w:tcPr>
                  <w:tcW w:w="900" w:type="dxa"/>
                  <w:vAlign w:val="center"/>
                </w:tcPr>
                <w:p>
                  <w:pPr>
                    <w:pStyle w:val="31"/>
                    <w:rPr>
                      <w:color w:val="auto"/>
                    </w:rPr>
                  </w:pPr>
                  <w:r>
                    <w:rPr>
                      <w:rFonts w:hint="eastAsia"/>
                      <w:color w:val="auto"/>
                    </w:rPr>
                    <w:t>0.264</w:t>
                  </w:r>
                </w:p>
              </w:tc>
              <w:tc>
                <w:tcPr>
                  <w:tcW w:w="870" w:type="dxa"/>
                  <w:vAlign w:val="center"/>
                </w:tcPr>
                <w:p>
                  <w:pPr>
                    <w:pStyle w:val="31"/>
                    <w:rPr>
                      <w:color w:val="auto"/>
                    </w:rPr>
                  </w:pPr>
                  <w:r>
                    <w:rPr>
                      <w:rFonts w:hint="eastAsia"/>
                      <w:color w:val="auto"/>
                    </w:rPr>
                    <w:t>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8" w:type="dxa"/>
                  <w:vMerge w:val="continue"/>
                  <w:vAlign w:val="center"/>
                </w:tcPr>
                <w:p>
                  <w:pPr>
                    <w:pStyle w:val="31"/>
                    <w:rPr>
                      <w:color w:val="auto"/>
                    </w:rPr>
                  </w:pPr>
                </w:p>
              </w:tc>
              <w:tc>
                <w:tcPr>
                  <w:tcW w:w="915" w:type="dxa"/>
                  <w:vAlign w:val="center"/>
                </w:tcPr>
                <w:p>
                  <w:pPr>
                    <w:pStyle w:val="31"/>
                    <w:rPr>
                      <w:color w:val="auto"/>
                    </w:rPr>
                  </w:pPr>
                  <w:r>
                    <w:rPr>
                      <w:rFonts w:hint="eastAsia"/>
                      <w:color w:val="auto"/>
                    </w:rPr>
                    <w:t>NO</w:t>
                  </w:r>
                  <w:r>
                    <w:rPr>
                      <w:rFonts w:hint="eastAsia"/>
                      <w:color w:val="auto"/>
                      <w:vertAlign w:val="subscript"/>
                    </w:rPr>
                    <w:t>x</w:t>
                  </w:r>
                </w:p>
              </w:tc>
              <w:tc>
                <w:tcPr>
                  <w:tcW w:w="690" w:type="dxa"/>
                  <w:vAlign w:val="center"/>
                </w:tcPr>
                <w:p>
                  <w:pPr>
                    <w:pStyle w:val="31"/>
                    <w:rPr>
                      <w:color w:val="auto"/>
                    </w:rPr>
                  </w:pPr>
                  <w:r>
                    <w:rPr>
                      <w:rFonts w:hint="eastAsia"/>
                      <w:color w:val="auto"/>
                    </w:rPr>
                    <w:t>0.419</w:t>
                  </w:r>
                </w:p>
              </w:tc>
              <w:tc>
                <w:tcPr>
                  <w:tcW w:w="758" w:type="dxa"/>
                  <w:vAlign w:val="center"/>
                </w:tcPr>
                <w:p>
                  <w:pPr>
                    <w:pStyle w:val="31"/>
                    <w:rPr>
                      <w:color w:val="auto"/>
                    </w:rPr>
                  </w:pPr>
                  <w:r>
                    <w:rPr>
                      <w:rFonts w:hint="eastAsia"/>
                      <w:color w:val="auto"/>
                    </w:rPr>
                    <w:t>0</w:t>
                  </w:r>
                </w:p>
              </w:tc>
              <w:tc>
                <w:tcPr>
                  <w:tcW w:w="1215" w:type="dxa"/>
                  <w:vAlign w:val="center"/>
                </w:tcPr>
                <w:p>
                  <w:pPr>
                    <w:pStyle w:val="31"/>
                    <w:rPr>
                      <w:color w:val="auto"/>
                    </w:rPr>
                  </w:pPr>
                  <w:r>
                    <w:rPr>
                      <w:rFonts w:hint="eastAsia"/>
                      <w:color w:val="auto"/>
                    </w:rPr>
                    <w:t>/</w:t>
                  </w:r>
                </w:p>
              </w:tc>
              <w:tc>
                <w:tcPr>
                  <w:tcW w:w="795" w:type="dxa"/>
                  <w:vAlign w:val="center"/>
                </w:tcPr>
                <w:p>
                  <w:pPr>
                    <w:pStyle w:val="31"/>
                    <w:rPr>
                      <w:color w:val="auto"/>
                    </w:rPr>
                  </w:pPr>
                  <w:r>
                    <w:rPr>
                      <w:rFonts w:hint="eastAsia"/>
                      <w:color w:val="auto"/>
                    </w:rPr>
                    <w:t>0.816</w:t>
                  </w:r>
                </w:p>
              </w:tc>
              <w:tc>
                <w:tcPr>
                  <w:tcW w:w="1005" w:type="dxa"/>
                  <w:vAlign w:val="center"/>
                </w:tcPr>
                <w:p>
                  <w:pPr>
                    <w:pStyle w:val="31"/>
                    <w:rPr>
                      <w:color w:val="auto"/>
                    </w:rPr>
                  </w:pPr>
                  <w:r>
                    <w:rPr>
                      <w:rFonts w:hint="eastAsia"/>
                      <w:color w:val="auto"/>
                    </w:rPr>
                    <w:t>/</w:t>
                  </w:r>
                </w:p>
              </w:tc>
              <w:tc>
                <w:tcPr>
                  <w:tcW w:w="900" w:type="dxa"/>
                  <w:vAlign w:val="center"/>
                </w:tcPr>
                <w:p>
                  <w:pPr>
                    <w:pStyle w:val="31"/>
                    <w:rPr>
                      <w:color w:val="auto"/>
                    </w:rPr>
                  </w:pPr>
                  <w:r>
                    <w:rPr>
                      <w:rFonts w:hint="eastAsia"/>
                      <w:color w:val="auto"/>
                    </w:rPr>
                    <w:t>1.235</w:t>
                  </w:r>
                </w:p>
              </w:tc>
              <w:tc>
                <w:tcPr>
                  <w:tcW w:w="870" w:type="dxa"/>
                  <w:vAlign w:val="center"/>
                </w:tcPr>
                <w:p>
                  <w:pPr>
                    <w:pStyle w:val="31"/>
                    <w:rPr>
                      <w:color w:val="auto"/>
                    </w:rPr>
                  </w:pPr>
                  <w:r>
                    <w:rPr>
                      <w:rFonts w:hint="eastAsia"/>
                      <w:color w:val="auto"/>
                    </w:rPr>
                    <w:t>0.416</w:t>
                  </w:r>
                </w:p>
              </w:tc>
            </w:tr>
          </w:tbl>
          <w:p>
            <w:pPr>
              <w:pStyle w:val="37"/>
              <w:adjustRightInd/>
              <w:ind w:firstLine="480"/>
              <w:jc w:val="left"/>
              <w:rPr>
                <w:color w:val="auto"/>
                <w:sz w:val="24"/>
              </w:rPr>
            </w:pPr>
            <w:r>
              <w:rPr>
                <w:rFonts w:hint="eastAsia"/>
                <w:color w:val="auto"/>
                <w:sz w:val="24"/>
              </w:rPr>
              <w:t>由上表可知，本项目扩建完成后全厂废水建议总量控制指标为COD 8.380t/a，氨氮0.66t/a</w:t>
            </w:r>
            <w:r>
              <w:rPr>
                <w:rFonts w:hint="eastAsia" w:ascii="Calibri Light" w:hAnsi="Calibri Light" w:cs="Calibri Light"/>
                <w:color w:val="auto"/>
                <w:sz w:val="24"/>
              </w:rPr>
              <w:t>；废气</w:t>
            </w:r>
            <w:r>
              <w:rPr>
                <w:rFonts w:hint="eastAsia"/>
                <w:color w:val="auto"/>
                <w:sz w:val="24"/>
              </w:rPr>
              <w:t>建议总量控制指标为SO</w:t>
            </w:r>
            <w:r>
              <w:rPr>
                <w:rFonts w:hint="eastAsia"/>
                <w:color w:val="auto"/>
                <w:sz w:val="24"/>
                <w:vertAlign w:val="subscript"/>
              </w:rPr>
              <w:t>2</w:t>
            </w:r>
            <w:r>
              <w:rPr>
                <w:rFonts w:hint="eastAsia"/>
                <w:color w:val="auto"/>
                <w:sz w:val="24"/>
              </w:rPr>
              <w:t>：0.264t/a、NOx：1.235t/a，SO</w:t>
            </w:r>
            <w:r>
              <w:rPr>
                <w:rFonts w:hint="eastAsia"/>
                <w:color w:val="auto"/>
                <w:sz w:val="24"/>
                <w:vertAlign w:val="subscript"/>
              </w:rPr>
              <w:t>2</w:t>
            </w:r>
            <w:r>
              <w:rPr>
                <w:rFonts w:hint="eastAsia"/>
                <w:color w:val="auto"/>
                <w:sz w:val="24"/>
              </w:rPr>
              <w:t>和NOx超过企业现有核定排污权量，</w:t>
            </w:r>
            <w:r>
              <w:rPr>
                <w:rFonts w:hint="eastAsia"/>
                <w:bCs/>
                <w:color w:val="auto"/>
                <w:sz w:val="24"/>
              </w:rPr>
              <w:t>需申请大气污染物总量控制指标SO</w:t>
            </w:r>
            <w:r>
              <w:rPr>
                <w:rFonts w:hint="eastAsia"/>
                <w:bCs/>
                <w:color w:val="auto"/>
                <w:sz w:val="24"/>
                <w:vertAlign w:val="subscript"/>
              </w:rPr>
              <w:t>2</w:t>
            </w:r>
            <w:r>
              <w:rPr>
                <w:rFonts w:hint="eastAsia"/>
                <w:bCs/>
                <w:color w:val="auto"/>
                <w:sz w:val="24"/>
              </w:rPr>
              <w:t>：0.239t/a和NOx：0.819t/a</w:t>
            </w:r>
          </w:p>
          <w:p>
            <w:pPr>
              <w:ind w:firstLine="480"/>
              <w:rPr>
                <w:color w:val="auto"/>
              </w:rPr>
            </w:pPr>
            <w:r>
              <w:rPr>
                <w:rFonts w:hint="eastAsia"/>
                <w:color w:val="auto"/>
              </w:rPr>
              <w:t>具体由生态环境部门审核。</w:t>
            </w:r>
          </w:p>
        </w:tc>
      </w:tr>
    </w:tbl>
    <w:p>
      <w:pPr>
        <w:ind w:firstLine="480"/>
        <w:rPr>
          <w:color w:val="auto"/>
        </w:rPr>
      </w:pPr>
      <w:r>
        <w:rPr>
          <w:rFonts w:hint="eastAsia"/>
          <w:color w:val="auto"/>
        </w:rPr>
        <w:br w:type="page"/>
      </w:r>
    </w:p>
    <w:p>
      <w:pPr>
        <w:pStyle w:val="4"/>
        <w:rPr>
          <w:color w:val="auto"/>
        </w:rPr>
      </w:pPr>
      <w:bookmarkStart w:id="7" w:name="_Toc213108123"/>
      <w:r>
        <w:rPr>
          <w:rFonts w:hint="eastAsia"/>
          <w:color w:val="auto"/>
        </w:rPr>
        <w:t>四、主要环境影响和保护措施</w:t>
      </w:r>
      <w:bookmarkEnd w:id="7"/>
    </w:p>
    <w:tbl>
      <w:tblPr>
        <w:tblStyle w:val="23"/>
        <w:tblW w:w="508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78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dxa"/>
            <w:tcMar>
              <w:top w:w="0" w:type="dxa"/>
              <w:left w:w="0" w:type="dxa"/>
              <w:bottom w:w="0" w:type="dxa"/>
              <w:right w:w="108" w:type="dxa"/>
            </w:tcMar>
            <w:vAlign w:val="center"/>
          </w:tcPr>
          <w:p>
            <w:pPr>
              <w:ind w:firstLine="0" w:firstLineChars="0"/>
              <w:jc w:val="center"/>
              <w:rPr>
                <w:color w:val="auto"/>
              </w:rPr>
            </w:pPr>
            <w:r>
              <w:rPr>
                <w:rFonts w:hint="eastAsia"/>
                <w:color w:val="auto"/>
              </w:rPr>
              <w:t>施工期环境保护措施</w:t>
            </w:r>
          </w:p>
        </w:tc>
        <w:tc>
          <w:tcPr>
            <w:tcW w:w="7816" w:type="dxa"/>
          </w:tcPr>
          <w:p>
            <w:pPr>
              <w:pStyle w:val="10"/>
              <w:ind w:left="0" w:leftChars="0" w:firstLine="480"/>
              <w:rPr>
                <w:color w:val="auto"/>
              </w:rPr>
            </w:pPr>
            <w:r>
              <w:rPr>
                <w:color w:val="auto"/>
              </w:rPr>
              <w:t>本项目为</w:t>
            </w:r>
            <w:r>
              <w:rPr>
                <w:rFonts w:hint="eastAsia"/>
                <w:color w:val="auto"/>
                <w:szCs w:val="24"/>
                <w:lang w:eastAsia="zh-CN"/>
              </w:rPr>
              <w:t>衡阳桑德凯天再生资源科技有限公司3t/h沼气锅炉改扩建项目</w:t>
            </w:r>
            <w:r>
              <w:rPr>
                <w:rFonts w:hint="eastAsia"/>
                <w:color w:val="auto"/>
                <w:szCs w:val="24"/>
              </w:rPr>
              <w:t>项目</w:t>
            </w:r>
            <w:r>
              <w:rPr>
                <w:color w:val="auto"/>
              </w:rPr>
              <w:t>，本项目为沼气锅炉扩建项目，</w:t>
            </w:r>
            <w:r>
              <w:rPr>
                <w:rFonts w:hint="eastAsia"/>
                <w:color w:val="auto"/>
              </w:rPr>
              <w:t>不新增用地。</w:t>
            </w:r>
            <w:r>
              <w:rPr>
                <w:color w:val="auto"/>
              </w:rPr>
              <w:t>施工期只需进行简单的锅炉设备安装，没有土建和其他施工。因此施工活动影响很小，施工期短，对周边环境影响不大。故本评价施工期环境影响分析从略。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6" w:type="dxa"/>
            <w:tcMar>
              <w:top w:w="0" w:type="dxa"/>
              <w:left w:w="0" w:type="dxa"/>
              <w:bottom w:w="0" w:type="dxa"/>
              <w:right w:w="108" w:type="dxa"/>
            </w:tcMar>
            <w:vAlign w:val="center"/>
          </w:tcPr>
          <w:p>
            <w:pPr>
              <w:ind w:firstLine="0" w:firstLineChars="0"/>
              <w:jc w:val="center"/>
              <w:rPr>
                <w:color w:val="auto"/>
              </w:rPr>
            </w:pPr>
            <w:r>
              <w:rPr>
                <w:rFonts w:hint="eastAsia"/>
                <w:color w:val="auto"/>
              </w:rPr>
              <w:t>运营期环境影响和保护措施</w:t>
            </w:r>
          </w:p>
        </w:tc>
        <w:tc>
          <w:tcPr>
            <w:tcW w:w="7816" w:type="dxa"/>
          </w:tcPr>
          <w:p>
            <w:pPr>
              <w:ind w:firstLine="0" w:firstLineChars="0"/>
              <w:rPr>
                <w:b/>
                <w:bCs/>
                <w:color w:val="auto"/>
              </w:rPr>
            </w:pPr>
            <w:r>
              <w:rPr>
                <w:rFonts w:hint="eastAsia"/>
                <w:b/>
                <w:bCs/>
                <w:color w:val="auto"/>
              </w:rPr>
              <w:t>1、</w:t>
            </w:r>
            <w:r>
              <w:rPr>
                <w:b/>
                <w:bCs/>
                <w:color w:val="auto"/>
              </w:rPr>
              <w:t>废气环境影响分析和保护措施</w:t>
            </w:r>
          </w:p>
          <w:p>
            <w:pPr>
              <w:pStyle w:val="10"/>
              <w:spacing w:after="0"/>
              <w:ind w:left="0" w:leftChars="0" w:firstLine="480"/>
              <w:rPr>
                <w:color w:val="auto"/>
              </w:rPr>
            </w:pPr>
            <w:r>
              <w:rPr>
                <w:rFonts w:hint="eastAsia"/>
                <w:color w:val="auto"/>
              </w:rPr>
              <w:t>根据前文建设内容、运营期工艺流程及产污环节分析，本项目营运期生产废气主要为锅炉的</w:t>
            </w:r>
            <w:r>
              <w:rPr>
                <w:color w:val="auto"/>
              </w:rPr>
              <w:t>燃烧废气</w:t>
            </w:r>
            <w:r>
              <w:rPr>
                <w:rFonts w:hint="eastAsia"/>
                <w:color w:val="auto"/>
              </w:rPr>
              <w:t>，主要污染因子为颗粒物、SO</w:t>
            </w:r>
            <w:r>
              <w:rPr>
                <w:rFonts w:hint="eastAsia"/>
                <w:color w:val="auto"/>
                <w:vertAlign w:val="subscript"/>
              </w:rPr>
              <w:t>2</w:t>
            </w:r>
            <w:r>
              <w:rPr>
                <w:rFonts w:hint="eastAsia"/>
                <w:color w:val="auto"/>
              </w:rPr>
              <w:t>、NOx，</w:t>
            </w:r>
            <w:r>
              <w:rPr>
                <w:color w:val="auto"/>
              </w:rPr>
              <w:t>经排气筒DA001（15m）排放</w:t>
            </w:r>
            <w:r>
              <w:rPr>
                <w:rFonts w:hint="eastAsia"/>
                <w:color w:val="auto"/>
              </w:rPr>
              <w:t>。本项目有组织排放的颗粒物、SO</w:t>
            </w:r>
            <w:r>
              <w:rPr>
                <w:rFonts w:hint="eastAsia"/>
                <w:color w:val="auto"/>
                <w:vertAlign w:val="subscript"/>
              </w:rPr>
              <w:t>2</w:t>
            </w:r>
            <w:r>
              <w:rPr>
                <w:rFonts w:hint="eastAsia"/>
                <w:color w:val="auto"/>
              </w:rPr>
              <w:t>和NOx执行</w:t>
            </w:r>
            <w:r>
              <w:rPr>
                <w:color w:val="auto"/>
              </w:rPr>
              <w:t>《锅炉大气污染物排放标准》(GB13271-2014)中</w:t>
            </w:r>
            <w:r>
              <w:rPr>
                <w:rFonts w:hint="eastAsia"/>
                <w:color w:val="auto"/>
              </w:rPr>
              <w:t>表2燃气锅炉标准。</w:t>
            </w:r>
          </w:p>
          <w:p>
            <w:pPr>
              <w:widowControl/>
              <w:ind w:firstLine="480"/>
              <w:jc w:val="left"/>
              <w:rPr>
                <w:color w:val="auto"/>
              </w:rPr>
            </w:pPr>
            <w:r>
              <w:rPr>
                <w:rFonts w:hint="eastAsia" w:ascii="宋体" w:hAnsi="宋体" w:cs="宋体"/>
                <w:color w:val="auto"/>
                <w:kern w:val="0"/>
                <w:lang w:bidi="ar"/>
              </w:rPr>
              <w:t>现有工程共有两部分废气产生，经</w:t>
            </w:r>
            <w:r>
              <w:rPr>
                <w:rFonts w:hint="eastAsia"/>
                <w:color w:val="auto"/>
              </w:rPr>
              <w:t>DA001排气筒（15m）排放</w:t>
            </w:r>
            <w:r>
              <w:rPr>
                <w:rFonts w:hint="eastAsia" w:ascii="宋体" w:hAnsi="宋体" w:cs="宋体"/>
                <w:color w:val="auto"/>
                <w:kern w:val="0"/>
                <w:lang w:bidi="ar"/>
              </w:rPr>
              <w:t>。废气产生及排放情况、治理措施、排污口信息详见表</w:t>
            </w:r>
            <w:r>
              <w:rPr>
                <w:color w:val="auto"/>
                <w:kern w:val="0"/>
                <w:lang w:bidi="ar"/>
              </w:rPr>
              <w:t>4-</w:t>
            </w:r>
            <w:r>
              <w:rPr>
                <w:rFonts w:hint="eastAsia"/>
                <w:color w:val="auto"/>
                <w:kern w:val="0"/>
                <w:lang w:bidi="ar"/>
              </w:rPr>
              <w:t>1、</w:t>
            </w:r>
            <w:r>
              <w:rPr>
                <w:rFonts w:hint="eastAsia" w:ascii="宋体" w:hAnsi="宋体" w:cs="宋体"/>
                <w:color w:val="auto"/>
                <w:kern w:val="0"/>
                <w:lang w:bidi="ar"/>
              </w:rPr>
              <w:t>表</w:t>
            </w:r>
            <w:r>
              <w:rPr>
                <w:color w:val="auto"/>
                <w:kern w:val="0"/>
                <w:lang w:bidi="ar"/>
              </w:rPr>
              <w:t>4-</w:t>
            </w:r>
            <w:r>
              <w:rPr>
                <w:rFonts w:hint="eastAsia"/>
                <w:color w:val="auto"/>
                <w:kern w:val="0"/>
                <w:lang w:bidi="ar"/>
              </w:rPr>
              <w:t>2</w:t>
            </w:r>
            <w:r>
              <w:rPr>
                <w:rFonts w:hint="eastAsia" w:ascii="宋体" w:hAnsi="宋体" w:cs="宋体"/>
                <w:color w:val="auto"/>
                <w:kern w:val="0"/>
                <w:lang w:bidi="ar"/>
              </w:rPr>
              <w:t>。</w:t>
            </w:r>
          </w:p>
        </w:tc>
      </w:tr>
    </w:tbl>
    <w:p>
      <w:pPr>
        <w:ind w:firstLine="0" w:firstLineChars="0"/>
        <w:jc w:val="center"/>
        <w:rPr>
          <w:color w:val="auto"/>
        </w:rPr>
        <w:sectPr>
          <w:footerReference r:id="rId10" w:type="default"/>
          <w:pgSz w:w="11906" w:h="16838"/>
          <w:pgMar w:top="1440" w:right="1800" w:bottom="1440" w:left="1800" w:header="851" w:footer="992" w:gutter="0"/>
          <w:pgNumType w:start="1"/>
          <w:cols w:space="425" w:num="1"/>
          <w:docGrid w:type="lines" w:linePitch="312" w:charSpace="0"/>
        </w:sectPr>
      </w:pPr>
    </w:p>
    <w:p>
      <w:pPr>
        <w:pStyle w:val="32"/>
        <w:rPr>
          <w:color w:val="auto"/>
        </w:rPr>
      </w:pPr>
      <w:r>
        <w:rPr>
          <w:rFonts w:hint="eastAsia"/>
          <w:color w:val="auto"/>
        </w:rPr>
        <w:t>表4-1  现有项目污染物总量控制指标情况一览表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
        <w:gridCol w:w="447"/>
        <w:gridCol w:w="639"/>
        <w:gridCol w:w="1021"/>
        <w:gridCol w:w="855"/>
        <w:gridCol w:w="1035"/>
        <w:gridCol w:w="1110"/>
        <w:gridCol w:w="435"/>
        <w:gridCol w:w="540"/>
        <w:gridCol w:w="660"/>
        <w:gridCol w:w="420"/>
        <w:gridCol w:w="375"/>
        <w:gridCol w:w="870"/>
        <w:gridCol w:w="1095"/>
        <w:gridCol w:w="1185"/>
        <w:gridCol w:w="653"/>
        <w:gridCol w:w="877"/>
        <w:gridCol w:w="786"/>
        <w:gridCol w:w="4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47" w:type="dxa"/>
            <w:vMerge w:val="restart"/>
            <w:vAlign w:val="center"/>
          </w:tcPr>
          <w:p>
            <w:pPr>
              <w:pStyle w:val="31"/>
              <w:rPr>
                <w:color w:val="auto"/>
              </w:rPr>
            </w:pPr>
            <w:r>
              <w:rPr>
                <w:rFonts w:hint="eastAsia"/>
                <w:color w:val="auto"/>
              </w:rPr>
              <w:t>产污环节</w:t>
            </w:r>
          </w:p>
        </w:tc>
        <w:tc>
          <w:tcPr>
            <w:tcW w:w="447" w:type="dxa"/>
            <w:vMerge w:val="restart"/>
            <w:vAlign w:val="center"/>
          </w:tcPr>
          <w:p>
            <w:pPr>
              <w:pStyle w:val="31"/>
              <w:rPr>
                <w:color w:val="auto"/>
              </w:rPr>
            </w:pPr>
            <w:r>
              <w:rPr>
                <w:rFonts w:hint="eastAsia"/>
                <w:color w:val="auto"/>
              </w:rPr>
              <w:t>污染物</w:t>
            </w:r>
          </w:p>
        </w:tc>
        <w:tc>
          <w:tcPr>
            <w:tcW w:w="639" w:type="dxa"/>
            <w:vMerge w:val="restart"/>
            <w:vAlign w:val="center"/>
          </w:tcPr>
          <w:p>
            <w:pPr>
              <w:pStyle w:val="31"/>
              <w:rPr>
                <w:color w:val="auto"/>
              </w:rPr>
            </w:pPr>
            <w:r>
              <w:rPr>
                <w:rFonts w:hint="eastAsia"/>
                <w:color w:val="auto"/>
              </w:rPr>
              <w:t>污染因子</w:t>
            </w:r>
          </w:p>
        </w:tc>
        <w:tc>
          <w:tcPr>
            <w:tcW w:w="1021" w:type="dxa"/>
            <w:vMerge w:val="restart"/>
            <w:vAlign w:val="center"/>
          </w:tcPr>
          <w:p>
            <w:pPr>
              <w:pStyle w:val="31"/>
              <w:rPr>
                <w:color w:val="auto"/>
              </w:rPr>
            </w:pPr>
            <w:r>
              <w:rPr>
                <w:rFonts w:hint="eastAsia"/>
                <w:color w:val="auto"/>
              </w:rPr>
              <w:t>风量（m</w:t>
            </w:r>
            <w:r>
              <w:rPr>
                <w:rFonts w:hint="eastAsia"/>
                <w:color w:val="auto"/>
                <w:vertAlign w:val="superscript"/>
              </w:rPr>
              <w:t>3</w:t>
            </w:r>
            <w:r>
              <w:rPr>
                <w:rFonts w:hint="eastAsia"/>
                <w:color w:val="auto"/>
              </w:rPr>
              <w:t>/h）</w:t>
            </w:r>
          </w:p>
        </w:tc>
        <w:tc>
          <w:tcPr>
            <w:tcW w:w="3000" w:type="dxa"/>
            <w:gridSpan w:val="3"/>
            <w:vAlign w:val="center"/>
          </w:tcPr>
          <w:p>
            <w:pPr>
              <w:pStyle w:val="31"/>
              <w:rPr>
                <w:color w:val="auto"/>
              </w:rPr>
            </w:pPr>
            <w:r>
              <w:rPr>
                <w:rFonts w:hint="eastAsia"/>
                <w:color w:val="auto"/>
              </w:rPr>
              <w:t>污染物产生情况</w:t>
            </w:r>
          </w:p>
        </w:tc>
        <w:tc>
          <w:tcPr>
            <w:tcW w:w="2430" w:type="dxa"/>
            <w:gridSpan w:val="5"/>
            <w:vAlign w:val="center"/>
          </w:tcPr>
          <w:p>
            <w:pPr>
              <w:pStyle w:val="31"/>
              <w:rPr>
                <w:color w:val="auto"/>
              </w:rPr>
            </w:pPr>
            <w:r>
              <w:rPr>
                <w:rFonts w:hint="eastAsia"/>
                <w:color w:val="auto"/>
              </w:rPr>
              <w:t>治理措施</w:t>
            </w:r>
          </w:p>
        </w:tc>
        <w:tc>
          <w:tcPr>
            <w:tcW w:w="4680" w:type="dxa"/>
            <w:gridSpan w:val="5"/>
            <w:vAlign w:val="center"/>
          </w:tcPr>
          <w:p>
            <w:pPr>
              <w:pStyle w:val="31"/>
              <w:rPr>
                <w:color w:val="auto"/>
              </w:rPr>
            </w:pPr>
            <w:r>
              <w:rPr>
                <w:rFonts w:hint="eastAsia"/>
                <w:color w:val="auto"/>
              </w:rPr>
              <w:t>污染物排放情况</w:t>
            </w:r>
          </w:p>
        </w:tc>
        <w:tc>
          <w:tcPr>
            <w:tcW w:w="786" w:type="dxa"/>
            <w:vAlign w:val="center"/>
          </w:tcPr>
          <w:p>
            <w:pPr>
              <w:pStyle w:val="31"/>
              <w:rPr>
                <w:color w:val="auto"/>
              </w:rPr>
            </w:pPr>
            <w:r>
              <w:rPr>
                <w:rFonts w:hint="eastAsia"/>
                <w:color w:val="auto"/>
              </w:rPr>
              <w:t>排放标准</w:t>
            </w:r>
          </w:p>
        </w:tc>
        <w:tc>
          <w:tcPr>
            <w:tcW w:w="447" w:type="dxa"/>
            <w:vMerge w:val="restart"/>
            <w:vAlign w:val="center"/>
          </w:tcPr>
          <w:p>
            <w:pPr>
              <w:pStyle w:val="31"/>
              <w:rPr>
                <w:color w:val="auto"/>
              </w:rPr>
            </w:pPr>
            <w:r>
              <w:rPr>
                <w:rFonts w:hint="eastAsia"/>
                <w:color w:val="auto"/>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47" w:type="dxa"/>
            <w:vMerge w:val="continue"/>
            <w:vAlign w:val="center"/>
          </w:tcPr>
          <w:p>
            <w:pPr>
              <w:pStyle w:val="31"/>
              <w:rPr>
                <w:color w:val="auto"/>
              </w:rPr>
            </w:pPr>
          </w:p>
        </w:tc>
        <w:tc>
          <w:tcPr>
            <w:tcW w:w="447" w:type="dxa"/>
            <w:vMerge w:val="continue"/>
            <w:vAlign w:val="center"/>
          </w:tcPr>
          <w:p>
            <w:pPr>
              <w:pStyle w:val="31"/>
              <w:rPr>
                <w:color w:val="auto"/>
              </w:rPr>
            </w:pPr>
          </w:p>
        </w:tc>
        <w:tc>
          <w:tcPr>
            <w:tcW w:w="639" w:type="dxa"/>
            <w:vMerge w:val="continue"/>
            <w:vAlign w:val="center"/>
          </w:tcPr>
          <w:p>
            <w:pPr>
              <w:pStyle w:val="31"/>
              <w:rPr>
                <w:color w:val="auto"/>
              </w:rPr>
            </w:pPr>
          </w:p>
        </w:tc>
        <w:tc>
          <w:tcPr>
            <w:tcW w:w="1021" w:type="dxa"/>
            <w:vMerge w:val="continue"/>
            <w:vAlign w:val="center"/>
          </w:tcPr>
          <w:p>
            <w:pPr>
              <w:pStyle w:val="31"/>
              <w:rPr>
                <w:color w:val="auto"/>
              </w:rPr>
            </w:pPr>
          </w:p>
        </w:tc>
        <w:tc>
          <w:tcPr>
            <w:tcW w:w="855" w:type="dxa"/>
            <w:vAlign w:val="center"/>
          </w:tcPr>
          <w:p>
            <w:pPr>
              <w:pStyle w:val="31"/>
              <w:rPr>
                <w:color w:val="auto"/>
              </w:rPr>
            </w:pPr>
            <w:r>
              <w:rPr>
                <w:rFonts w:hint="eastAsia"/>
                <w:color w:val="auto"/>
                <w:szCs w:val="21"/>
              </w:rPr>
              <w:t>产生量（t/a）</w:t>
            </w:r>
          </w:p>
        </w:tc>
        <w:tc>
          <w:tcPr>
            <w:tcW w:w="1035" w:type="dxa"/>
            <w:vAlign w:val="center"/>
          </w:tcPr>
          <w:p>
            <w:pPr>
              <w:pStyle w:val="31"/>
              <w:rPr>
                <w:color w:val="auto"/>
              </w:rPr>
            </w:pPr>
            <w:r>
              <w:rPr>
                <w:rFonts w:hint="eastAsia"/>
                <w:color w:val="auto"/>
                <w:szCs w:val="21"/>
              </w:rPr>
              <w:t>产生速率（kg/h）</w:t>
            </w:r>
          </w:p>
        </w:tc>
        <w:tc>
          <w:tcPr>
            <w:tcW w:w="1110" w:type="dxa"/>
            <w:vAlign w:val="center"/>
          </w:tcPr>
          <w:p>
            <w:pPr>
              <w:pStyle w:val="31"/>
              <w:rPr>
                <w:color w:val="auto"/>
              </w:rPr>
            </w:pPr>
            <w:r>
              <w:rPr>
                <w:rFonts w:hint="eastAsia"/>
                <w:color w:val="auto"/>
              </w:rPr>
              <w:t>产生浓度（mg/m</w:t>
            </w:r>
            <w:r>
              <w:rPr>
                <w:rFonts w:hint="eastAsia"/>
                <w:color w:val="auto"/>
                <w:vertAlign w:val="superscript"/>
              </w:rPr>
              <w:t>3</w:t>
            </w:r>
            <w:r>
              <w:rPr>
                <w:rFonts w:hint="eastAsia"/>
                <w:color w:val="auto"/>
              </w:rPr>
              <w:t>）</w:t>
            </w:r>
          </w:p>
        </w:tc>
        <w:tc>
          <w:tcPr>
            <w:tcW w:w="435" w:type="dxa"/>
            <w:vAlign w:val="center"/>
          </w:tcPr>
          <w:p>
            <w:pPr>
              <w:pStyle w:val="31"/>
              <w:rPr>
                <w:color w:val="auto"/>
              </w:rPr>
            </w:pPr>
            <w:r>
              <w:rPr>
                <w:rFonts w:hint="eastAsia"/>
                <w:color w:val="auto"/>
              </w:rPr>
              <w:t>收集措施</w:t>
            </w:r>
          </w:p>
        </w:tc>
        <w:tc>
          <w:tcPr>
            <w:tcW w:w="540" w:type="dxa"/>
            <w:vAlign w:val="center"/>
          </w:tcPr>
          <w:p>
            <w:pPr>
              <w:pStyle w:val="31"/>
              <w:rPr>
                <w:color w:val="auto"/>
              </w:rPr>
            </w:pPr>
            <w:r>
              <w:rPr>
                <w:rFonts w:hint="eastAsia"/>
                <w:color w:val="auto"/>
              </w:rPr>
              <w:t>收集效率%</w:t>
            </w:r>
          </w:p>
        </w:tc>
        <w:tc>
          <w:tcPr>
            <w:tcW w:w="660" w:type="dxa"/>
            <w:vAlign w:val="center"/>
          </w:tcPr>
          <w:p>
            <w:pPr>
              <w:pStyle w:val="31"/>
              <w:rPr>
                <w:color w:val="auto"/>
              </w:rPr>
            </w:pPr>
            <w:r>
              <w:rPr>
                <w:rFonts w:hint="eastAsia"/>
                <w:color w:val="auto"/>
              </w:rPr>
              <w:t>治理工艺</w:t>
            </w:r>
          </w:p>
        </w:tc>
        <w:tc>
          <w:tcPr>
            <w:tcW w:w="420" w:type="dxa"/>
            <w:vAlign w:val="center"/>
          </w:tcPr>
          <w:p>
            <w:pPr>
              <w:pStyle w:val="31"/>
              <w:rPr>
                <w:color w:val="auto"/>
              </w:rPr>
            </w:pPr>
            <w:r>
              <w:rPr>
                <w:rFonts w:hint="eastAsia"/>
                <w:color w:val="auto"/>
              </w:rPr>
              <w:t>去除率%</w:t>
            </w:r>
          </w:p>
        </w:tc>
        <w:tc>
          <w:tcPr>
            <w:tcW w:w="375" w:type="dxa"/>
            <w:vAlign w:val="center"/>
          </w:tcPr>
          <w:p>
            <w:pPr>
              <w:pStyle w:val="31"/>
              <w:rPr>
                <w:color w:val="auto"/>
              </w:rPr>
            </w:pPr>
            <w:r>
              <w:rPr>
                <w:rFonts w:hint="eastAsia"/>
                <w:color w:val="auto"/>
              </w:rPr>
              <w:t>是否为可行技术</w:t>
            </w:r>
          </w:p>
        </w:tc>
        <w:tc>
          <w:tcPr>
            <w:tcW w:w="870" w:type="dxa"/>
            <w:vAlign w:val="center"/>
          </w:tcPr>
          <w:p>
            <w:pPr>
              <w:pStyle w:val="31"/>
              <w:rPr>
                <w:color w:val="auto"/>
              </w:rPr>
            </w:pPr>
            <w:r>
              <w:rPr>
                <w:rFonts w:hint="eastAsia"/>
                <w:color w:val="auto"/>
                <w:szCs w:val="21"/>
              </w:rPr>
              <w:t>排放量（t/a）</w:t>
            </w:r>
          </w:p>
        </w:tc>
        <w:tc>
          <w:tcPr>
            <w:tcW w:w="1095" w:type="dxa"/>
            <w:vAlign w:val="center"/>
          </w:tcPr>
          <w:p>
            <w:pPr>
              <w:pStyle w:val="31"/>
              <w:rPr>
                <w:color w:val="auto"/>
              </w:rPr>
            </w:pPr>
            <w:r>
              <w:rPr>
                <w:rFonts w:hint="eastAsia"/>
                <w:color w:val="auto"/>
                <w:szCs w:val="21"/>
              </w:rPr>
              <w:t>排放速率（kg/h）</w:t>
            </w:r>
          </w:p>
        </w:tc>
        <w:tc>
          <w:tcPr>
            <w:tcW w:w="1185" w:type="dxa"/>
            <w:vAlign w:val="center"/>
          </w:tcPr>
          <w:p>
            <w:pPr>
              <w:pStyle w:val="31"/>
              <w:rPr>
                <w:color w:val="auto"/>
              </w:rPr>
            </w:pPr>
            <w:r>
              <w:rPr>
                <w:rFonts w:hint="eastAsia"/>
                <w:color w:val="auto"/>
              </w:rPr>
              <w:t>排放浓度（mg/m</w:t>
            </w:r>
            <w:r>
              <w:rPr>
                <w:rFonts w:hint="eastAsia"/>
                <w:color w:val="auto"/>
                <w:vertAlign w:val="superscript"/>
              </w:rPr>
              <w:t>3</w:t>
            </w:r>
            <w:r>
              <w:rPr>
                <w:rFonts w:hint="eastAsia"/>
                <w:color w:val="auto"/>
              </w:rPr>
              <w:t>）</w:t>
            </w:r>
          </w:p>
        </w:tc>
        <w:tc>
          <w:tcPr>
            <w:tcW w:w="653" w:type="dxa"/>
            <w:vAlign w:val="center"/>
          </w:tcPr>
          <w:p>
            <w:pPr>
              <w:pStyle w:val="31"/>
              <w:rPr>
                <w:color w:val="auto"/>
              </w:rPr>
            </w:pPr>
            <w:r>
              <w:rPr>
                <w:rFonts w:hint="eastAsia"/>
                <w:color w:val="auto"/>
              </w:rPr>
              <w:t>年作业时间h</w:t>
            </w:r>
          </w:p>
        </w:tc>
        <w:tc>
          <w:tcPr>
            <w:tcW w:w="877" w:type="dxa"/>
            <w:vAlign w:val="center"/>
          </w:tcPr>
          <w:p>
            <w:pPr>
              <w:pStyle w:val="31"/>
              <w:rPr>
                <w:color w:val="auto"/>
              </w:rPr>
            </w:pPr>
            <w:r>
              <w:rPr>
                <w:rFonts w:hint="eastAsia"/>
                <w:color w:val="auto"/>
              </w:rPr>
              <w:t>排放口编号</w:t>
            </w:r>
          </w:p>
        </w:tc>
        <w:tc>
          <w:tcPr>
            <w:tcW w:w="786" w:type="dxa"/>
            <w:vAlign w:val="center"/>
          </w:tcPr>
          <w:p>
            <w:pPr>
              <w:pStyle w:val="31"/>
              <w:rPr>
                <w:color w:val="auto"/>
              </w:rPr>
            </w:pPr>
            <w:r>
              <w:rPr>
                <w:rFonts w:hint="eastAsia"/>
                <w:color w:val="auto"/>
              </w:rPr>
              <w:t>浓度（mg/m</w:t>
            </w:r>
            <w:r>
              <w:rPr>
                <w:rFonts w:hint="eastAsia"/>
                <w:color w:val="auto"/>
                <w:vertAlign w:val="superscript"/>
              </w:rPr>
              <w:t>3</w:t>
            </w:r>
            <w:r>
              <w:rPr>
                <w:rFonts w:hint="eastAsia"/>
                <w:color w:val="auto"/>
              </w:rPr>
              <w:t>）</w:t>
            </w:r>
          </w:p>
        </w:tc>
        <w:tc>
          <w:tcPr>
            <w:tcW w:w="447" w:type="dxa"/>
            <w:vMerge w:val="continue"/>
            <w:vAlign w:val="center"/>
          </w:tcPr>
          <w:p>
            <w:pPr>
              <w:pStyle w:val="31"/>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447" w:type="dxa"/>
            <w:vMerge w:val="restart"/>
            <w:vAlign w:val="center"/>
          </w:tcPr>
          <w:p>
            <w:pPr>
              <w:pStyle w:val="31"/>
              <w:rPr>
                <w:color w:val="auto"/>
              </w:rPr>
            </w:pPr>
            <w:r>
              <w:rPr>
                <w:rFonts w:hint="eastAsia"/>
                <w:color w:val="auto"/>
              </w:rPr>
              <w:t>沼气锅炉</w:t>
            </w:r>
          </w:p>
        </w:tc>
        <w:tc>
          <w:tcPr>
            <w:tcW w:w="447" w:type="dxa"/>
            <w:vMerge w:val="restart"/>
            <w:vAlign w:val="center"/>
          </w:tcPr>
          <w:p>
            <w:pPr>
              <w:pStyle w:val="31"/>
              <w:rPr>
                <w:color w:val="auto"/>
              </w:rPr>
            </w:pPr>
            <w:r>
              <w:rPr>
                <w:rFonts w:hint="eastAsia"/>
                <w:color w:val="auto"/>
              </w:rPr>
              <w:t>锅炉废气</w:t>
            </w:r>
          </w:p>
        </w:tc>
        <w:tc>
          <w:tcPr>
            <w:tcW w:w="639" w:type="dxa"/>
            <w:vAlign w:val="center"/>
          </w:tcPr>
          <w:p>
            <w:pPr>
              <w:pStyle w:val="31"/>
              <w:rPr>
                <w:color w:val="auto"/>
              </w:rPr>
            </w:pPr>
            <w:r>
              <w:rPr>
                <w:rFonts w:hint="eastAsia"/>
                <w:color w:val="auto"/>
              </w:rPr>
              <w:t>SO</w:t>
            </w:r>
            <w:r>
              <w:rPr>
                <w:rFonts w:hint="eastAsia"/>
                <w:color w:val="auto"/>
                <w:vertAlign w:val="subscript"/>
              </w:rPr>
              <w:t>2</w:t>
            </w:r>
          </w:p>
        </w:tc>
        <w:tc>
          <w:tcPr>
            <w:tcW w:w="1021" w:type="dxa"/>
            <w:vMerge w:val="restart"/>
            <w:vAlign w:val="center"/>
          </w:tcPr>
          <w:p>
            <w:pPr>
              <w:pStyle w:val="31"/>
              <w:rPr>
                <w:color w:val="auto"/>
              </w:rPr>
            </w:pPr>
            <w:r>
              <w:rPr>
                <w:rFonts w:hint="eastAsia"/>
                <w:color w:val="auto"/>
              </w:rPr>
              <w:t>400</w:t>
            </w:r>
          </w:p>
        </w:tc>
        <w:tc>
          <w:tcPr>
            <w:tcW w:w="855" w:type="dxa"/>
            <w:vAlign w:val="center"/>
          </w:tcPr>
          <w:p>
            <w:pPr>
              <w:pStyle w:val="10"/>
              <w:spacing w:after="0" w:line="240" w:lineRule="auto"/>
              <w:ind w:left="0" w:leftChars="0" w:firstLine="0" w:firstLineChars="0"/>
              <w:jc w:val="center"/>
              <w:rPr>
                <w:color w:val="auto"/>
              </w:rPr>
            </w:pPr>
            <w:r>
              <w:rPr>
                <w:rFonts w:hint="eastAsia"/>
                <w:color w:val="auto"/>
                <w:sz w:val="21"/>
                <w:szCs w:val="21"/>
              </w:rPr>
              <w:t>0.090</w:t>
            </w:r>
          </w:p>
        </w:tc>
        <w:tc>
          <w:tcPr>
            <w:tcW w:w="1035" w:type="dxa"/>
            <w:vAlign w:val="center"/>
          </w:tcPr>
          <w:p>
            <w:pPr>
              <w:pStyle w:val="31"/>
              <w:rPr>
                <w:color w:val="auto"/>
              </w:rPr>
            </w:pPr>
            <w:r>
              <w:rPr>
                <w:rFonts w:hint="eastAsia"/>
                <w:color w:val="auto"/>
              </w:rPr>
              <w:t>0.012</w:t>
            </w:r>
          </w:p>
        </w:tc>
        <w:tc>
          <w:tcPr>
            <w:tcW w:w="1110" w:type="dxa"/>
            <w:vAlign w:val="center"/>
          </w:tcPr>
          <w:p>
            <w:pPr>
              <w:pStyle w:val="31"/>
              <w:rPr>
                <w:color w:val="auto"/>
              </w:rPr>
            </w:pPr>
            <w:r>
              <w:rPr>
                <w:rFonts w:hint="eastAsia"/>
                <w:color w:val="auto"/>
              </w:rPr>
              <w:t>30.849</w:t>
            </w:r>
          </w:p>
        </w:tc>
        <w:tc>
          <w:tcPr>
            <w:tcW w:w="435" w:type="dxa"/>
            <w:vMerge w:val="restart"/>
            <w:vAlign w:val="center"/>
          </w:tcPr>
          <w:p>
            <w:pPr>
              <w:pStyle w:val="31"/>
              <w:rPr>
                <w:color w:val="auto"/>
              </w:rPr>
            </w:pPr>
            <w:r>
              <w:rPr>
                <w:rFonts w:hint="eastAsia"/>
                <w:color w:val="auto"/>
              </w:rPr>
              <w:t>管道</w:t>
            </w:r>
          </w:p>
        </w:tc>
        <w:tc>
          <w:tcPr>
            <w:tcW w:w="540" w:type="dxa"/>
            <w:vMerge w:val="restart"/>
            <w:vAlign w:val="center"/>
          </w:tcPr>
          <w:p>
            <w:pPr>
              <w:pStyle w:val="31"/>
              <w:rPr>
                <w:color w:val="auto"/>
              </w:rPr>
            </w:pPr>
            <w:r>
              <w:rPr>
                <w:rFonts w:hint="eastAsia"/>
                <w:color w:val="auto"/>
              </w:rPr>
              <w:t>100</w:t>
            </w:r>
          </w:p>
        </w:tc>
        <w:tc>
          <w:tcPr>
            <w:tcW w:w="660" w:type="dxa"/>
            <w:vMerge w:val="restart"/>
            <w:vAlign w:val="center"/>
          </w:tcPr>
          <w:p>
            <w:pPr>
              <w:pStyle w:val="31"/>
              <w:rPr>
                <w:color w:val="auto"/>
              </w:rPr>
            </w:pPr>
            <w:r>
              <w:rPr>
                <w:rFonts w:hint="eastAsia"/>
                <w:color w:val="auto"/>
              </w:rPr>
              <w:t>低氮燃烧</w:t>
            </w:r>
          </w:p>
        </w:tc>
        <w:tc>
          <w:tcPr>
            <w:tcW w:w="420" w:type="dxa"/>
            <w:vAlign w:val="center"/>
          </w:tcPr>
          <w:p>
            <w:pPr>
              <w:pStyle w:val="31"/>
              <w:rPr>
                <w:color w:val="auto"/>
              </w:rPr>
            </w:pPr>
            <w:r>
              <w:rPr>
                <w:rFonts w:hint="eastAsia"/>
                <w:color w:val="auto"/>
              </w:rPr>
              <w:t>/</w:t>
            </w:r>
          </w:p>
        </w:tc>
        <w:tc>
          <w:tcPr>
            <w:tcW w:w="375" w:type="dxa"/>
            <w:vMerge w:val="restart"/>
            <w:vAlign w:val="center"/>
          </w:tcPr>
          <w:p>
            <w:pPr>
              <w:pStyle w:val="31"/>
              <w:rPr>
                <w:color w:val="auto"/>
              </w:rPr>
            </w:pPr>
            <w:r>
              <w:rPr>
                <w:rFonts w:hint="eastAsia"/>
                <w:color w:val="auto"/>
              </w:rPr>
              <w:t>是</w:t>
            </w:r>
          </w:p>
        </w:tc>
        <w:tc>
          <w:tcPr>
            <w:tcW w:w="870" w:type="dxa"/>
            <w:vAlign w:val="center"/>
          </w:tcPr>
          <w:p>
            <w:pPr>
              <w:pStyle w:val="10"/>
              <w:spacing w:after="0" w:line="240" w:lineRule="auto"/>
              <w:ind w:left="0" w:leftChars="0" w:firstLine="0" w:firstLineChars="0"/>
              <w:jc w:val="center"/>
              <w:rPr>
                <w:bCs/>
                <w:color w:val="auto"/>
                <w:sz w:val="21"/>
                <w:szCs w:val="10"/>
              </w:rPr>
            </w:pPr>
            <w:r>
              <w:rPr>
                <w:rFonts w:hint="eastAsia"/>
                <w:color w:val="auto"/>
                <w:sz w:val="21"/>
                <w:szCs w:val="21"/>
              </w:rPr>
              <w:t>0.090</w:t>
            </w:r>
          </w:p>
        </w:tc>
        <w:tc>
          <w:tcPr>
            <w:tcW w:w="1095" w:type="dxa"/>
            <w:vAlign w:val="center"/>
          </w:tcPr>
          <w:p>
            <w:pPr>
              <w:pStyle w:val="31"/>
              <w:rPr>
                <w:color w:val="auto"/>
              </w:rPr>
            </w:pPr>
            <w:r>
              <w:rPr>
                <w:rFonts w:hint="eastAsia"/>
                <w:color w:val="auto"/>
              </w:rPr>
              <w:t>0.012</w:t>
            </w:r>
          </w:p>
        </w:tc>
        <w:tc>
          <w:tcPr>
            <w:tcW w:w="1185" w:type="dxa"/>
            <w:vAlign w:val="center"/>
          </w:tcPr>
          <w:p>
            <w:pPr>
              <w:pStyle w:val="31"/>
              <w:rPr>
                <w:color w:val="auto"/>
              </w:rPr>
            </w:pPr>
            <w:r>
              <w:rPr>
                <w:rFonts w:hint="eastAsia"/>
                <w:color w:val="auto"/>
              </w:rPr>
              <w:t>30.849</w:t>
            </w:r>
          </w:p>
        </w:tc>
        <w:tc>
          <w:tcPr>
            <w:tcW w:w="653" w:type="dxa"/>
            <w:vMerge w:val="restart"/>
            <w:vAlign w:val="center"/>
          </w:tcPr>
          <w:p>
            <w:pPr>
              <w:pStyle w:val="31"/>
              <w:rPr>
                <w:color w:val="auto"/>
              </w:rPr>
            </w:pPr>
            <w:r>
              <w:rPr>
                <w:rFonts w:hint="eastAsia"/>
                <w:color w:val="auto"/>
              </w:rPr>
              <w:t>7260h</w:t>
            </w:r>
          </w:p>
        </w:tc>
        <w:tc>
          <w:tcPr>
            <w:tcW w:w="877" w:type="dxa"/>
            <w:vMerge w:val="restart"/>
            <w:vAlign w:val="center"/>
          </w:tcPr>
          <w:p>
            <w:pPr>
              <w:pStyle w:val="31"/>
              <w:rPr>
                <w:color w:val="auto"/>
              </w:rPr>
            </w:pPr>
            <w:r>
              <w:rPr>
                <w:rFonts w:hint="eastAsia"/>
                <w:color w:val="auto"/>
              </w:rPr>
              <w:t>DA001</w:t>
            </w:r>
          </w:p>
        </w:tc>
        <w:tc>
          <w:tcPr>
            <w:tcW w:w="786" w:type="dxa"/>
            <w:vAlign w:val="center"/>
          </w:tcPr>
          <w:p>
            <w:pPr>
              <w:pStyle w:val="31"/>
              <w:rPr>
                <w:color w:val="auto"/>
              </w:rPr>
            </w:pPr>
            <w:r>
              <w:rPr>
                <w:rFonts w:hint="eastAsia"/>
                <w:color w:val="auto"/>
              </w:rPr>
              <w:t>50</w:t>
            </w:r>
          </w:p>
        </w:tc>
        <w:tc>
          <w:tcPr>
            <w:tcW w:w="447" w:type="dxa"/>
            <w:vAlign w:val="center"/>
          </w:tcPr>
          <w:p>
            <w:pPr>
              <w:pStyle w:val="31"/>
              <w:rPr>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 w:type="dxa"/>
            <w:vMerge w:val="continue"/>
            <w:vAlign w:val="center"/>
          </w:tcPr>
          <w:p>
            <w:pPr>
              <w:pStyle w:val="31"/>
              <w:rPr>
                <w:color w:val="auto"/>
              </w:rPr>
            </w:pPr>
          </w:p>
        </w:tc>
        <w:tc>
          <w:tcPr>
            <w:tcW w:w="447" w:type="dxa"/>
            <w:vMerge w:val="continue"/>
            <w:vAlign w:val="center"/>
          </w:tcPr>
          <w:p>
            <w:pPr>
              <w:pStyle w:val="31"/>
              <w:rPr>
                <w:color w:val="auto"/>
              </w:rPr>
            </w:pPr>
          </w:p>
        </w:tc>
        <w:tc>
          <w:tcPr>
            <w:tcW w:w="639" w:type="dxa"/>
            <w:vAlign w:val="center"/>
          </w:tcPr>
          <w:p>
            <w:pPr>
              <w:pStyle w:val="31"/>
              <w:rPr>
                <w:color w:val="auto"/>
              </w:rPr>
            </w:pPr>
            <w:r>
              <w:rPr>
                <w:rFonts w:hint="eastAsia"/>
                <w:color w:val="auto"/>
              </w:rPr>
              <w:t>NOx</w:t>
            </w:r>
          </w:p>
        </w:tc>
        <w:tc>
          <w:tcPr>
            <w:tcW w:w="1021" w:type="dxa"/>
            <w:vMerge w:val="continue"/>
            <w:vAlign w:val="center"/>
          </w:tcPr>
          <w:p>
            <w:pPr>
              <w:pStyle w:val="31"/>
              <w:rPr>
                <w:color w:val="auto"/>
              </w:rPr>
            </w:pPr>
          </w:p>
        </w:tc>
        <w:tc>
          <w:tcPr>
            <w:tcW w:w="855" w:type="dxa"/>
            <w:vAlign w:val="center"/>
          </w:tcPr>
          <w:p>
            <w:pPr>
              <w:pStyle w:val="10"/>
              <w:spacing w:after="0" w:line="240" w:lineRule="auto"/>
              <w:ind w:left="0" w:leftChars="0" w:firstLine="0" w:firstLineChars="0"/>
              <w:jc w:val="center"/>
              <w:rPr>
                <w:color w:val="auto"/>
              </w:rPr>
            </w:pPr>
            <w:r>
              <w:rPr>
                <w:rFonts w:hint="eastAsia"/>
                <w:color w:val="auto"/>
                <w:sz w:val="21"/>
                <w:szCs w:val="21"/>
              </w:rPr>
              <w:t>0.419</w:t>
            </w:r>
          </w:p>
        </w:tc>
        <w:tc>
          <w:tcPr>
            <w:tcW w:w="1035" w:type="dxa"/>
            <w:vAlign w:val="center"/>
          </w:tcPr>
          <w:p>
            <w:pPr>
              <w:pStyle w:val="31"/>
              <w:rPr>
                <w:color w:val="auto"/>
              </w:rPr>
            </w:pPr>
            <w:r>
              <w:rPr>
                <w:rFonts w:hint="eastAsia"/>
                <w:color w:val="auto"/>
              </w:rPr>
              <w:t>0.058</w:t>
            </w:r>
          </w:p>
        </w:tc>
        <w:tc>
          <w:tcPr>
            <w:tcW w:w="1110" w:type="dxa"/>
            <w:vAlign w:val="center"/>
          </w:tcPr>
          <w:p>
            <w:pPr>
              <w:pStyle w:val="31"/>
              <w:rPr>
                <w:color w:val="auto"/>
              </w:rPr>
            </w:pPr>
            <w:r>
              <w:rPr>
                <w:rFonts w:hint="eastAsia"/>
                <w:color w:val="auto"/>
              </w:rPr>
              <w:t>144.371</w:t>
            </w:r>
          </w:p>
        </w:tc>
        <w:tc>
          <w:tcPr>
            <w:tcW w:w="435" w:type="dxa"/>
            <w:vMerge w:val="continue"/>
            <w:vAlign w:val="center"/>
          </w:tcPr>
          <w:p>
            <w:pPr>
              <w:pStyle w:val="31"/>
              <w:rPr>
                <w:color w:val="auto"/>
              </w:rPr>
            </w:pPr>
          </w:p>
        </w:tc>
        <w:tc>
          <w:tcPr>
            <w:tcW w:w="540" w:type="dxa"/>
            <w:vMerge w:val="continue"/>
            <w:vAlign w:val="center"/>
          </w:tcPr>
          <w:p>
            <w:pPr>
              <w:pStyle w:val="31"/>
              <w:rPr>
                <w:color w:val="auto"/>
              </w:rPr>
            </w:pPr>
          </w:p>
        </w:tc>
        <w:tc>
          <w:tcPr>
            <w:tcW w:w="660" w:type="dxa"/>
            <w:vMerge w:val="continue"/>
            <w:vAlign w:val="center"/>
          </w:tcPr>
          <w:p>
            <w:pPr>
              <w:pStyle w:val="31"/>
              <w:rPr>
                <w:color w:val="auto"/>
              </w:rPr>
            </w:pPr>
          </w:p>
        </w:tc>
        <w:tc>
          <w:tcPr>
            <w:tcW w:w="420" w:type="dxa"/>
            <w:vAlign w:val="center"/>
          </w:tcPr>
          <w:p>
            <w:pPr>
              <w:pStyle w:val="31"/>
              <w:rPr>
                <w:color w:val="auto"/>
              </w:rPr>
            </w:pPr>
            <w:r>
              <w:rPr>
                <w:rFonts w:hint="eastAsia"/>
                <w:color w:val="auto"/>
              </w:rPr>
              <w:t>50</w:t>
            </w:r>
          </w:p>
        </w:tc>
        <w:tc>
          <w:tcPr>
            <w:tcW w:w="375" w:type="dxa"/>
            <w:vMerge w:val="continue"/>
            <w:vAlign w:val="center"/>
          </w:tcPr>
          <w:p>
            <w:pPr>
              <w:pStyle w:val="31"/>
              <w:rPr>
                <w:color w:val="auto"/>
              </w:rPr>
            </w:pPr>
          </w:p>
        </w:tc>
        <w:tc>
          <w:tcPr>
            <w:tcW w:w="870" w:type="dxa"/>
            <w:vAlign w:val="center"/>
          </w:tcPr>
          <w:p>
            <w:pPr>
              <w:pStyle w:val="10"/>
              <w:spacing w:after="0" w:line="240" w:lineRule="auto"/>
              <w:ind w:left="0" w:leftChars="0" w:firstLine="0" w:firstLineChars="0"/>
              <w:jc w:val="center"/>
              <w:rPr>
                <w:bCs/>
                <w:color w:val="auto"/>
                <w:sz w:val="21"/>
                <w:szCs w:val="10"/>
              </w:rPr>
            </w:pPr>
            <w:r>
              <w:rPr>
                <w:rFonts w:hint="eastAsia"/>
                <w:color w:val="auto"/>
                <w:sz w:val="21"/>
                <w:szCs w:val="21"/>
              </w:rPr>
              <w:t>0.419</w:t>
            </w:r>
          </w:p>
        </w:tc>
        <w:tc>
          <w:tcPr>
            <w:tcW w:w="1095" w:type="dxa"/>
            <w:vAlign w:val="center"/>
          </w:tcPr>
          <w:p>
            <w:pPr>
              <w:pStyle w:val="31"/>
              <w:rPr>
                <w:color w:val="auto"/>
              </w:rPr>
            </w:pPr>
            <w:r>
              <w:rPr>
                <w:rFonts w:hint="eastAsia"/>
                <w:color w:val="auto"/>
              </w:rPr>
              <w:t>0.058</w:t>
            </w:r>
          </w:p>
        </w:tc>
        <w:tc>
          <w:tcPr>
            <w:tcW w:w="1185" w:type="dxa"/>
            <w:vAlign w:val="center"/>
          </w:tcPr>
          <w:p>
            <w:pPr>
              <w:pStyle w:val="31"/>
              <w:rPr>
                <w:color w:val="auto"/>
              </w:rPr>
            </w:pPr>
            <w:r>
              <w:rPr>
                <w:rFonts w:hint="eastAsia"/>
                <w:color w:val="auto"/>
              </w:rPr>
              <w:t>144.371</w:t>
            </w:r>
          </w:p>
        </w:tc>
        <w:tc>
          <w:tcPr>
            <w:tcW w:w="653" w:type="dxa"/>
            <w:vMerge w:val="continue"/>
            <w:vAlign w:val="center"/>
          </w:tcPr>
          <w:p>
            <w:pPr>
              <w:pStyle w:val="31"/>
              <w:rPr>
                <w:color w:val="auto"/>
              </w:rPr>
            </w:pPr>
          </w:p>
        </w:tc>
        <w:tc>
          <w:tcPr>
            <w:tcW w:w="877" w:type="dxa"/>
            <w:vMerge w:val="continue"/>
            <w:vAlign w:val="center"/>
          </w:tcPr>
          <w:p>
            <w:pPr>
              <w:pStyle w:val="31"/>
              <w:rPr>
                <w:color w:val="auto"/>
              </w:rPr>
            </w:pPr>
          </w:p>
        </w:tc>
        <w:tc>
          <w:tcPr>
            <w:tcW w:w="786" w:type="dxa"/>
            <w:vAlign w:val="center"/>
          </w:tcPr>
          <w:p>
            <w:pPr>
              <w:pStyle w:val="31"/>
              <w:rPr>
                <w:color w:val="auto"/>
              </w:rPr>
            </w:pPr>
            <w:r>
              <w:rPr>
                <w:rFonts w:hint="eastAsia"/>
                <w:color w:val="auto"/>
              </w:rPr>
              <w:t>200</w:t>
            </w:r>
          </w:p>
        </w:tc>
        <w:tc>
          <w:tcPr>
            <w:tcW w:w="447" w:type="dxa"/>
            <w:vAlign w:val="center"/>
          </w:tcPr>
          <w:p>
            <w:pPr>
              <w:pStyle w:val="31"/>
              <w:rPr>
                <w:color w:val="auto"/>
              </w:rPr>
            </w:pPr>
            <w:r>
              <w:rPr>
                <w:rFonts w:hint="eastAsia"/>
                <w:color w:val="auto"/>
              </w:rPr>
              <w:t>达标</w:t>
            </w:r>
          </w:p>
        </w:tc>
      </w:tr>
    </w:tbl>
    <w:p>
      <w:pPr>
        <w:widowControl/>
        <w:spacing w:line="240" w:lineRule="auto"/>
        <w:ind w:firstLine="0" w:firstLineChars="0"/>
        <w:jc w:val="center"/>
        <w:rPr>
          <w:b/>
          <w:bCs/>
          <w:color w:val="auto"/>
          <w:sz w:val="21"/>
          <w:szCs w:val="21"/>
        </w:rPr>
      </w:pPr>
    </w:p>
    <w:p>
      <w:pPr>
        <w:widowControl/>
        <w:spacing w:line="240" w:lineRule="auto"/>
        <w:ind w:firstLine="0" w:firstLineChars="0"/>
        <w:jc w:val="center"/>
        <w:rPr>
          <w:color w:val="auto"/>
        </w:rPr>
      </w:pPr>
      <w:r>
        <w:rPr>
          <w:rFonts w:hint="eastAsia"/>
          <w:b/>
          <w:bCs/>
          <w:color w:val="auto"/>
          <w:sz w:val="21"/>
          <w:szCs w:val="21"/>
        </w:rPr>
        <w:t>表4-2  现有项目</w:t>
      </w:r>
      <w:r>
        <w:rPr>
          <w:rFonts w:hint="eastAsia" w:ascii="宋体" w:hAnsi="宋体" w:cs="宋体"/>
          <w:b/>
          <w:bCs/>
          <w:color w:val="auto"/>
          <w:kern w:val="0"/>
          <w:sz w:val="21"/>
          <w:szCs w:val="21"/>
          <w:lang w:bidi="ar"/>
        </w:rPr>
        <w:t>项目各污染物排气筒信息及排放标准汇总表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39"/>
        <w:gridCol w:w="1060"/>
        <w:gridCol w:w="788"/>
        <w:gridCol w:w="1326"/>
        <w:gridCol w:w="1221"/>
        <w:gridCol w:w="1197"/>
        <w:gridCol w:w="1117"/>
        <w:gridCol w:w="1011"/>
        <w:gridCol w:w="3992"/>
        <w:gridCol w:w="1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55" w:type="dxa"/>
            <w:vMerge w:val="restart"/>
            <w:vAlign w:val="center"/>
          </w:tcPr>
          <w:p>
            <w:pPr>
              <w:pStyle w:val="31"/>
              <w:rPr>
                <w:color w:val="auto"/>
                <w:szCs w:val="21"/>
              </w:rPr>
            </w:pPr>
            <w:r>
              <w:rPr>
                <w:color w:val="auto"/>
                <w:szCs w:val="21"/>
              </w:rPr>
              <w:t>序号</w:t>
            </w:r>
          </w:p>
        </w:tc>
        <w:tc>
          <w:tcPr>
            <w:tcW w:w="0" w:type="auto"/>
            <w:vMerge w:val="restart"/>
            <w:vAlign w:val="center"/>
          </w:tcPr>
          <w:p>
            <w:pPr>
              <w:pStyle w:val="31"/>
              <w:rPr>
                <w:color w:val="auto"/>
                <w:szCs w:val="21"/>
              </w:rPr>
            </w:pPr>
            <w:r>
              <w:rPr>
                <w:color w:val="auto"/>
                <w:szCs w:val="21"/>
              </w:rPr>
              <w:t>排放口</w:t>
            </w:r>
          </w:p>
        </w:tc>
        <w:tc>
          <w:tcPr>
            <w:tcW w:w="0" w:type="auto"/>
            <w:vMerge w:val="restart"/>
            <w:vAlign w:val="center"/>
          </w:tcPr>
          <w:p>
            <w:pPr>
              <w:pStyle w:val="31"/>
              <w:rPr>
                <w:color w:val="auto"/>
                <w:szCs w:val="21"/>
              </w:rPr>
            </w:pPr>
            <w:r>
              <w:rPr>
                <w:color w:val="auto"/>
                <w:szCs w:val="21"/>
              </w:rPr>
              <w:t>排放口名称</w:t>
            </w:r>
          </w:p>
        </w:tc>
        <w:tc>
          <w:tcPr>
            <w:tcW w:w="0" w:type="auto"/>
            <w:vMerge w:val="restart"/>
            <w:vAlign w:val="center"/>
          </w:tcPr>
          <w:p>
            <w:pPr>
              <w:pStyle w:val="31"/>
              <w:rPr>
                <w:color w:val="auto"/>
                <w:szCs w:val="21"/>
              </w:rPr>
            </w:pPr>
            <w:r>
              <w:rPr>
                <w:color w:val="auto"/>
                <w:szCs w:val="21"/>
              </w:rPr>
              <w:t>污染因子</w:t>
            </w:r>
          </w:p>
        </w:tc>
        <w:tc>
          <w:tcPr>
            <w:tcW w:w="0" w:type="auto"/>
            <w:gridSpan w:val="2"/>
            <w:vAlign w:val="center"/>
          </w:tcPr>
          <w:p>
            <w:pPr>
              <w:pStyle w:val="31"/>
              <w:rPr>
                <w:color w:val="auto"/>
                <w:szCs w:val="21"/>
              </w:rPr>
            </w:pPr>
            <w:r>
              <w:rPr>
                <w:color w:val="auto"/>
                <w:szCs w:val="21"/>
              </w:rPr>
              <w:t>排放口地理坐标</w:t>
            </w:r>
          </w:p>
        </w:tc>
        <w:tc>
          <w:tcPr>
            <w:tcW w:w="0" w:type="auto"/>
            <w:gridSpan w:val="3"/>
            <w:vAlign w:val="center"/>
          </w:tcPr>
          <w:p>
            <w:pPr>
              <w:pStyle w:val="31"/>
              <w:rPr>
                <w:color w:val="auto"/>
                <w:szCs w:val="21"/>
              </w:rPr>
            </w:pPr>
            <w:r>
              <w:rPr>
                <w:color w:val="auto"/>
                <w:szCs w:val="21"/>
              </w:rPr>
              <w:t>排气筒参数</w:t>
            </w:r>
          </w:p>
        </w:tc>
        <w:tc>
          <w:tcPr>
            <w:tcW w:w="0" w:type="auto"/>
            <w:vMerge w:val="restart"/>
            <w:vAlign w:val="center"/>
          </w:tcPr>
          <w:p>
            <w:pPr>
              <w:pStyle w:val="31"/>
              <w:rPr>
                <w:color w:val="auto"/>
                <w:szCs w:val="21"/>
              </w:rPr>
            </w:pPr>
            <w:r>
              <w:rPr>
                <w:color w:val="auto"/>
                <w:szCs w:val="21"/>
              </w:rPr>
              <w:t>排放标准</w:t>
            </w:r>
          </w:p>
        </w:tc>
        <w:tc>
          <w:tcPr>
            <w:tcW w:w="1197" w:type="dxa"/>
            <w:vMerge w:val="restart"/>
            <w:vAlign w:val="center"/>
          </w:tcPr>
          <w:p>
            <w:pPr>
              <w:pStyle w:val="31"/>
              <w:rPr>
                <w:color w:val="auto"/>
                <w:szCs w:val="21"/>
              </w:rPr>
            </w:pPr>
            <w:r>
              <w:rPr>
                <w:color w:val="auto"/>
                <w:szCs w:val="21"/>
              </w:rPr>
              <w:t>浓度（mg/m</w:t>
            </w:r>
            <w:r>
              <w:rPr>
                <w:color w:val="auto"/>
                <w:szCs w:val="21"/>
                <w:vertAlign w:val="superscript"/>
              </w:rPr>
              <w:t>3</w:t>
            </w:r>
            <w:r>
              <w:rPr>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55" w:type="dxa"/>
            <w:vMerge w:val="continue"/>
            <w:vAlign w:val="center"/>
          </w:tcPr>
          <w:p>
            <w:pPr>
              <w:pStyle w:val="31"/>
              <w:rPr>
                <w:color w:val="auto"/>
                <w:szCs w:val="21"/>
              </w:rPr>
            </w:pPr>
          </w:p>
        </w:tc>
        <w:tc>
          <w:tcPr>
            <w:tcW w:w="0" w:type="auto"/>
            <w:vMerge w:val="continue"/>
            <w:vAlign w:val="center"/>
          </w:tcPr>
          <w:p>
            <w:pPr>
              <w:pStyle w:val="31"/>
              <w:rPr>
                <w:color w:val="auto"/>
                <w:szCs w:val="21"/>
              </w:rPr>
            </w:pPr>
          </w:p>
        </w:tc>
        <w:tc>
          <w:tcPr>
            <w:tcW w:w="0" w:type="auto"/>
            <w:vMerge w:val="continue"/>
            <w:vAlign w:val="center"/>
          </w:tcPr>
          <w:p>
            <w:pPr>
              <w:pStyle w:val="31"/>
              <w:rPr>
                <w:color w:val="auto"/>
                <w:szCs w:val="21"/>
              </w:rPr>
            </w:pPr>
          </w:p>
        </w:tc>
        <w:tc>
          <w:tcPr>
            <w:tcW w:w="0" w:type="auto"/>
            <w:vMerge w:val="continue"/>
            <w:vAlign w:val="center"/>
          </w:tcPr>
          <w:p>
            <w:pPr>
              <w:pStyle w:val="31"/>
              <w:rPr>
                <w:color w:val="auto"/>
                <w:szCs w:val="21"/>
              </w:rPr>
            </w:pPr>
          </w:p>
        </w:tc>
        <w:tc>
          <w:tcPr>
            <w:tcW w:w="0" w:type="auto"/>
            <w:vAlign w:val="center"/>
          </w:tcPr>
          <w:p>
            <w:pPr>
              <w:pStyle w:val="31"/>
              <w:rPr>
                <w:color w:val="auto"/>
                <w:szCs w:val="21"/>
              </w:rPr>
            </w:pPr>
            <w:r>
              <w:rPr>
                <w:color w:val="auto"/>
                <w:szCs w:val="21"/>
              </w:rPr>
              <w:t>经度</w:t>
            </w:r>
          </w:p>
        </w:tc>
        <w:tc>
          <w:tcPr>
            <w:tcW w:w="0" w:type="auto"/>
            <w:vAlign w:val="center"/>
          </w:tcPr>
          <w:p>
            <w:pPr>
              <w:pStyle w:val="31"/>
              <w:rPr>
                <w:color w:val="auto"/>
                <w:szCs w:val="21"/>
              </w:rPr>
            </w:pPr>
            <w:r>
              <w:rPr>
                <w:color w:val="auto"/>
                <w:szCs w:val="21"/>
              </w:rPr>
              <w:t>纬度</w:t>
            </w:r>
          </w:p>
        </w:tc>
        <w:tc>
          <w:tcPr>
            <w:tcW w:w="0" w:type="auto"/>
            <w:vAlign w:val="center"/>
          </w:tcPr>
          <w:p>
            <w:pPr>
              <w:pStyle w:val="31"/>
              <w:rPr>
                <w:color w:val="auto"/>
                <w:szCs w:val="21"/>
              </w:rPr>
            </w:pPr>
            <w:r>
              <w:rPr>
                <w:color w:val="auto"/>
                <w:szCs w:val="21"/>
              </w:rPr>
              <w:t>排气筒高度（m）</w:t>
            </w:r>
          </w:p>
        </w:tc>
        <w:tc>
          <w:tcPr>
            <w:tcW w:w="0" w:type="auto"/>
            <w:vAlign w:val="center"/>
          </w:tcPr>
          <w:p>
            <w:pPr>
              <w:pStyle w:val="31"/>
              <w:rPr>
                <w:color w:val="auto"/>
                <w:szCs w:val="21"/>
              </w:rPr>
            </w:pPr>
            <w:r>
              <w:rPr>
                <w:color w:val="auto"/>
                <w:szCs w:val="21"/>
              </w:rPr>
              <w:t>出口内径（m）</w:t>
            </w:r>
          </w:p>
        </w:tc>
        <w:tc>
          <w:tcPr>
            <w:tcW w:w="0" w:type="auto"/>
            <w:vAlign w:val="center"/>
          </w:tcPr>
          <w:p>
            <w:pPr>
              <w:pStyle w:val="31"/>
              <w:rPr>
                <w:color w:val="auto"/>
                <w:szCs w:val="21"/>
              </w:rPr>
            </w:pPr>
            <w:r>
              <w:rPr>
                <w:color w:val="auto"/>
                <w:szCs w:val="21"/>
              </w:rPr>
              <w:t>温度（℃）</w:t>
            </w:r>
          </w:p>
        </w:tc>
        <w:tc>
          <w:tcPr>
            <w:tcW w:w="0" w:type="auto"/>
            <w:vMerge w:val="continue"/>
            <w:vAlign w:val="center"/>
          </w:tcPr>
          <w:p>
            <w:pPr>
              <w:pStyle w:val="31"/>
              <w:rPr>
                <w:color w:val="auto"/>
                <w:szCs w:val="21"/>
              </w:rPr>
            </w:pPr>
          </w:p>
        </w:tc>
        <w:tc>
          <w:tcPr>
            <w:tcW w:w="1197" w:type="dxa"/>
            <w:vMerge w:val="continue"/>
            <w:vAlign w:val="center"/>
          </w:tcPr>
          <w:p>
            <w:pPr>
              <w:pStyle w:val="31"/>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255" w:type="dxa"/>
            <w:vMerge w:val="restart"/>
            <w:vAlign w:val="center"/>
          </w:tcPr>
          <w:p>
            <w:pPr>
              <w:pStyle w:val="31"/>
              <w:rPr>
                <w:color w:val="auto"/>
                <w:szCs w:val="21"/>
              </w:rPr>
            </w:pPr>
            <w:r>
              <w:rPr>
                <w:color w:val="auto"/>
                <w:szCs w:val="21"/>
              </w:rPr>
              <w:t>1</w:t>
            </w:r>
          </w:p>
        </w:tc>
        <w:tc>
          <w:tcPr>
            <w:tcW w:w="0" w:type="auto"/>
            <w:vMerge w:val="restart"/>
            <w:vAlign w:val="center"/>
          </w:tcPr>
          <w:p>
            <w:pPr>
              <w:pStyle w:val="31"/>
              <w:rPr>
                <w:color w:val="auto"/>
                <w:szCs w:val="21"/>
              </w:rPr>
            </w:pPr>
            <w:r>
              <w:rPr>
                <w:color w:val="auto"/>
                <w:szCs w:val="21"/>
              </w:rPr>
              <w:t>DA001</w:t>
            </w:r>
          </w:p>
        </w:tc>
        <w:tc>
          <w:tcPr>
            <w:tcW w:w="0" w:type="auto"/>
            <w:vMerge w:val="restart"/>
            <w:vAlign w:val="center"/>
          </w:tcPr>
          <w:p>
            <w:pPr>
              <w:pStyle w:val="31"/>
              <w:rPr>
                <w:color w:val="auto"/>
                <w:szCs w:val="21"/>
              </w:rPr>
            </w:pPr>
            <w:r>
              <w:rPr>
                <w:color w:val="auto"/>
                <w:szCs w:val="21"/>
              </w:rPr>
              <w:t>沼气锅炉废气排放口</w:t>
            </w:r>
          </w:p>
        </w:tc>
        <w:tc>
          <w:tcPr>
            <w:tcW w:w="0" w:type="auto"/>
            <w:vAlign w:val="center"/>
          </w:tcPr>
          <w:p>
            <w:pPr>
              <w:pStyle w:val="31"/>
              <w:rPr>
                <w:color w:val="auto"/>
                <w:szCs w:val="21"/>
              </w:rPr>
            </w:pPr>
            <w:r>
              <w:rPr>
                <w:color w:val="auto"/>
                <w:szCs w:val="21"/>
              </w:rPr>
              <w:t>SO</w:t>
            </w:r>
            <w:r>
              <w:rPr>
                <w:color w:val="auto"/>
                <w:szCs w:val="21"/>
                <w:vertAlign w:val="subscript"/>
              </w:rPr>
              <w:t>2</w:t>
            </w:r>
          </w:p>
        </w:tc>
        <w:tc>
          <w:tcPr>
            <w:tcW w:w="0" w:type="auto"/>
            <w:vMerge w:val="restart"/>
            <w:vAlign w:val="center"/>
          </w:tcPr>
          <w:p>
            <w:pPr>
              <w:pStyle w:val="31"/>
              <w:rPr>
                <w:color w:val="auto"/>
                <w:szCs w:val="21"/>
              </w:rPr>
            </w:pPr>
            <w:r>
              <w:rPr>
                <w:color w:val="auto"/>
                <w:szCs w:val="21"/>
              </w:rPr>
              <w:t>112°37′7.10″</w:t>
            </w:r>
          </w:p>
        </w:tc>
        <w:tc>
          <w:tcPr>
            <w:tcW w:w="0" w:type="auto"/>
            <w:vMerge w:val="restart"/>
            <w:vAlign w:val="center"/>
          </w:tcPr>
          <w:p>
            <w:pPr>
              <w:pStyle w:val="31"/>
              <w:rPr>
                <w:color w:val="auto"/>
                <w:szCs w:val="21"/>
              </w:rPr>
            </w:pPr>
            <w:r>
              <w:rPr>
                <w:color w:val="auto"/>
                <w:szCs w:val="21"/>
              </w:rPr>
              <w:t>27°1′39.97″</w:t>
            </w:r>
          </w:p>
        </w:tc>
        <w:tc>
          <w:tcPr>
            <w:tcW w:w="0" w:type="auto"/>
            <w:vMerge w:val="restart"/>
            <w:vAlign w:val="center"/>
          </w:tcPr>
          <w:p>
            <w:pPr>
              <w:pStyle w:val="10"/>
              <w:spacing w:after="0" w:line="240" w:lineRule="auto"/>
              <w:ind w:left="0" w:leftChars="0" w:firstLine="0" w:firstLineChars="0"/>
              <w:jc w:val="center"/>
              <w:rPr>
                <w:color w:val="auto"/>
                <w:sz w:val="21"/>
                <w:szCs w:val="21"/>
              </w:rPr>
            </w:pPr>
            <w:r>
              <w:rPr>
                <w:color w:val="auto"/>
                <w:sz w:val="21"/>
                <w:szCs w:val="21"/>
              </w:rPr>
              <w:t>15</w:t>
            </w:r>
          </w:p>
        </w:tc>
        <w:tc>
          <w:tcPr>
            <w:tcW w:w="0" w:type="auto"/>
            <w:vMerge w:val="restart"/>
            <w:vAlign w:val="center"/>
          </w:tcPr>
          <w:p>
            <w:pPr>
              <w:pStyle w:val="31"/>
              <w:rPr>
                <w:color w:val="auto"/>
                <w:szCs w:val="21"/>
              </w:rPr>
            </w:pPr>
            <w:r>
              <w:rPr>
                <w:color w:val="auto"/>
                <w:szCs w:val="21"/>
              </w:rPr>
              <w:t>0.6</w:t>
            </w:r>
          </w:p>
        </w:tc>
        <w:tc>
          <w:tcPr>
            <w:tcW w:w="0" w:type="auto"/>
            <w:vMerge w:val="restart"/>
            <w:vAlign w:val="center"/>
          </w:tcPr>
          <w:p>
            <w:pPr>
              <w:pStyle w:val="31"/>
              <w:rPr>
                <w:color w:val="auto"/>
                <w:szCs w:val="21"/>
              </w:rPr>
            </w:pPr>
            <w:r>
              <w:rPr>
                <w:color w:val="auto"/>
                <w:szCs w:val="21"/>
              </w:rPr>
              <w:t>60</w:t>
            </w:r>
          </w:p>
        </w:tc>
        <w:tc>
          <w:tcPr>
            <w:tcW w:w="0" w:type="auto"/>
            <w:vMerge w:val="restart"/>
            <w:vAlign w:val="center"/>
          </w:tcPr>
          <w:p>
            <w:pPr>
              <w:pStyle w:val="31"/>
              <w:rPr>
                <w:color w:val="auto"/>
                <w:szCs w:val="21"/>
              </w:rPr>
            </w:pPr>
            <w:r>
              <w:rPr>
                <w:color w:val="auto"/>
                <w:szCs w:val="21"/>
              </w:rPr>
              <w:t>《锅炉大气污染物排放标准》</w:t>
            </w:r>
          </w:p>
          <w:p>
            <w:pPr>
              <w:pStyle w:val="31"/>
              <w:rPr>
                <w:color w:val="auto"/>
                <w:szCs w:val="21"/>
              </w:rPr>
            </w:pPr>
            <w:r>
              <w:rPr>
                <w:color w:val="auto"/>
                <w:szCs w:val="21"/>
              </w:rPr>
              <w:t>(GB13271-2014)中特别排放限值</w:t>
            </w:r>
            <w:r>
              <w:rPr>
                <w:rFonts w:hint="eastAsia"/>
                <w:color w:val="auto"/>
                <w:szCs w:val="21"/>
              </w:rPr>
              <w:t>（</w:t>
            </w:r>
            <w:r>
              <w:rPr>
                <w:color w:val="auto"/>
                <w:szCs w:val="21"/>
              </w:rPr>
              <w:t>颗粒物20mg/m</w:t>
            </w:r>
            <w:r>
              <w:rPr>
                <w:color w:val="auto"/>
                <w:szCs w:val="21"/>
                <w:vertAlign w:val="superscript"/>
              </w:rPr>
              <w:t>3</w:t>
            </w:r>
            <w:r>
              <w:rPr>
                <w:color w:val="auto"/>
                <w:szCs w:val="21"/>
              </w:rPr>
              <w:t>、SO</w:t>
            </w:r>
            <w:r>
              <w:rPr>
                <w:color w:val="auto"/>
                <w:szCs w:val="21"/>
                <w:vertAlign w:val="subscript"/>
              </w:rPr>
              <w:t>2</w:t>
            </w:r>
            <w:r>
              <w:rPr>
                <w:color w:val="auto"/>
                <w:szCs w:val="21"/>
              </w:rPr>
              <w:t>50mg/m</w:t>
            </w:r>
            <w:r>
              <w:rPr>
                <w:color w:val="auto"/>
                <w:szCs w:val="21"/>
                <w:vertAlign w:val="superscript"/>
              </w:rPr>
              <w:t>3</w:t>
            </w:r>
            <w:r>
              <w:rPr>
                <w:color w:val="auto"/>
                <w:szCs w:val="21"/>
              </w:rPr>
              <w:t>、NOx200mg/m</w:t>
            </w:r>
            <w:r>
              <w:rPr>
                <w:color w:val="auto"/>
                <w:szCs w:val="21"/>
                <w:vertAlign w:val="superscript"/>
              </w:rPr>
              <w:t>3</w:t>
            </w:r>
            <w:r>
              <w:rPr>
                <w:rFonts w:hint="eastAsia"/>
                <w:color w:val="auto"/>
                <w:szCs w:val="21"/>
              </w:rPr>
              <w:t>）</w:t>
            </w:r>
          </w:p>
        </w:tc>
        <w:tc>
          <w:tcPr>
            <w:tcW w:w="1197" w:type="dxa"/>
            <w:vAlign w:val="center"/>
          </w:tcPr>
          <w:p>
            <w:pPr>
              <w:pStyle w:val="31"/>
              <w:rPr>
                <w:color w:val="auto"/>
                <w:szCs w:val="21"/>
              </w:rPr>
            </w:pPr>
            <w:r>
              <w:rPr>
                <w:color w:val="auto"/>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 w:type="dxa"/>
            <w:vMerge w:val="continue"/>
            <w:vAlign w:val="center"/>
          </w:tcPr>
          <w:p>
            <w:pPr>
              <w:pStyle w:val="31"/>
              <w:rPr>
                <w:color w:val="auto"/>
                <w:szCs w:val="21"/>
              </w:rPr>
            </w:pPr>
          </w:p>
        </w:tc>
        <w:tc>
          <w:tcPr>
            <w:tcW w:w="0" w:type="auto"/>
            <w:vMerge w:val="continue"/>
            <w:vAlign w:val="center"/>
          </w:tcPr>
          <w:p>
            <w:pPr>
              <w:pStyle w:val="31"/>
              <w:rPr>
                <w:color w:val="auto"/>
                <w:szCs w:val="21"/>
              </w:rPr>
            </w:pPr>
          </w:p>
        </w:tc>
        <w:tc>
          <w:tcPr>
            <w:tcW w:w="0" w:type="auto"/>
            <w:vMerge w:val="continue"/>
            <w:vAlign w:val="center"/>
          </w:tcPr>
          <w:p>
            <w:pPr>
              <w:pStyle w:val="31"/>
              <w:rPr>
                <w:color w:val="auto"/>
                <w:szCs w:val="21"/>
              </w:rPr>
            </w:pPr>
          </w:p>
        </w:tc>
        <w:tc>
          <w:tcPr>
            <w:tcW w:w="0" w:type="auto"/>
            <w:vAlign w:val="center"/>
          </w:tcPr>
          <w:p>
            <w:pPr>
              <w:pStyle w:val="31"/>
              <w:rPr>
                <w:color w:val="auto"/>
                <w:szCs w:val="21"/>
              </w:rPr>
            </w:pPr>
            <w:r>
              <w:rPr>
                <w:color w:val="auto"/>
                <w:szCs w:val="21"/>
              </w:rPr>
              <w:t>NOx</w:t>
            </w:r>
          </w:p>
        </w:tc>
        <w:tc>
          <w:tcPr>
            <w:tcW w:w="0" w:type="auto"/>
            <w:vMerge w:val="continue"/>
            <w:vAlign w:val="center"/>
          </w:tcPr>
          <w:p>
            <w:pPr>
              <w:pStyle w:val="31"/>
              <w:rPr>
                <w:color w:val="auto"/>
                <w:szCs w:val="21"/>
              </w:rPr>
            </w:pPr>
          </w:p>
        </w:tc>
        <w:tc>
          <w:tcPr>
            <w:tcW w:w="0" w:type="auto"/>
            <w:vMerge w:val="continue"/>
            <w:vAlign w:val="center"/>
          </w:tcPr>
          <w:p>
            <w:pPr>
              <w:pStyle w:val="31"/>
              <w:rPr>
                <w:color w:val="auto"/>
                <w:szCs w:val="21"/>
              </w:rPr>
            </w:pPr>
          </w:p>
        </w:tc>
        <w:tc>
          <w:tcPr>
            <w:tcW w:w="0" w:type="auto"/>
            <w:vMerge w:val="continue"/>
            <w:vAlign w:val="center"/>
          </w:tcPr>
          <w:p>
            <w:pPr>
              <w:pStyle w:val="10"/>
              <w:spacing w:after="0" w:line="240" w:lineRule="auto"/>
              <w:ind w:left="0" w:leftChars="0" w:firstLine="0" w:firstLineChars="0"/>
              <w:jc w:val="center"/>
              <w:rPr>
                <w:color w:val="auto"/>
                <w:sz w:val="21"/>
                <w:szCs w:val="21"/>
              </w:rPr>
            </w:pPr>
          </w:p>
        </w:tc>
        <w:tc>
          <w:tcPr>
            <w:tcW w:w="0" w:type="auto"/>
            <w:vMerge w:val="continue"/>
            <w:vAlign w:val="center"/>
          </w:tcPr>
          <w:p>
            <w:pPr>
              <w:pStyle w:val="31"/>
              <w:rPr>
                <w:color w:val="auto"/>
                <w:szCs w:val="21"/>
              </w:rPr>
            </w:pPr>
          </w:p>
        </w:tc>
        <w:tc>
          <w:tcPr>
            <w:tcW w:w="0" w:type="auto"/>
            <w:vMerge w:val="continue"/>
            <w:vAlign w:val="center"/>
          </w:tcPr>
          <w:p>
            <w:pPr>
              <w:pStyle w:val="31"/>
              <w:rPr>
                <w:color w:val="auto"/>
                <w:szCs w:val="21"/>
              </w:rPr>
            </w:pPr>
          </w:p>
        </w:tc>
        <w:tc>
          <w:tcPr>
            <w:tcW w:w="0" w:type="auto"/>
            <w:vMerge w:val="continue"/>
            <w:vAlign w:val="center"/>
          </w:tcPr>
          <w:p>
            <w:pPr>
              <w:pStyle w:val="31"/>
              <w:rPr>
                <w:color w:val="auto"/>
                <w:szCs w:val="21"/>
              </w:rPr>
            </w:pPr>
          </w:p>
        </w:tc>
        <w:tc>
          <w:tcPr>
            <w:tcW w:w="1197" w:type="dxa"/>
            <w:vAlign w:val="center"/>
          </w:tcPr>
          <w:p>
            <w:pPr>
              <w:pStyle w:val="31"/>
              <w:rPr>
                <w:color w:val="auto"/>
                <w:szCs w:val="21"/>
              </w:rPr>
            </w:pPr>
            <w:r>
              <w:rPr>
                <w:color w:val="auto"/>
                <w:szCs w:val="21"/>
              </w:rPr>
              <w:t>达标</w:t>
            </w:r>
          </w:p>
        </w:tc>
      </w:tr>
    </w:tbl>
    <w:p>
      <w:pPr>
        <w:pStyle w:val="31"/>
        <w:spacing w:line="360" w:lineRule="auto"/>
        <w:jc w:val="both"/>
        <w:rPr>
          <w:color w:val="auto"/>
          <w:sz w:val="24"/>
          <w:szCs w:val="13"/>
        </w:rPr>
      </w:pPr>
    </w:p>
    <w:p>
      <w:pPr>
        <w:ind w:firstLine="0" w:firstLineChars="0"/>
        <w:jc w:val="center"/>
        <w:rPr>
          <w:color w:val="auto"/>
        </w:rPr>
        <w:sectPr>
          <w:pgSz w:w="16838" w:h="11906" w:orient="landscape"/>
          <w:pgMar w:top="1800" w:right="1440" w:bottom="1800" w:left="1440" w:header="851" w:footer="992" w:gutter="0"/>
          <w:pgNumType w:start="34"/>
          <w:cols w:space="425" w:num="1"/>
          <w:docGrid w:type="lines" w:linePitch="312" w:charSpace="0"/>
        </w:sectPr>
      </w:pPr>
      <w:r>
        <w:rPr>
          <w:rFonts w:hint="eastAsia"/>
          <w:color w:val="auto"/>
        </w:rPr>
        <w:br w:type="page"/>
      </w:r>
    </w:p>
    <w:p>
      <w:pPr>
        <w:pStyle w:val="10"/>
        <w:ind w:left="480" w:firstLine="480"/>
        <w:rPr>
          <w:color w:val="auto"/>
        </w:rPr>
      </w:pPr>
    </w:p>
    <w:tbl>
      <w:tblPr>
        <w:tblStyle w:val="2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3"/>
        <w:gridCol w:w="8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0" w:type="dxa"/>
            <w:tcMar>
              <w:top w:w="0" w:type="dxa"/>
              <w:left w:w="0" w:type="dxa"/>
              <w:bottom w:w="0" w:type="dxa"/>
              <w:right w:w="108" w:type="dxa"/>
            </w:tcMar>
            <w:vAlign w:val="center"/>
          </w:tcPr>
          <w:p>
            <w:pPr>
              <w:ind w:firstLine="0" w:firstLineChars="0"/>
              <w:jc w:val="center"/>
              <w:rPr>
                <w:color w:val="auto"/>
              </w:rPr>
            </w:pPr>
            <w:r>
              <w:rPr>
                <w:rFonts w:hint="eastAsia"/>
                <w:color w:val="auto"/>
              </w:rPr>
              <w:t>运营期环境影响和保护措施</w:t>
            </w:r>
          </w:p>
        </w:tc>
        <w:tc>
          <w:tcPr>
            <w:tcW w:w="7939" w:type="dxa"/>
          </w:tcPr>
          <w:p>
            <w:pPr>
              <w:ind w:firstLine="480"/>
              <w:rPr>
                <w:color w:val="auto"/>
              </w:rPr>
            </w:pPr>
            <w:r>
              <w:rPr>
                <w:rFonts w:hint="eastAsia"/>
                <w:color w:val="auto"/>
              </w:rPr>
              <w:t>（1）本项目</w:t>
            </w:r>
            <w:r>
              <w:rPr>
                <w:color w:val="auto"/>
              </w:rPr>
              <w:t>大气污染物源强及污染防治措施</w:t>
            </w:r>
          </w:p>
          <w:p>
            <w:pPr>
              <w:ind w:firstLine="480"/>
              <w:rPr>
                <w:color w:val="auto"/>
              </w:rPr>
            </w:pPr>
            <w:r>
              <w:rPr>
                <w:rFonts w:hint="eastAsia"/>
                <w:color w:val="auto"/>
              </w:rPr>
              <w:t>本次将现用一台2t/h扩建为一台3t/h的沼气锅炉，用于供暖和高温蒸煮工序，沼气经沼气净化系统脱水脱硫后通过管道输送到锅炉房。由于经脱水脱硫后的沼气成分与天然气相似，本项目燃烧沼气废气污染物参照《排污许可证申请与核发技术规范 锅炉》（HJ953-2018）附录F表F-3中以天然气为燃料的室燃炉的产排污系数进行核算，废气量参照《排放源统计调查产排污核算方法和系数手册》4430 工业锅炉（热力供应）行业系数手册中天然气室燃炉工业废气量产物系数，沼气用量为138.699万m</w:t>
            </w:r>
            <w:r>
              <w:rPr>
                <w:rFonts w:hint="eastAsia"/>
                <w:color w:val="auto"/>
                <w:vertAlign w:val="superscript"/>
              </w:rPr>
              <w:t>3</w:t>
            </w:r>
            <w:r>
              <w:rPr>
                <w:rFonts w:hint="eastAsia"/>
                <w:color w:val="auto"/>
              </w:rPr>
              <w:t>。通过企业提供的沼气成分检测报告可知，沼气经沼气净化系统脱水脱硫工艺后，沼气中甲烷含量保持在62.84%，折天然气量为87.158万m</w:t>
            </w:r>
            <w:r>
              <w:rPr>
                <w:rFonts w:hint="eastAsia"/>
                <w:color w:val="auto"/>
                <w:vertAlign w:val="superscript"/>
              </w:rPr>
              <w:t>3</w:t>
            </w:r>
            <w:r>
              <w:rPr>
                <w:rFonts w:hint="eastAsia"/>
                <w:color w:val="auto"/>
              </w:rPr>
              <w:t>，沼气锅炉风机风量为400m</w:t>
            </w:r>
            <w:r>
              <w:rPr>
                <w:rFonts w:hint="eastAsia"/>
                <w:color w:val="auto"/>
                <w:vertAlign w:val="superscript"/>
              </w:rPr>
              <w:t>3</w:t>
            </w:r>
            <w:r>
              <w:rPr>
                <w:rFonts w:hint="eastAsia"/>
                <w:color w:val="auto"/>
              </w:rPr>
              <w:t>/h。</w:t>
            </w:r>
          </w:p>
          <w:p>
            <w:pPr>
              <w:pStyle w:val="10"/>
              <w:spacing w:after="0" w:line="240" w:lineRule="auto"/>
              <w:ind w:left="0" w:leftChars="0" w:firstLine="0" w:firstLineChars="0"/>
              <w:jc w:val="center"/>
              <w:rPr>
                <w:b/>
                <w:bCs/>
                <w:color w:val="auto"/>
                <w:sz w:val="21"/>
                <w:szCs w:val="16"/>
              </w:rPr>
            </w:pPr>
            <w:r>
              <w:rPr>
                <w:b/>
                <w:bCs/>
                <w:color w:val="auto"/>
                <w:sz w:val="21"/>
                <w:szCs w:val="16"/>
              </w:rPr>
              <w:t>表4</w:t>
            </w:r>
            <w:r>
              <w:rPr>
                <w:rFonts w:hint="eastAsia"/>
                <w:b/>
                <w:bCs/>
                <w:color w:val="auto"/>
                <w:sz w:val="21"/>
                <w:szCs w:val="16"/>
              </w:rPr>
              <w:t>-5</w:t>
            </w:r>
            <w:r>
              <w:rPr>
                <w:b/>
                <w:bCs/>
                <w:color w:val="auto"/>
                <w:sz w:val="21"/>
                <w:szCs w:val="16"/>
              </w:rPr>
              <w:t xml:space="preserve"> </w:t>
            </w:r>
            <w:r>
              <w:rPr>
                <w:rFonts w:hint="eastAsia"/>
                <w:b/>
                <w:bCs/>
                <w:color w:val="auto"/>
                <w:sz w:val="21"/>
                <w:szCs w:val="16"/>
              </w:rPr>
              <w:t xml:space="preserve"> </w:t>
            </w:r>
            <w:r>
              <w:rPr>
                <w:b/>
                <w:bCs/>
                <w:color w:val="auto"/>
                <w:sz w:val="21"/>
                <w:szCs w:val="16"/>
              </w:rPr>
              <w:t>天然气燃烧产污系数表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656"/>
              <w:gridCol w:w="2086"/>
              <w:gridCol w:w="872"/>
              <w:gridCol w:w="1073"/>
              <w:gridCol w:w="1227"/>
              <w:gridCol w:w="11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5"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原料名称</w:t>
                  </w:r>
                </w:p>
              </w:tc>
              <w:tc>
                <w:tcPr>
                  <w:tcW w:w="656"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工艺名称</w:t>
                  </w:r>
                </w:p>
              </w:tc>
              <w:tc>
                <w:tcPr>
                  <w:tcW w:w="2086"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燃料量</w:t>
                  </w:r>
                </w:p>
              </w:tc>
              <w:tc>
                <w:tcPr>
                  <w:tcW w:w="872"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污染物指标</w:t>
                  </w:r>
                </w:p>
              </w:tc>
              <w:tc>
                <w:tcPr>
                  <w:tcW w:w="1073"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单位</w:t>
                  </w:r>
                </w:p>
              </w:tc>
              <w:tc>
                <w:tcPr>
                  <w:tcW w:w="1227"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产污系数</w:t>
                  </w:r>
                </w:p>
              </w:tc>
              <w:tc>
                <w:tcPr>
                  <w:tcW w:w="1149"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5"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天然气</w:t>
                  </w:r>
                </w:p>
              </w:tc>
              <w:tc>
                <w:tcPr>
                  <w:tcW w:w="656"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室燃炉</w:t>
                  </w:r>
                </w:p>
              </w:tc>
              <w:tc>
                <w:tcPr>
                  <w:tcW w:w="2086"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沼气138.699万m</w:t>
                  </w:r>
                  <w:r>
                    <w:rPr>
                      <w:rFonts w:hint="eastAsia"/>
                      <w:color w:val="auto"/>
                      <w:sz w:val="21"/>
                      <w:szCs w:val="21"/>
                      <w:vertAlign w:val="superscript"/>
                    </w:rPr>
                    <w:t>3</w:t>
                  </w:r>
                  <w:r>
                    <w:rPr>
                      <w:rFonts w:hint="eastAsia"/>
                      <w:color w:val="auto"/>
                      <w:sz w:val="21"/>
                      <w:szCs w:val="21"/>
                    </w:rPr>
                    <w:t>，（折天然气87.158万m</w:t>
                  </w:r>
                  <w:r>
                    <w:rPr>
                      <w:rFonts w:hint="eastAsia"/>
                      <w:color w:val="auto"/>
                      <w:sz w:val="21"/>
                      <w:szCs w:val="21"/>
                      <w:vertAlign w:val="superscript"/>
                    </w:rPr>
                    <w:t>3</w:t>
                  </w:r>
                  <w:r>
                    <w:rPr>
                      <w:rFonts w:hint="eastAsia"/>
                      <w:color w:val="auto"/>
                      <w:sz w:val="21"/>
                      <w:szCs w:val="21"/>
                    </w:rPr>
                    <w:t>）</w:t>
                  </w:r>
                </w:p>
              </w:tc>
              <w:tc>
                <w:tcPr>
                  <w:tcW w:w="872"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工业废气量</w:t>
                  </w:r>
                </w:p>
              </w:tc>
              <w:tc>
                <w:tcPr>
                  <w:tcW w:w="1073"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标立方米/万立方米-原料</w:t>
                  </w:r>
                </w:p>
              </w:tc>
              <w:tc>
                <w:tcPr>
                  <w:tcW w:w="1227"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107753</w:t>
                  </w:r>
                </w:p>
              </w:tc>
              <w:tc>
                <w:tcPr>
                  <w:tcW w:w="1149"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939.158万m</w:t>
                  </w:r>
                  <w:r>
                    <w:rPr>
                      <w:rFonts w:hint="eastAsia"/>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5" w:type="dxa"/>
                  <w:vMerge w:val="continue"/>
                  <w:vAlign w:val="center"/>
                </w:tcPr>
                <w:p>
                  <w:pPr>
                    <w:pStyle w:val="10"/>
                    <w:spacing w:after="0" w:line="240" w:lineRule="auto"/>
                    <w:ind w:left="0" w:leftChars="0" w:firstLine="0" w:firstLineChars="0"/>
                    <w:jc w:val="center"/>
                    <w:rPr>
                      <w:color w:val="auto"/>
                      <w:sz w:val="21"/>
                      <w:szCs w:val="21"/>
                    </w:rPr>
                  </w:pPr>
                </w:p>
              </w:tc>
              <w:tc>
                <w:tcPr>
                  <w:tcW w:w="656" w:type="dxa"/>
                  <w:vMerge w:val="continue"/>
                  <w:vAlign w:val="center"/>
                </w:tcPr>
                <w:p>
                  <w:pPr>
                    <w:pStyle w:val="10"/>
                    <w:spacing w:after="0" w:line="240" w:lineRule="auto"/>
                    <w:ind w:left="0" w:leftChars="0" w:firstLine="0" w:firstLineChars="0"/>
                    <w:jc w:val="center"/>
                    <w:rPr>
                      <w:color w:val="auto"/>
                      <w:sz w:val="21"/>
                      <w:szCs w:val="21"/>
                    </w:rPr>
                  </w:pPr>
                </w:p>
              </w:tc>
              <w:tc>
                <w:tcPr>
                  <w:tcW w:w="2086" w:type="dxa"/>
                  <w:vMerge w:val="continue"/>
                  <w:vAlign w:val="center"/>
                </w:tcPr>
                <w:p>
                  <w:pPr>
                    <w:pStyle w:val="10"/>
                    <w:spacing w:after="0" w:line="240" w:lineRule="auto"/>
                    <w:ind w:left="0" w:leftChars="0" w:firstLine="0" w:firstLineChars="0"/>
                    <w:jc w:val="center"/>
                    <w:rPr>
                      <w:color w:val="auto"/>
                      <w:sz w:val="21"/>
                      <w:szCs w:val="21"/>
                    </w:rPr>
                  </w:pPr>
                </w:p>
              </w:tc>
              <w:tc>
                <w:tcPr>
                  <w:tcW w:w="872"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颗粒物</w:t>
                  </w:r>
                </w:p>
              </w:tc>
              <w:tc>
                <w:tcPr>
                  <w:tcW w:w="1073"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千克/万立方米-原料</w:t>
                  </w:r>
                </w:p>
              </w:tc>
              <w:tc>
                <w:tcPr>
                  <w:tcW w:w="1227"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2.86</w:t>
                  </w:r>
                </w:p>
              </w:tc>
              <w:tc>
                <w:tcPr>
                  <w:tcW w:w="1149"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5" w:type="dxa"/>
                  <w:vMerge w:val="continue"/>
                  <w:vAlign w:val="center"/>
                </w:tcPr>
                <w:p>
                  <w:pPr>
                    <w:pStyle w:val="10"/>
                    <w:spacing w:after="0" w:line="240" w:lineRule="auto"/>
                    <w:ind w:left="0" w:leftChars="0" w:firstLine="0" w:firstLineChars="0"/>
                    <w:jc w:val="center"/>
                    <w:rPr>
                      <w:color w:val="auto"/>
                      <w:sz w:val="21"/>
                      <w:szCs w:val="21"/>
                    </w:rPr>
                  </w:pPr>
                </w:p>
              </w:tc>
              <w:tc>
                <w:tcPr>
                  <w:tcW w:w="656" w:type="dxa"/>
                  <w:vMerge w:val="continue"/>
                  <w:vAlign w:val="center"/>
                </w:tcPr>
                <w:p>
                  <w:pPr>
                    <w:pStyle w:val="10"/>
                    <w:spacing w:after="0" w:line="240" w:lineRule="auto"/>
                    <w:ind w:left="0" w:leftChars="0" w:firstLine="0" w:firstLineChars="0"/>
                    <w:jc w:val="center"/>
                    <w:rPr>
                      <w:color w:val="auto"/>
                      <w:sz w:val="21"/>
                      <w:szCs w:val="21"/>
                    </w:rPr>
                  </w:pPr>
                </w:p>
              </w:tc>
              <w:tc>
                <w:tcPr>
                  <w:tcW w:w="2086" w:type="dxa"/>
                  <w:vMerge w:val="continue"/>
                  <w:vAlign w:val="center"/>
                </w:tcPr>
                <w:p>
                  <w:pPr>
                    <w:pStyle w:val="10"/>
                    <w:spacing w:after="0" w:line="240" w:lineRule="auto"/>
                    <w:ind w:left="0" w:leftChars="0" w:firstLine="0" w:firstLineChars="0"/>
                    <w:jc w:val="center"/>
                    <w:rPr>
                      <w:color w:val="auto"/>
                      <w:sz w:val="21"/>
                      <w:szCs w:val="21"/>
                    </w:rPr>
                  </w:pPr>
                </w:p>
              </w:tc>
              <w:tc>
                <w:tcPr>
                  <w:tcW w:w="872"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SO</w:t>
                  </w:r>
                  <w:r>
                    <w:rPr>
                      <w:rFonts w:hint="eastAsia"/>
                      <w:color w:val="auto"/>
                      <w:sz w:val="21"/>
                      <w:szCs w:val="21"/>
                      <w:vertAlign w:val="subscript"/>
                    </w:rPr>
                    <w:t>2</w:t>
                  </w:r>
                </w:p>
              </w:tc>
              <w:tc>
                <w:tcPr>
                  <w:tcW w:w="1073"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千克/万立方米-原料</w:t>
                  </w:r>
                </w:p>
              </w:tc>
              <w:tc>
                <w:tcPr>
                  <w:tcW w:w="1227"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 xml:space="preserve">0.02S </w:t>
                  </w:r>
                  <w:r>
                    <w:rPr>
                      <w:rFonts w:hint="eastAsia"/>
                      <w:b/>
                      <w:bCs/>
                      <w:color w:val="auto"/>
                      <w:sz w:val="21"/>
                      <w:szCs w:val="21"/>
                    </w:rPr>
                    <w:t>①</w:t>
                  </w:r>
                </w:p>
              </w:tc>
              <w:tc>
                <w:tcPr>
                  <w:tcW w:w="1149"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5" w:type="dxa"/>
                  <w:vMerge w:val="continue"/>
                  <w:vAlign w:val="center"/>
                </w:tcPr>
                <w:p>
                  <w:pPr>
                    <w:pStyle w:val="10"/>
                    <w:spacing w:after="0" w:line="240" w:lineRule="auto"/>
                    <w:ind w:left="0" w:leftChars="0" w:firstLine="0" w:firstLineChars="0"/>
                    <w:jc w:val="center"/>
                    <w:rPr>
                      <w:color w:val="auto"/>
                      <w:sz w:val="21"/>
                      <w:szCs w:val="21"/>
                    </w:rPr>
                  </w:pPr>
                </w:p>
              </w:tc>
              <w:tc>
                <w:tcPr>
                  <w:tcW w:w="656" w:type="dxa"/>
                  <w:vMerge w:val="continue"/>
                  <w:vAlign w:val="center"/>
                </w:tcPr>
                <w:p>
                  <w:pPr>
                    <w:pStyle w:val="10"/>
                    <w:spacing w:after="0" w:line="240" w:lineRule="auto"/>
                    <w:ind w:left="0" w:leftChars="0" w:firstLine="0" w:firstLineChars="0"/>
                    <w:jc w:val="center"/>
                    <w:rPr>
                      <w:color w:val="auto"/>
                      <w:sz w:val="21"/>
                      <w:szCs w:val="21"/>
                    </w:rPr>
                  </w:pPr>
                </w:p>
              </w:tc>
              <w:tc>
                <w:tcPr>
                  <w:tcW w:w="2086" w:type="dxa"/>
                  <w:vMerge w:val="continue"/>
                  <w:vAlign w:val="center"/>
                </w:tcPr>
                <w:p>
                  <w:pPr>
                    <w:pStyle w:val="10"/>
                    <w:spacing w:after="0" w:line="240" w:lineRule="auto"/>
                    <w:ind w:left="0" w:leftChars="0" w:firstLine="0" w:firstLineChars="0"/>
                    <w:jc w:val="center"/>
                    <w:rPr>
                      <w:color w:val="auto"/>
                      <w:sz w:val="21"/>
                      <w:szCs w:val="21"/>
                    </w:rPr>
                  </w:pPr>
                </w:p>
              </w:tc>
              <w:tc>
                <w:tcPr>
                  <w:tcW w:w="872"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NO</w:t>
                  </w:r>
                  <w:r>
                    <w:rPr>
                      <w:rFonts w:hint="eastAsia"/>
                      <w:color w:val="auto"/>
                      <w:sz w:val="21"/>
                      <w:szCs w:val="21"/>
                      <w:vertAlign w:val="subscript"/>
                    </w:rPr>
                    <w:t>X</w:t>
                  </w:r>
                </w:p>
              </w:tc>
              <w:tc>
                <w:tcPr>
                  <w:tcW w:w="1073"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千克/万立方米-原料</w:t>
                  </w:r>
                </w:p>
              </w:tc>
              <w:tc>
                <w:tcPr>
                  <w:tcW w:w="1227"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9.36（低氮燃烧）</w:t>
                  </w:r>
                </w:p>
              </w:tc>
              <w:tc>
                <w:tcPr>
                  <w:tcW w:w="1149"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0.816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18" w:type="dxa"/>
                  <w:gridSpan w:val="7"/>
                  <w:vAlign w:val="center"/>
                </w:tcPr>
                <w:p>
                  <w:pPr>
                    <w:pStyle w:val="10"/>
                    <w:spacing w:after="0" w:line="240" w:lineRule="auto"/>
                    <w:ind w:left="0" w:leftChars="0" w:firstLine="0" w:firstLineChars="0"/>
                    <w:jc w:val="center"/>
                    <w:rPr>
                      <w:color w:val="auto"/>
                      <w:sz w:val="21"/>
                      <w:szCs w:val="21"/>
                    </w:rPr>
                  </w:pPr>
                  <w:r>
                    <w:rPr>
                      <w:color w:val="auto"/>
                      <w:sz w:val="21"/>
                      <w:szCs w:val="21"/>
                    </w:rPr>
                    <w:t>注：①产排污系数表中二氧化硫的产排污系数是以含硫量（S）的形式表示的，其中含硫量（S）是指燃气收到基硫分含量（%），故本项目的沼</w:t>
                  </w:r>
                  <w:r>
                    <w:rPr>
                      <w:rFonts w:hint="eastAsia"/>
                      <w:color w:val="auto"/>
                      <w:sz w:val="21"/>
                      <w:szCs w:val="21"/>
                    </w:rPr>
                    <w:t>气</w:t>
                  </w:r>
                  <w:r>
                    <w:rPr>
                      <w:color w:val="auto"/>
                      <w:sz w:val="21"/>
                      <w:szCs w:val="21"/>
                    </w:rPr>
                    <w:t>参照《天然气》（GB17820-2018）中规定，总硫含量取值100mg/m</w:t>
                  </w:r>
                  <w:r>
                    <w:rPr>
                      <w:color w:val="auto"/>
                      <w:sz w:val="21"/>
                      <w:szCs w:val="21"/>
                      <w:vertAlign w:val="superscript"/>
                    </w:rPr>
                    <w:t>3</w:t>
                  </w:r>
                  <w:r>
                    <w:rPr>
                      <w:color w:val="auto"/>
                      <w:sz w:val="21"/>
                      <w:szCs w:val="21"/>
                    </w:rPr>
                    <w:t>；</w:t>
                  </w:r>
                </w:p>
              </w:tc>
            </w:tr>
          </w:tbl>
          <w:p>
            <w:pPr>
              <w:pStyle w:val="10"/>
              <w:spacing w:after="0" w:line="240" w:lineRule="auto"/>
              <w:ind w:left="0" w:leftChars="0" w:firstLine="0" w:firstLineChars="0"/>
              <w:jc w:val="center"/>
              <w:rPr>
                <w:color w:val="auto"/>
              </w:rPr>
            </w:pPr>
            <w:r>
              <w:rPr>
                <w:b/>
                <w:bCs/>
                <w:color w:val="auto"/>
                <w:sz w:val="21"/>
                <w:szCs w:val="16"/>
              </w:rPr>
              <w:t>表4-</w:t>
            </w:r>
            <w:r>
              <w:rPr>
                <w:rFonts w:hint="eastAsia"/>
                <w:b/>
                <w:bCs/>
                <w:color w:val="auto"/>
                <w:sz w:val="21"/>
                <w:szCs w:val="16"/>
              </w:rPr>
              <w:t>6</w:t>
            </w:r>
            <w:r>
              <w:rPr>
                <w:b/>
                <w:bCs/>
                <w:color w:val="auto"/>
                <w:sz w:val="21"/>
                <w:szCs w:val="16"/>
              </w:rPr>
              <w:t xml:space="preserve"> </w:t>
            </w:r>
            <w:r>
              <w:rPr>
                <w:rFonts w:hint="eastAsia"/>
                <w:b/>
                <w:bCs/>
                <w:color w:val="auto"/>
                <w:sz w:val="21"/>
                <w:szCs w:val="16"/>
              </w:rPr>
              <w:t xml:space="preserve"> 天然气燃烧废气产生及排放情况一览表</w:t>
            </w:r>
          </w:p>
          <w:tbl>
            <w:tblPr>
              <w:tblStyle w:val="22"/>
              <w:tblW w:w="771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824"/>
              <w:gridCol w:w="1053"/>
              <w:gridCol w:w="648"/>
              <w:gridCol w:w="634"/>
              <w:gridCol w:w="1055"/>
              <w:gridCol w:w="687"/>
              <w:gridCol w:w="738"/>
              <w:gridCol w:w="10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1824" w:type="dxa"/>
                  <w:vMerge w:val="restart"/>
                  <w:tcBorders>
                    <w:tl2br w:val="nil"/>
                    <w:tr2bl w:val="nil"/>
                  </w:tcBorders>
                  <w:tcMar>
                    <w:top w:w="15" w:type="dxa"/>
                    <w:left w:w="15" w:type="dxa"/>
                    <w:right w:w="15" w:type="dxa"/>
                  </w:tcMar>
                  <w:vAlign w:val="center"/>
                </w:tcPr>
                <w:p>
                  <w:pPr>
                    <w:pStyle w:val="31"/>
                    <w:rPr>
                      <w:color w:val="auto"/>
                    </w:rPr>
                  </w:pPr>
                  <w:r>
                    <w:rPr>
                      <w:rFonts w:hint="eastAsia"/>
                      <w:color w:val="auto"/>
                    </w:rPr>
                    <w:t>排放口</w:t>
                  </w:r>
                </w:p>
              </w:tc>
              <w:tc>
                <w:tcPr>
                  <w:tcW w:w="1053" w:type="dxa"/>
                  <w:vMerge w:val="restart"/>
                  <w:tcBorders>
                    <w:tl2br w:val="nil"/>
                    <w:tr2bl w:val="nil"/>
                  </w:tcBorders>
                  <w:tcMar>
                    <w:top w:w="15" w:type="dxa"/>
                    <w:left w:w="15" w:type="dxa"/>
                    <w:right w:w="15" w:type="dxa"/>
                  </w:tcMar>
                  <w:vAlign w:val="center"/>
                </w:tcPr>
                <w:p>
                  <w:pPr>
                    <w:pStyle w:val="31"/>
                    <w:rPr>
                      <w:color w:val="auto"/>
                    </w:rPr>
                  </w:pPr>
                  <w:r>
                    <w:rPr>
                      <w:color w:val="auto"/>
                    </w:rPr>
                    <w:t>污染物名称</w:t>
                  </w:r>
                </w:p>
              </w:tc>
              <w:tc>
                <w:tcPr>
                  <w:tcW w:w="4841" w:type="dxa"/>
                  <w:gridSpan w:val="6"/>
                  <w:tcBorders>
                    <w:tl2br w:val="nil"/>
                    <w:tr2bl w:val="nil"/>
                  </w:tcBorders>
                  <w:noWrap/>
                  <w:tcMar>
                    <w:top w:w="15" w:type="dxa"/>
                    <w:left w:w="15" w:type="dxa"/>
                    <w:right w:w="15" w:type="dxa"/>
                  </w:tcMar>
                  <w:vAlign w:val="center"/>
                </w:tcPr>
                <w:p>
                  <w:pPr>
                    <w:pStyle w:val="31"/>
                    <w:rPr>
                      <w:color w:val="auto"/>
                    </w:rPr>
                  </w:pPr>
                  <w:r>
                    <w:rPr>
                      <w:rFonts w:hint="eastAsia"/>
                      <w:color w:val="auto"/>
                    </w:rPr>
                    <w:t>有组织排放废气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8" w:hRule="atLeast"/>
                <w:jc w:val="center"/>
              </w:trPr>
              <w:tc>
                <w:tcPr>
                  <w:tcW w:w="1824" w:type="dxa"/>
                  <w:vMerge w:val="continue"/>
                  <w:tcBorders>
                    <w:tl2br w:val="nil"/>
                    <w:tr2bl w:val="nil"/>
                  </w:tcBorders>
                  <w:tcMar>
                    <w:top w:w="15" w:type="dxa"/>
                    <w:left w:w="15" w:type="dxa"/>
                    <w:right w:w="15" w:type="dxa"/>
                  </w:tcMar>
                  <w:vAlign w:val="center"/>
                </w:tcPr>
                <w:p>
                  <w:pPr>
                    <w:pStyle w:val="31"/>
                    <w:rPr>
                      <w:color w:val="auto"/>
                    </w:rPr>
                  </w:pPr>
                </w:p>
              </w:tc>
              <w:tc>
                <w:tcPr>
                  <w:tcW w:w="1053" w:type="dxa"/>
                  <w:vMerge w:val="continue"/>
                  <w:tcBorders>
                    <w:tl2br w:val="nil"/>
                    <w:tr2bl w:val="nil"/>
                  </w:tcBorders>
                  <w:tcMar>
                    <w:top w:w="15" w:type="dxa"/>
                    <w:left w:w="15" w:type="dxa"/>
                    <w:right w:w="15" w:type="dxa"/>
                  </w:tcMar>
                  <w:vAlign w:val="center"/>
                </w:tcPr>
                <w:p>
                  <w:pPr>
                    <w:pStyle w:val="31"/>
                    <w:rPr>
                      <w:color w:val="auto"/>
                    </w:rPr>
                  </w:pPr>
                </w:p>
              </w:tc>
              <w:tc>
                <w:tcPr>
                  <w:tcW w:w="2337" w:type="dxa"/>
                  <w:gridSpan w:val="3"/>
                  <w:tcBorders>
                    <w:tl2br w:val="nil"/>
                    <w:tr2bl w:val="nil"/>
                  </w:tcBorders>
                  <w:noWrap/>
                  <w:tcMar>
                    <w:top w:w="15" w:type="dxa"/>
                    <w:left w:w="15" w:type="dxa"/>
                    <w:right w:w="15" w:type="dxa"/>
                  </w:tcMar>
                  <w:vAlign w:val="center"/>
                </w:tcPr>
                <w:p>
                  <w:pPr>
                    <w:pStyle w:val="31"/>
                    <w:rPr>
                      <w:color w:val="auto"/>
                    </w:rPr>
                  </w:pPr>
                  <w:r>
                    <w:rPr>
                      <w:rFonts w:hint="eastAsia"/>
                      <w:color w:val="auto"/>
                    </w:rPr>
                    <w:t>产生情况</w:t>
                  </w:r>
                </w:p>
              </w:tc>
              <w:tc>
                <w:tcPr>
                  <w:tcW w:w="2504" w:type="dxa"/>
                  <w:gridSpan w:val="3"/>
                  <w:tcBorders>
                    <w:tl2br w:val="nil"/>
                    <w:tr2bl w:val="nil"/>
                  </w:tcBorders>
                  <w:noWrap/>
                  <w:tcMar>
                    <w:top w:w="15" w:type="dxa"/>
                    <w:left w:w="15" w:type="dxa"/>
                    <w:right w:w="15" w:type="dxa"/>
                  </w:tcMar>
                  <w:vAlign w:val="center"/>
                </w:tcPr>
                <w:p>
                  <w:pPr>
                    <w:pStyle w:val="31"/>
                    <w:rPr>
                      <w:color w:val="auto"/>
                    </w:rPr>
                  </w:pPr>
                  <w:r>
                    <w:rPr>
                      <w:rFonts w:hint="eastAsia"/>
                      <w:color w:val="auto"/>
                    </w:rPr>
                    <w:t>排放情况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1" w:hRule="atLeast"/>
                <w:jc w:val="center"/>
              </w:trPr>
              <w:tc>
                <w:tcPr>
                  <w:tcW w:w="1824" w:type="dxa"/>
                  <w:vMerge w:val="continue"/>
                  <w:tcBorders>
                    <w:tl2br w:val="nil"/>
                    <w:tr2bl w:val="nil"/>
                  </w:tcBorders>
                  <w:tcMar>
                    <w:top w:w="15" w:type="dxa"/>
                    <w:left w:w="15" w:type="dxa"/>
                    <w:right w:w="15" w:type="dxa"/>
                  </w:tcMar>
                  <w:vAlign w:val="center"/>
                </w:tcPr>
                <w:p>
                  <w:pPr>
                    <w:pStyle w:val="31"/>
                    <w:rPr>
                      <w:color w:val="auto"/>
                    </w:rPr>
                  </w:pPr>
                </w:p>
              </w:tc>
              <w:tc>
                <w:tcPr>
                  <w:tcW w:w="1053" w:type="dxa"/>
                  <w:vMerge w:val="continue"/>
                  <w:tcBorders>
                    <w:tl2br w:val="nil"/>
                    <w:tr2bl w:val="nil"/>
                  </w:tcBorders>
                  <w:tcMar>
                    <w:top w:w="15" w:type="dxa"/>
                    <w:left w:w="15" w:type="dxa"/>
                    <w:right w:w="15" w:type="dxa"/>
                  </w:tcMar>
                  <w:vAlign w:val="center"/>
                </w:tcPr>
                <w:p>
                  <w:pPr>
                    <w:pStyle w:val="31"/>
                    <w:rPr>
                      <w:color w:val="auto"/>
                    </w:rPr>
                  </w:pPr>
                </w:p>
              </w:tc>
              <w:tc>
                <w:tcPr>
                  <w:tcW w:w="648" w:type="dxa"/>
                  <w:tcBorders>
                    <w:tl2br w:val="nil"/>
                    <w:tr2bl w:val="nil"/>
                  </w:tcBorders>
                  <w:noWrap/>
                  <w:tcMar>
                    <w:top w:w="15" w:type="dxa"/>
                    <w:left w:w="15" w:type="dxa"/>
                    <w:right w:w="15" w:type="dxa"/>
                  </w:tcMar>
                  <w:vAlign w:val="center"/>
                </w:tcPr>
                <w:p>
                  <w:pPr>
                    <w:pStyle w:val="31"/>
                    <w:rPr>
                      <w:color w:val="auto"/>
                    </w:rPr>
                  </w:pPr>
                  <w:r>
                    <w:rPr>
                      <w:rFonts w:hint="eastAsia"/>
                      <w:color w:val="auto"/>
                      <w:szCs w:val="21"/>
                    </w:rPr>
                    <w:t>t/a</w:t>
                  </w:r>
                </w:p>
              </w:tc>
              <w:tc>
                <w:tcPr>
                  <w:tcW w:w="634" w:type="dxa"/>
                  <w:tcBorders>
                    <w:tl2br w:val="nil"/>
                    <w:tr2bl w:val="nil"/>
                  </w:tcBorders>
                  <w:noWrap/>
                  <w:tcMar>
                    <w:top w:w="15" w:type="dxa"/>
                    <w:left w:w="15" w:type="dxa"/>
                    <w:right w:w="15" w:type="dxa"/>
                  </w:tcMar>
                  <w:vAlign w:val="center"/>
                </w:tcPr>
                <w:p>
                  <w:pPr>
                    <w:pStyle w:val="31"/>
                    <w:rPr>
                      <w:color w:val="auto"/>
                    </w:rPr>
                  </w:pPr>
                  <w:r>
                    <w:rPr>
                      <w:rFonts w:hint="eastAsia"/>
                      <w:color w:val="auto"/>
                      <w:szCs w:val="21"/>
                    </w:rPr>
                    <w:t>kg/h</w:t>
                  </w:r>
                </w:p>
              </w:tc>
              <w:tc>
                <w:tcPr>
                  <w:tcW w:w="1055" w:type="dxa"/>
                  <w:tcBorders>
                    <w:tl2br w:val="nil"/>
                    <w:tr2bl w:val="nil"/>
                  </w:tcBorders>
                  <w:noWrap/>
                  <w:tcMar>
                    <w:top w:w="15" w:type="dxa"/>
                    <w:left w:w="15" w:type="dxa"/>
                    <w:right w:w="15" w:type="dxa"/>
                  </w:tcMar>
                  <w:vAlign w:val="center"/>
                </w:tcPr>
                <w:p>
                  <w:pPr>
                    <w:pStyle w:val="31"/>
                    <w:rPr>
                      <w:color w:val="auto"/>
                    </w:rPr>
                  </w:pPr>
                  <w:r>
                    <w:rPr>
                      <w:rFonts w:hint="eastAsia"/>
                      <w:color w:val="auto"/>
                    </w:rPr>
                    <w:t>mg/m</w:t>
                  </w:r>
                  <w:r>
                    <w:rPr>
                      <w:rFonts w:hint="eastAsia"/>
                      <w:color w:val="auto"/>
                      <w:vertAlign w:val="superscript"/>
                    </w:rPr>
                    <w:t>3</w:t>
                  </w:r>
                </w:p>
              </w:tc>
              <w:tc>
                <w:tcPr>
                  <w:tcW w:w="687" w:type="dxa"/>
                  <w:tcBorders>
                    <w:tl2br w:val="nil"/>
                    <w:tr2bl w:val="nil"/>
                  </w:tcBorders>
                  <w:noWrap/>
                  <w:tcMar>
                    <w:top w:w="15" w:type="dxa"/>
                    <w:left w:w="15" w:type="dxa"/>
                    <w:right w:w="15" w:type="dxa"/>
                  </w:tcMar>
                  <w:vAlign w:val="center"/>
                </w:tcPr>
                <w:p>
                  <w:pPr>
                    <w:pStyle w:val="31"/>
                    <w:rPr>
                      <w:color w:val="auto"/>
                    </w:rPr>
                  </w:pPr>
                  <w:r>
                    <w:rPr>
                      <w:rFonts w:hint="eastAsia"/>
                      <w:color w:val="auto"/>
                      <w:szCs w:val="21"/>
                    </w:rPr>
                    <w:t>t/a</w:t>
                  </w:r>
                </w:p>
              </w:tc>
              <w:tc>
                <w:tcPr>
                  <w:tcW w:w="738" w:type="dxa"/>
                  <w:tcBorders>
                    <w:tl2br w:val="nil"/>
                    <w:tr2bl w:val="nil"/>
                  </w:tcBorders>
                  <w:noWrap/>
                  <w:tcMar>
                    <w:top w:w="15" w:type="dxa"/>
                    <w:left w:w="15" w:type="dxa"/>
                    <w:right w:w="15" w:type="dxa"/>
                  </w:tcMar>
                  <w:vAlign w:val="center"/>
                </w:tcPr>
                <w:p>
                  <w:pPr>
                    <w:pStyle w:val="31"/>
                    <w:rPr>
                      <w:color w:val="auto"/>
                    </w:rPr>
                  </w:pPr>
                  <w:r>
                    <w:rPr>
                      <w:rFonts w:hint="eastAsia"/>
                      <w:color w:val="auto"/>
                      <w:szCs w:val="21"/>
                    </w:rPr>
                    <w:t>kg/h</w:t>
                  </w:r>
                </w:p>
              </w:tc>
              <w:tc>
                <w:tcPr>
                  <w:tcW w:w="1079" w:type="dxa"/>
                  <w:tcBorders>
                    <w:tl2br w:val="nil"/>
                    <w:tr2bl w:val="nil"/>
                  </w:tcBorders>
                  <w:noWrap/>
                  <w:tcMar>
                    <w:top w:w="15" w:type="dxa"/>
                    <w:left w:w="15" w:type="dxa"/>
                    <w:right w:w="15" w:type="dxa"/>
                  </w:tcMar>
                  <w:vAlign w:val="center"/>
                </w:tcPr>
                <w:p>
                  <w:pPr>
                    <w:pStyle w:val="31"/>
                    <w:rPr>
                      <w:color w:val="auto"/>
                    </w:rPr>
                  </w:pPr>
                  <w:r>
                    <w:rPr>
                      <w:rFonts w:hint="eastAsia"/>
                      <w:color w:val="auto"/>
                    </w:rPr>
                    <w:t>mg/m</w:t>
                  </w:r>
                  <w:r>
                    <w:rPr>
                      <w:rFonts w:hint="eastAsia"/>
                      <w:color w:val="auto"/>
                      <w:vertAlign w:val="superscript"/>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 w:hRule="atLeast"/>
                <w:jc w:val="center"/>
              </w:trPr>
              <w:tc>
                <w:tcPr>
                  <w:tcW w:w="1824" w:type="dxa"/>
                  <w:vMerge w:val="restart"/>
                  <w:tcBorders>
                    <w:tl2br w:val="nil"/>
                    <w:tr2bl w:val="nil"/>
                  </w:tcBorders>
                  <w:noWrap/>
                  <w:tcMar>
                    <w:top w:w="15" w:type="dxa"/>
                    <w:left w:w="15" w:type="dxa"/>
                    <w:right w:w="15" w:type="dxa"/>
                  </w:tcMar>
                  <w:vAlign w:val="center"/>
                </w:tcPr>
                <w:p>
                  <w:pPr>
                    <w:pStyle w:val="31"/>
                    <w:rPr>
                      <w:color w:val="auto"/>
                    </w:rPr>
                  </w:pPr>
                  <w:r>
                    <w:rPr>
                      <w:rFonts w:hint="eastAsia"/>
                      <w:color w:val="auto"/>
                    </w:rPr>
                    <w:t>DA001排气筒</w:t>
                  </w:r>
                </w:p>
              </w:tc>
              <w:tc>
                <w:tcPr>
                  <w:tcW w:w="1053" w:type="dxa"/>
                  <w:tcBorders>
                    <w:tl2br w:val="nil"/>
                    <w:tr2bl w:val="nil"/>
                  </w:tcBorders>
                  <w:noWrap/>
                  <w:tcMar>
                    <w:top w:w="15" w:type="dxa"/>
                    <w:left w:w="15" w:type="dxa"/>
                    <w:right w:w="15" w:type="dxa"/>
                  </w:tcMar>
                  <w:vAlign w:val="center"/>
                </w:tcPr>
                <w:p>
                  <w:pPr>
                    <w:pStyle w:val="31"/>
                    <w:rPr>
                      <w:color w:val="auto"/>
                    </w:rPr>
                  </w:pPr>
                  <w:r>
                    <w:rPr>
                      <w:rFonts w:hint="eastAsia"/>
                      <w:color w:val="auto"/>
                    </w:rPr>
                    <w:t>颗粒物</w:t>
                  </w:r>
                </w:p>
              </w:tc>
              <w:tc>
                <w:tcPr>
                  <w:tcW w:w="648"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color w:val="auto"/>
                    </w:rPr>
                  </w:pPr>
                  <w:r>
                    <w:rPr>
                      <w:rFonts w:hint="eastAsia"/>
                      <w:color w:val="auto"/>
                      <w:sz w:val="21"/>
                      <w:szCs w:val="21"/>
                    </w:rPr>
                    <w:t>0.249</w:t>
                  </w:r>
                </w:p>
              </w:tc>
              <w:tc>
                <w:tcPr>
                  <w:tcW w:w="634" w:type="dxa"/>
                  <w:tcBorders>
                    <w:tl2br w:val="nil"/>
                    <w:tr2bl w:val="nil"/>
                  </w:tcBorders>
                  <w:noWrap/>
                  <w:tcMar>
                    <w:top w:w="15" w:type="dxa"/>
                    <w:left w:w="15" w:type="dxa"/>
                    <w:right w:w="15" w:type="dxa"/>
                  </w:tcMar>
                  <w:vAlign w:val="center"/>
                </w:tcPr>
                <w:p>
                  <w:pPr>
                    <w:pStyle w:val="31"/>
                    <w:rPr>
                      <w:color w:val="auto"/>
                    </w:rPr>
                  </w:pPr>
                  <w:r>
                    <w:rPr>
                      <w:rFonts w:hint="eastAsia"/>
                      <w:color w:val="auto"/>
                    </w:rPr>
                    <w:t>0.042</w:t>
                  </w:r>
                </w:p>
              </w:tc>
              <w:tc>
                <w:tcPr>
                  <w:tcW w:w="1055" w:type="dxa"/>
                  <w:tcBorders>
                    <w:tl2br w:val="nil"/>
                    <w:tr2bl w:val="nil"/>
                  </w:tcBorders>
                  <w:noWrap/>
                  <w:tcMar>
                    <w:top w:w="15" w:type="dxa"/>
                    <w:left w:w="15" w:type="dxa"/>
                    <w:right w:w="15" w:type="dxa"/>
                  </w:tcMar>
                  <w:vAlign w:val="center"/>
                </w:tcPr>
                <w:p>
                  <w:pPr>
                    <w:pStyle w:val="31"/>
                    <w:rPr>
                      <w:color w:val="auto"/>
                    </w:rPr>
                  </w:pPr>
                  <w:r>
                    <w:rPr>
                      <w:rFonts w:hint="eastAsia"/>
                      <w:color w:val="auto"/>
                    </w:rPr>
                    <w:t>104.913</w:t>
                  </w:r>
                </w:p>
              </w:tc>
              <w:tc>
                <w:tcPr>
                  <w:tcW w:w="687"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bCs/>
                      <w:color w:val="auto"/>
                      <w:sz w:val="21"/>
                      <w:szCs w:val="10"/>
                    </w:rPr>
                  </w:pPr>
                  <w:r>
                    <w:rPr>
                      <w:rFonts w:hint="eastAsia"/>
                      <w:color w:val="auto"/>
                      <w:sz w:val="21"/>
                      <w:szCs w:val="21"/>
                    </w:rPr>
                    <w:t>0.249</w:t>
                  </w:r>
                </w:p>
              </w:tc>
              <w:tc>
                <w:tcPr>
                  <w:tcW w:w="738" w:type="dxa"/>
                  <w:tcBorders>
                    <w:tl2br w:val="nil"/>
                    <w:tr2bl w:val="nil"/>
                  </w:tcBorders>
                  <w:noWrap/>
                  <w:tcMar>
                    <w:top w:w="15" w:type="dxa"/>
                    <w:left w:w="15" w:type="dxa"/>
                    <w:right w:w="15" w:type="dxa"/>
                  </w:tcMar>
                  <w:vAlign w:val="center"/>
                </w:tcPr>
                <w:p>
                  <w:pPr>
                    <w:pStyle w:val="31"/>
                    <w:rPr>
                      <w:color w:val="auto"/>
                    </w:rPr>
                  </w:pPr>
                  <w:r>
                    <w:rPr>
                      <w:rFonts w:hint="eastAsia"/>
                      <w:color w:val="auto"/>
                    </w:rPr>
                    <w:t>0.042</w:t>
                  </w:r>
                </w:p>
              </w:tc>
              <w:tc>
                <w:tcPr>
                  <w:tcW w:w="1079" w:type="dxa"/>
                  <w:tcBorders>
                    <w:tl2br w:val="nil"/>
                    <w:tr2bl w:val="nil"/>
                  </w:tcBorders>
                  <w:noWrap/>
                  <w:tcMar>
                    <w:top w:w="15" w:type="dxa"/>
                    <w:left w:w="15" w:type="dxa"/>
                    <w:right w:w="15" w:type="dxa"/>
                  </w:tcMar>
                  <w:vAlign w:val="center"/>
                </w:tcPr>
                <w:p>
                  <w:pPr>
                    <w:pStyle w:val="31"/>
                    <w:rPr>
                      <w:color w:val="auto"/>
                    </w:rPr>
                  </w:pPr>
                  <w:r>
                    <w:rPr>
                      <w:rFonts w:hint="eastAsia"/>
                      <w:color w:val="auto"/>
                    </w:rPr>
                    <w:t>104.913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 w:hRule="atLeast"/>
                <w:jc w:val="center"/>
              </w:trPr>
              <w:tc>
                <w:tcPr>
                  <w:tcW w:w="1824" w:type="dxa"/>
                  <w:vMerge w:val="continue"/>
                  <w:tcBorders>
                    <w:tl2br w:val="nil"/>
                    <w:tr2bl w:val="nil"/>
                  </w:tcBorders>
                  <w:noWrap/>
                  <w:tcMar>
                    <w:top w:w="15" w:type="dxa"/>
                    <w:left w:w="15" w:type="dxa"/>
                    <w:right w:w="15" w:type="dxa"/>
                  </w:tcMar>
                  <w:vAlign w:val="center"/>
                </w:tcPr>
                <w:p>
                  <w:pPr>
                    <w:pStyle w:val="31"/>
                    <w:rPr>
                      <w:color w:val="auto"/>
                    </w:rPr>
                  </w:pPr>
                </w:p>
              </w:tc>
              <w:tc>
                <w:tcPr>
                  <w:tcW w:w="1053" w:type="dxa"/>
                  <w:tcBorders>
                    <w:tl2br w:val="nil"/>
                    <w:tr2bl w:val="nil"/>
                  </w:tcBorders>
                  <w:noWrap/>
                  <w:tcMar>
                    <w:top w:w="15" w:type="dxa"/>
                    <w:left w:w="15" w:type="dxa"/>
                    <w:right w:w="15" w:type="dxa"/>
                  </w:tcMar>
                  <w:vAlign w:val="center"/>
                </w:tcPr>
                <w:p>
                  <w:pPr>
                    <w:pStyle w:val="31"/>
                    <w:rPr>
                      <w:color w:val="auto"/>
                    </w:rPr>
                  </w:pPr>
                  <w:r>
                    <w:rPr>
                      <w:color w:val="auto"/>
                    </w:rPr>
                    <w:t>SO</w:t>
                  </w:r>
                  <w:r>
                    <w:rPr>
                      <w:color w:val="auto"/>
                      <w:vertAlign w:val="subscript"/>
                    </w:rPr>
                    <w:t>2</w:t>
                  </w:r>
                </w:p>
              </w:tc>
              <w:tc>
                <w:tcPr>
                  <w:tcW w:w="648"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0.174</w:t>
                  </w:r>
                </w:p>
              </w:tc>
              <w:tc>
                <w:tcPr>
                  <w:tcW w:w="634" w:type="dxa"/>
                  <w:tcBorders>
                    <w:tl2br w:val="nil"/>
                    <w:tr2bl w:val="nil"/>
                  </w:tcBorders>
                  <w:noWrap/>
                  <w:tcMar>
                    <w:top w:w="15" w:type="dxa"/>
                    <w:left w:w="15" w:type="dxa"/>
                    <w:right w:w="15" w:type="dxa"/>
                  </w:tcMar>
                  <w:vAlign w:val="center"/>
                </w:tcPr>
                <w:p>
                  <w:pPr>
                    <w:pStyle w:val="31"/>
                    <w:rPr>
                      <w:color w:val="auto"/>
                    </w:rPr>
                  </w:pPr>
                  <w:r>
                    <w:rPr>
                      <w:rFonts w:hint="eastAsia"/>
                      <w:color w:val="auto"/>
                    </w:rPr>
                    <w:t>0.030</w:t>
                  </w:r>
                </w:p>
              </w:tc>
              <w:tc>
                <w:tcPr>
                  <w:tcW w:w="1055" w:type="dxa"/>
                  <w:tcBorders>
                    <w:tl2br w:val="nil"/>
                    <w:tr2bl w:val="nil"/>
                  </w:tcBorders>
                  <w:noWrap/>
                  <w:tcMar>
                    <w:top w:w="15" w:type="dxa"/>
                    <w:left w:w="15" w:type="dxa"/>
                    <w:right w:w="15" w:type="dxa"/>
                  </w:tcMar>
                  <w:vAlign w:val="center"/>
                </w:tcPr>
                <w:p>
                  <w:pPr>
                    <w:pStyle w:val="31"/>
                    <w:rPr>
                      <w:color w:val="auto"/>
                    </w:rPr>
                  </w:pPr>
                  <w:r>
                    <w:rPr>
                      <w:rFonts w:hint="eastAsia"/>
                      <w:color w:val="auto"/>
                    </w:rPr>
                    <w:t>73.366</w:t>
                  </w:r>
                </w:p>
              </w:tc>
              <w:tc>
                <w:tcPr>
                  <w:tcW w:w="687"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0.174</w:t>
                  </w:r>
                </w:p>
              </w:tc>
              <w:tc>
                <w:tcPr>
                  <w:tcW w:w="738" w:type="dxa"/>
                  <w:tcBorders>
                    <w:tl2br w:val="nil"/>
                    <w:tr2bl w:val="nil"/>
                  </w:tcBorders>
                  <w:noWrap/>
                  <w:tcMar>
                    <w:top w:w="15" w:type="dxa"/>
                    <w:left w:w="15" w:type="dxa"/>
                    <w:right w:w="15" w:type="dxa"/>
                  </w:tcMar>
                  <w:vAlign w:val="center"/>
                </w:tcPr>
                <w:p>
                  <w:pPr>
                    <w:pStyle w:val="31"/>
                    <w:rPr>
                      <w:color w:val="auto"/>
                    </w:rPr>
                  </w:pPr>
                  <w:r>
                    <w:rPr>
                      <w:rFonts w:hint="eastAsia"/>
                      <w:color w:val="auto"/>
                    </w:rPr>
                    <w:t>0.030</w:t>
                  </w:r>
                </w:p>
              </w:tc>
              <w:tc>
                <w:tcPr>
                  <w:tcW w:w="1079" w:type="dxa"/>
                  <w:tcBorders>
                    <w:tl2br w:val="nil"/>
                    <w:tr2bl w:val="nil"/>
                  </w:tcBorders>
                  <w:noWrap/>
                  <w:tcMar>
                    <w:top w:w="15" w:type="dxa"/>
                    <w:left w:w="15" w:type="dxa"/>
                    <w:right w:w="15" w:type="dxa"/>
                  </w:tcMar>
                  <w:vAlign w:val="center"/>
                </w:tcPr>
                <w:p>
                  <w:pPr>
                    <w:pStyle w:val="31"/>
                    <w:rPr>
                      <w:color w:val="auto"/>
                    </w:rPr>
                  </w:pPr>
                  <w:r>
                    <w:rPr>
                      <w:rFonts w:hint="eastAsia"/>
                      <w:color w:val="auto"/>
                    </w:rPr>
                    <w:t>73.366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2" w:hRule="atLeast"/>
                <w:jc w:val="center"/>
              </w:trPr>
              <w:tc>
                <w:tcPr>
                  <w:tcW w:w="1824" w:type="dxa"/>
                  <w:vMerge w:val="continue"/>
                  <w:tcBorders>
                    <w:tl2br w:val="nil"/>
                    <w:tr2bl w:val="nil"/>
                  </w:tcBorders>
                  <w:noWrap/>
                  <w:tcMar>
                    <w:top w:w="15" w:type="dxa"/>
                    <w:left w:w="15" w:type="dxa"/>
                    <w:right w:w="15" w:type="dxa"/>
                  </w:tcMar>
                  <w:vAlign w:val="center"/>
                </w:tcPr>
                <w:p>
                  <w:pPr>
                    <w:pStyle w:val="31"/>
                    <w:rPr>
                      <w:color w:val="auto"/>
                    </w:rPr>
                  </w:pPr>
                </w:p>
              </w:tc>
              <w:tc>
                <w:tcPr>
                  <w:tcW w:w="1053" w:type="dxa"/>
                  <w:tcBorders>
                    <w:tl2br w:val="nil"/>
                    <w:tr2bl w:val="nil"/>
                  </w:tcBorders>
                  <w:noWrap/>
                  <w:tcMar>
                    <w:top w:w="15" w:type="dxa"/>
                    <w:left w:w="15" w:type="dxa"/>
                    <w:right w:w="15" w:type="dxa"/>
                  </w:tcMar>
                  <w:vAlign w:val="center"/>
                </w:tcPr>
                <w:p>
                  <w:pPr>
                    <w:pStyle w:val="31"/>
                    <w:rPr>
                      <w:color w:val="auto"/>
                    </w:rPr>
                  </w:pPr>
                  <w:r>
                    <w:rPr>
                      <w:rFonts w:hint="eastAsia"/>
                      <w:color w:val="auto"/>
                    </w:rPr>
                    <w:t>NOx</w:t>
                  </w:r>
                </w:p>
              </w:tc>
              <w:tc>
                <w:tcPr>
                  <w:tcW w:w="648"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0.816</w:t>
                  </w:r>
                </w:p>
              </w:tc>
              <w:tc>
                <w:tcPr>
                  <w:tcW w:w="634" w:type="dxa"/>
                  <w:tcBorders>
                    <w:tl2br w:val="nil"/>
                    <w:tr2bl w:val="nil"/>
                  </w:tcBorders>
                  <w:noWrap/>
                  <w:tcMar>
                    <w:top w:w="15" w:type="dxa"/>
                    <w:left w:w="15" w:type="dxa"/>
                    <w:right w:w="15" w:type="dxa"/>
                  </w:tcMar>
                  <w:vAlign w:val="center"/>
                </w:tcPr>
                <w:p>
                  <w:pPr>
                    <w:pStyle w:val="31"/>
                    <w:rPr>
                      <w:color w:val="auto"/>
                    </w:rPr>
                  </w:pPr>
                  <w:r>
                    <w:rPr>
                      <w:rFonts w:hint="eastAsia"/>
                      <w:color w:val="auto"/>
                    </w:rPr>
                    <w:t>0.137</w:t>
                  </w:r>
                </w:p>
              </w:tc>
              <w:tc>
                <w:tcPr>
                  <w:tcW w:w="1055" w:type="dxa"/>
                  <w:tcBorders>
                    <w:tl2br w:val="nil"/>
                    <w:tr2bl w:val="nil"/>
                  </w:tcBorders>
                  <w:noWrap/>
                  <w:tcMar>
                    <w:top w:w="15" w:type="dxa"/>
                    <w:left w:w="15" w:type="dxa"/>
                    <w:right w:w="15" w:type="dxa"/>
                  </w:tcMar>
                  <w:vAlign w:val="center"/>
                </w:tcPr>
                <w:p>
                  <w:pPr>
                    <w:pStyle w:val="31"/>
                    <w:rPr>
                      <w:color w:val="auto"/>
                    </w:rPr>
                  </w:pPr>
                  <w:r>
                    <w:rPr>
                      <w:rFonts w:hint="eastAsia"/>
                      <w:color w:val="auto"/>
                    </w:rPr>
                    <w:t>343.351</w:t>
                  </w:r>
                </w:p>
              </w:tc>
              <w:tc>
                <w:tcPr>
                  <w:tcW w:w="687" w:type="dxa"/>
                  <w:tcBorders>
                    <w:tl2br w:val="nil"/>
                    <w:tr2bl w:val="nil"/>
                  </w:tcBorders>
                  <w:noWrap/>
                  <w:tcMar>
                    <w:top w:w="15" w:type="dxa"/>
                    <w:left w:w="15" w:type="dxa"/>
                    <w:right w:w="15" w:type="dxa"/>
                  </w:tcMar>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0.816</w:t>
                  </w:r>
                </w:p>
              </w:tc>
              <w:tc>
                <w:tcPr>
                  <w:tcW w:w="738" w:type="dxa"/>
                  <w:tcBorders>
                    <w:tl2br w:val="nil"/>
                    <w:tr2bl w:val="nil"/>
                  </w:tcBorders>
                  <w:noWrap/>
                  <w:tcMar>
                    <w:top w:w="15" w:type="dxa"/>
                    <w:left w:w="15" w:type="dxa"/>
                    <w:right w:w="15" w:type="dxa"/>
                  </w:tcMar>
                  <w:vAlign w:val="center"/>
                </w:tcPr>
                <w:p>
                  <w:pPr>
                    <w:pStyle w:val="31"/>
                    <w:rPr>
                      <w:color w:val="auto"/>
                    </w:rPr>
                  </w:pPr>
                  <w:r>
                    <w:rPr>
                      <w:rFonts w:hint="eastAsia"/>
                      <w:color w:val="auto"/>
                    </w:rPr>
                    <w:t>0.137</w:t>
                  </w:r>
                </w:p>
              </w:tc>
              <w:tc>
                <w:tcPr>
                  <w:tcW w:w="1079" w:type="dxa"/>
                  <w:tcBorders>
                    <w:tl2br w:val="nil"/>
                    <w:tr2bl w:val="nil"/>
                  </w:tcBorders>
                  <w:noWrap/>
                  <w:tcMar>
                    <w:top w:w="15" w:type="dxa"/>
                    <w:left w:w="15" w:type="dxa"/>
                    <w:right w:w="15" w:type="dxa"/>
                  </w:tcMar>
                  <w:vAlign w:val="center"/>
                </w:tcPr>
                <w:p>
                  <w:pPr>
                    <w:pStyle w:val="31"/>
                    <w:rPr>
                      <w:color w:val="auto"/>
                    </w:rPr>
                  </w:pPr>
                  <w:r>
                    <w:rPr>
                      <w:rFonts w:hint="eastAsia"/>
                      <w:color w:val="auto"/>
                    </w:rPr>
                    <w:t>343.351</w:t>
                  </w:r>
                </w:p>
              </w:tc>
            </w:tr>
          </w:tbl>
          <w:p>
            <w:pPr>
              <w:widowControl/>
              <w:ind w:firstLine="480"/>
              <w:jc w:val="left"/>
              <w:rPr>
                <w:color w:val="auto"/>
              </w:rPr>
            </w:pPr>
            <w:r>
              <w:rPr>
                <w:rFonts w:hint="eastAsia"/>
                <w:color w:val="auto"/>
                <w:kern w:val="0"/>
                <w:lang w:bidi="ar"/>
              </w:rPr>
              <w:t>（2）</w:t>
            </w:r>
            <w:r>
              <w:rPr>
                <w:rFonts w:hint="eastAsia" w:ascii="宋体" w:hAnsi="宋体" w:cs="宋体"/>
                <w:color w:val="auto"/>
                <w:kern w:val="0"/>
                <w:lang w:bidi="ar"/>
              </w:rPr>
              <w:t>非正常工况源强</w:t>
            </w:r>
          </w:p>
          <w:p>
            <w:pPr>
              <w:widowControl/>
              <w:ind w:firstLine="480"/>
              <w:rPr>
                <w:color w:val="auto"/>
                <w:kern w:val="0"/>
                <w:lang w:bidi="ar"/>
              </w:rPr>
            </w:pPr>
            <w:r>
              <w:rPr>
                <w:color w:val="auto"/>
                <w:kern w:val="0"/>
                <w:lang w:bidi="ar"/>
              </w:rPr>
              <w:t>非正常排放是指生产设备在开、停车状态，检修状态或者部分设备未能完全运行的状态下污染物的排放情况。根据本项目废气产生及排放情况，本次评价考虑锅炉燃烧低氮燃烧器损坏的处理效率下降为0%；非正常排放时间为1h的状况。一旦发生非正常工况，立即停止相应生产设备，调派技术人员检查维修相应的污染治理设备，待检修完成后重新开机运行。项目非正常工况下大气污染物排放情况详见表</w:t>
            </w:r>
            <w:r>
              <w:rPr>
                <w:rFonts w:hint="eastAsia"/>
                <w:color w:val="auto"/>
                <w:kern w:val="0"/>
                <w:lang w:bidi="ar"/>
              </w:rPr>
              <w:t>4-7。</w:t>
            </w:r>
          </w:p>
          <w:p>
            <w:pPr>
              <w:pStyle w:val="10"/>
              <w:spacing w:after="0" w:line="240" w:lineRule="auto"/>
              <w:ind w:left="0" w:leftChars="0" w:firstLine="0" w:firstLineChars="0"/>
              <w:jc w:val="center"/>
              <w:rPr>
                <w:b/>
                <w:bCs/>
                <w:color w:val="auto"/>
                <w:sz w:val="21"/>
                <w:szCs w:val="16"/>
              </w:rPr>
            </w:pPr>
            <w:r>
              <w:rPr>
                <w:b/>
                <w:bCs/>
                <w:color w:val="auto"/>
                <w:sz w:val="21"/>
                <w:szCs w:val="16"/>
              </w:rPr>
              <w:t>表4-</w:t>
            </w:r>
            <w:r>
              <w:rPr>
                <w:rFonts w:hint="eastAsia"/>
                <w:b/>
                <w:bCs/>
                <w:color w:val="auto"/>
                <w:sz w:val="21"/>
                <w:szCs w:val="16"/>
              </w:rPr>
              <w:t>7  非正常工况下废气产生及排放情况汇总表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456"/>
              <w:gridCol w:w="835"/>
              <w:gridCol w:w="633"/>
              <w:gridCol w:w="1274"/>
              <w:gridCol w:w="1094"/>
              <w:gridCol w:w="993"/>
              <w:gridCol w:w="456"/>
              <w:gridCol w:w="869"/>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7" w:hRule="atLeast"/>
                <w:jc w:val="center"/>
              </w:trPr>
              <w:tc>
                <w:tcPr>
                  <w:tcW w:w="451"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非正常排放源</w:t>
                  </w:r>
                </w:p>
              </w:tc>
              <w:tc>
                <w:tcPr>
                  <w:tcW w:w="456"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非正常排放原因</w:t>
                  </w:r>
                </w:p>
              </w:tc>
              <w:tc>
                <w:tcPr>
                  <w:tcW w:w="835"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排气筒</w:t>
                  </w:r>
                </w:p>
              </w:tc>
              <w:tc>
                <w:tcPr>
                  <w:tcW w:w="633"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污染物指标</w:t>
                  </w:r>
                </w:p>
              </w:tc>
              <w:tc>
                <w:tcPr>
                  <w:tcW w:w="996"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排放浓度（</w:t>
                  </w:r>
                  <w:r>
                    <w:rPr>
                      <w:rFonts w:hint="eastAsia"/>
                      <w:color w:val="auto"/>
                    </w:rPr>
                    <w:t>mg/m</w:t>
                  </w:r>
                  <w:r>
                    <w:rPr>
                      <w:rFonts w:hint="eastAsia"/>
                      <w:color w:val="auto"/>
                      <w:vertAlign w:val="superscript"/>
                    </w:rPr>
                    <w:t>3</w:t>
                  </w:r>
                  <w:r>
                    <w:rPr>
                      <w:rFonts w:hint="eastAsia"/>
                      <w:color w:val="auto"/>
                      <w:sz w:val="21"/>
                      <w:szCs w:val="21"/>
                    </w:rPr>
                    <w:t>）</w:t>
                  </w:r>
                </w:p>
              </w:tc>
              <w:tc>
                <w:tcPr>
                  <w:tcW w:w="1094"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排放量（kg/次）</w:t>
                  </w:r>
                </w:p>
              </w:tc>
              <w:tc>
                <w:tcPr>
                  <w:tcW w:w="993"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单次持续时间（min）</w:t>
                  </w:r>
                </w:p>
              </w:tc>
              <w:tc>
                <w:tcPr>
                  <w:tcW w:w="456"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年最大发生频次</w:t>
                  </w:r>
                </w:p>
              </w:tc>
              <w:tc>
                <w:tcPr>
                  <w:tcW w:w="869"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排放标准限值</w:t>
                  </w:r>
                </w:p>
              </w:tc>
              <w:tc>
                <w:tcPr>
                  <w:tcW w:w="656"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7" w:hRule="atLeast"/>
                <w:jc w:val="center"/>
              </w:trPr>
              <w:tc>
                <w:tcPr>
                  <w:tcW w:w="451" w:type="dxa"/>
                  <w:vMerge w:val="continue"/>
                  <w:vAlign w:val="center"/>
                </w:tcPr>
                <w:p>
                  <w:pPr>
                    <w:pStyle w:val="10"/>
                    <w:spacing w:after="0" w:line="240" w:lineRule="auto"/>
                    <w:ind w:left="0" w:leftChars="0" w:firstLine="0" w:firstLineChars="0"/>
                    <w:jc w:val="center"/>
                    <w:rPr>
                      <w:color w:val="auto"/>
                    </w:rPr>
                  </w:pPr>
                </w:p>
              </w:tc>
              <w:tc>
                <w:tcPr>
                  <w:tcW w:w="456" w:type="dxa"/>
                  <w:vMerge w:val="continue"/>
                  <w:vAlign w:val="center"/>
                </w:tcPr>
                <w:p>
                  <w:pPr>
                    <w:pStyle w:val="10"/>
                    <w:spacing w:after="0" w:line="240" w:lineRule="auto"/>
                    <w:ind w:left="0" w:leftChars="0" w:firstLine="0" w:firstLineChars="0"/>
                    <w:jc w:val="center"/>
                    <w:rPr>
                      <w:color w:val="auto"/>
                    </w:rPr>
                  </w:pPr>
                </w:p>
              </w:tc>
              <w:tc>
                <w:tcPr>
                  <w:tcW w:w="835" w:type="dxa"/>
                  <w:vMerge w:val="continue"/>
                  <w:vAlign w:val="center"/>
                </w:tcPr>
                <w:p>
                  <w:pPr>
                    <w:pStyle w:val="10"/>
                    <w:spacing w:after="0" w:line="240" w:lineRule="auto"/>
                    <w:ind w:left="0" w:leftChars="0" w:firstLine="0" w:firstLineChars="0"/>
                    <w:jc w:val="center"/>
                    <w:rPr>
                      <w:color w:val="auto"/>
                    </w:rPr>
                  </w:pPr>
                </w:p>
              </w:tc>
              <w:tc>
                <w:tcPr>
                  <w:tcW w:w="633" w:type="dxa"/>
                  <w:vMerge w:val="continue"/>
                  <w:vAlign w:val="center"/>
                </w:tcPr>
                <w:p>
                  <w:pPr>
                    <w:pStyle w:val="10"/>
                    <w:spacing w:after="0" w:line="240" w:lineRule="auto"/>
                    <w:ind w:left="0" w:leftChars="0" w:firstLine="0" w:firstLineChars="0"/>
                    <w:jc w:val="center"/>
                    <w:rPr>
                      <w:color w:val="auto"/>
                    </w:rPr>
                  </w:pPr>
                </w:p>
              </w:tc>
              <w:tc>
                <w:tcPr>
                  <w:tcW w:w="996" w:type="dxa"/>
                  <w:vMerge w:val="continue"/>
                  <w:vAlign w:val="center"/>
                </w:tcPr>
                <w:p>
                  <w:pPr>
                    <w:pStyle w:val="10"/>
                    <w:spacing w:after="0" w:line="240" w:lineRule="auto"/>
                    <w:ind w:left="0" w:leftChars="0" w:firstLine="0" w:firstLineChars="0"/>
                    <w:jc w:val="center"/>
                    <w:rPr>
                      <w:color w:val="auto"/>
                    </w:rPr>
                  </w:pPr>
                </w:p>
              </w:tc>
              <w:tc>
                <w:tcPr>
                  <w:tcW w:w="1094" w:type="dxa"/>
                  <w:vMerge w:val="continue"/>
                  <w:vAlign w:val="center"/>
                </w:tcPr>
                <w:p>
                  <w:pPr>
                    <w:pStyle w:val="10"/>
                    <w:spacing w:after="0" w:line="240" w:lineRule="auto"/>
                    <w:ind w:left="0" w:leftChars="0" w:firstLine="0" w:firstLineChars="0"/>
                    <w:jc w:val="center"/>
                    <w:rPr>
                      <w:color w:val="auto"/>
                    </w:rPr>
                  </w:pPr>
                </w:p>
              </w:tc>
              <w:tc>
                <w:tcPr>
                  <w:tcW w:w="993" w:type="dxa"/>
                  <w:vMerge w:val="continue"/>
                  <w:vAlign w:val="center"/>
                </w:tcPr>
                <w:p>
                  <w:pPr>
                    <w:pStyle w:val="10"/>
                    <w:spacing w:after="0" w:line="240" w:lineRule="auto"/>
                    <w:ind w:left="0" w:leftChars="0" w:firstLine="0" w:firstLineChars="0"/>
                    <w:jc w:val="center"/>
                    <w:rPr>
                      <w:color w:val="auto"/>
                    </w:rPr>
                  </w:pPr>
                </w:p>
              </w:tc>
              <w:tc>
                <w:tcPr>
                  <w:tcW w:w="456" w:type="dxa"/>
                  <w:vMerge w:val="continue"/>
                  <w:vAlign w:val="center"/>
                </w:tcPr>
                <w:p>
                  <w:pPr>
                    <w:pStyle w:val="10"/>
                    <w:spacing w:after="0" w:line="240" w:lineRule="auto"/>
                    <w:ind w:left="0" w:leftChars="0" w:firstLine="0" w:firstLineChars="0"/>
                    <w:jc w:val="center"/>
                    <w:rPr>
                      <w:color w:val="auto"/>
                    </w:rPr>
                  </w:pPr>
                </w:p>
              </w:tc>
              <w:tc>
                <w:tcPr>
                  <w:tcW w:w="869" w:type="dxa"/>
                  <w:vAlign w:val="center"/>
                </w:tcPr>
                <w:p>
                  <w:pPr>
                    <w:pStyle w:val="10"/>
                    <w:spacing w:after="0" w:line="240" w:lineRule="auto"/>
                    <w:ind w:left="0" w:leftChars="0" w:firstLine="0" w:firstLineChars="0"/>
                    <w:jc w:val="center"/>
                    <w:rPr>
                      <w:color w:val="auto"/>
                      <w:sz w:val="21"/>
                      <w:szCs w:val="21"/>
                    </w:rPr>
                  </w:pPr>
                  <w:r>
                    <w:rPr>
                      <w:rFonts w:hint="eastAsia"/>
                      <w:color w:val="auto"/>
                    </w:rPr>
                    <w:t>mg/m</w:t>
                  </w:r>
                  <w:r>
                    <w:rPr>
                      <w:rFonts w:hint="eastAsia"/>
                      <w:color w:val="auto"/>
                      <w:vertAlign w:val="superscript"/>
                    </w:rPr>
                    <w:t>3</w:t>
                  </w:r>
                </w:p>
              </w:tc>
              <w:tc>
                <w:tcPr>
                  <w:tcW w:w="656" w:type="dxa"/>
                  <w:vMerge w:val="continue"/>
                  <w:vAlign w:val="center"/>
                </w:tcPr>
                <w:p>
                  <w:pPr>
                    <w:pStyle w:val="10"/>
                    <w:spacing w:after="0" w:line="240" w:lineRule="auto"/>
                    <w:ind w:left="0" w:leftChars="0"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沼气锅炉废气</w:t>
                  </w:r>
                </w:p>
              </w:tc>
              <w:tc>
                <w:tcPr>
                  <w:tcW w:w="456"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低氮燃烧器损坏</w:t>
                  </w:r>
                </w:p>
              </w:tc>
              <w:tc>
                <w:tcPr>
                  <w:tcW w:w="835"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DA001</w:t>
                  </w:r>
                </w:p>
              </w:tc>
              <w:tc>
                <w:tcPr>
                  <w:tcW w:w="633"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颗粒物</w:t>
                  </w:r>
                </w:p>
              </w:tc>
              <w:tc>
                <w:tcPr>
                  <w:tcW w:w="996" w:type="dxa"/>
                  <w:vAlign w:val="center"/>
                </w:tcPr>
                <w:p>
                  <w:pPr>
                    <w:pStyle w:val="31"/>
                    <w:rPr>
                      <w:color w:val="auto"/>
                    </w:rPr>
                  </w:pPr>
                  <w:r>
                    <w:rPr>
                      <w:rFonts w:hint="eastAsia"/>
                      <w:color w:val="auto"/>
                    </w:rPr>
                    <w:t>104.913</w:t>
                  </w:r>
                </w:p>
              </w:tc>
              <w:tc>
                <w:tcPr>
                  <w:tcW w:w="1094" w:type="dxa"/>
                  <w:vAlign w:val="center"/>
                </w:tcPr>
                <w:p>
                  <w:pPr>
                    <w:pStyle w:val="31"/>
                    <w:rPr>
                      <w:color w:val="auto"/>
                    </w:rPr>
                  </w:pPr>
                  <w:r>
                    <w:rPr>
                      <w:rFonts w:hint="eastAsia"/>
                      <w:color w:val="auto"/>
                    </w:rPr>
                    <w:t>0.042</w:t>
                  </w:r>
                </w:p>
              </w:tc>
              <w:tc>
                <w:tcPr>
                  <w:tcW w:w="993"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60</w:t>
                  </w:r>
                </w:p>
              </w:tc>
              <w:tc>
                <w:tcPr>
                  <w:tcW w:w="456" w:type="dxa"/>
                  <w:vAlign w:val="center"/>
                </w:tcPr>
                <w:p>
                  <w:pPr>
                    <w:pStyle w:val="10"/>
                    <w:spacing w:after="0" w:line="240" w:lineRule="auto"/>
                    <w:ind w:left="0" w:leftChars="0" w:firstLine="0" w:firstLineChars="0"/>
                    <w:rPr>
                      <w:color w:val="auto"/>
                      <w:sz w:val="21"/>
                      <w:szCs w:val="21"/>
                    </w:rPr>
                  </w:pPr>
                  <w:r>
                    <w:rPr>
                      <w:rFonts w:hint="eastAsia"/>
                      <w:color w:val="auto"/>
                      <w:sz w:val="21"/>
                      <w:szCs w:val="21"/>
                    </w:rPr>
                    <w:t>1次</w:t>
                  </w:r>
                </w:p>
              </w:tc>
              <w:tc>
                <w:tcPr>
                  <w:tcW w:w="869"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20</w:t>
                  </w:r>
                </w:p>
              </w:tc>
              <w:tc>
                <w:tcPr>
                  <w:tcW w:w="656"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立即停止相</w:t>
                  </w:r>
                </w:p>
                <w:p>
                  <w:pPr>
                    <w:pStyle w:val="10"/>
                    <w:spacing w:after="0" w:line="240" w:lineRule="auto"/>
                    <w:ind w:left="0" w:leftChars="0" w:firstLine="0" w:firstLineChars="0"/>
                    <w:jc w:val="center"/>
                    <w:rPr>
                      <w:color w:val="auto"/>
                      <w:sz w:val="21"/>
                      <w:szCs w:val="21"/>
                    </w:rPr>
                  </w:pPr>
                  <w:r>
                    <w:rPr>
                      <w:rFonts w:hint="eastAsia"/>
                      <w:color w:val="auto"/>
                      <w:sz w:val="21"/>
                      <w:szCs w:val="21"/>
                    </w:rPr>
                    <w:t>关产污环节</w:t>
                  </w:r>
                </w:p>
                <w:p>
                  <w:pPr>
                    <w:pStyle w:val="10"/>
                    <w:spacing w:after="0" w:line="240" w:lineRule="auto"/>
                    <w:ind w:left="0" w:leftChars="0" w:firstLine="0" w:firstLineChars="0"/>
                    <w:jc w:val="center"/>
                    <w:rPr>
                      <w:color w:val="auto"/>
                      <w:sz w:val="21"/>
                      <w:szCs w:val="21"/>
                    </w:rPr>
                  </w:pPr>
                  <w:r>
                    <w:rPr>
                      <w:rFonts w:hint="eastAsia"/>
                      <w:color w:val="auto"/>
                      <w:sz w:val="21"/>
                      <w:szCs w:val="21"/>
                    </w:rPr>
                    <w:t>生产，维修废</w:t>
                  </w:r>
                </w:p>
                <w:p>
                  <w:pPr>
                    <w:pStyle w:val="10"/>
                    <w:spacing w:after="0" w:line="240" w:lineRule="auto"/>
                    <w:ind w:left="0" w:leftChars="0" w:firstLine="0" w:firstLineChars="0"/>
                    <w:jc w:val="center"/>
                    <w:rPr>
                      <w:color w:val="auto"/>
                      <w:sz w:val="21"/>
                      <w:szCs w:val="21"/>
                    </w:rPr>
                  </w:pPr>
                  <w:r>
                    <w:rPr>
                      <w:rFonts w:hint="eastAsia"/>
                      <w:color w:val="auto"/>
                      <w:sz w:val="21"/>
                      <w:szCs w:val="21"/>
                    </w:rPr>
                    <w:t>气处理设施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dxa"/>
                  <w:vMerge w:val="continue"/>
                  <w:vAlign w:val="center"/>
                </w:tcPr>
                <w:p>
                  <w:pPr>
                    <w:pStyle w:val="10"/>
                    <w:spacing w:after="0" w:line="240" w:lineRule="auto"/>
                    <w:ind w:left="0" w:leftChars="0" w:firstLine="0" w:firstLineChars="0"/>
                    <w:jc w:val="center"/>
                    <w:rPr>
                      <w:color w:val="auto"/>
                      <w:sz w:val="21"/>
                      <w:szCs w:val="21"/>
                    </w:rPr>
                  </w:pPr>
                </w:p>
              </w:tc>
              <w:tc>
                <w:tcPr>
                  <w:tcW w:w="456" w:type="dxa"/>
                  <w:vMerge w:val="continue"/>
                  <w:vAlign w:val="center"/>
                </w:tcPr>
                <w:p>
                  <w:pPr>
                    <w:pStyle w:val="10"/>
                    <w:spacing w:after="0" w:line="240" w:lineRule="auto"/>
                    <w:ind w:left="0" w:leftChars="0" w:firstLine="0" w:firstLineChars="0"/>
                    <w:jc w:val="center"/>
                    <w:rPr>
                      <w:color w:val="auto"/>
                      <w:sz w:val="21"/>
                      <w:szCs w:val="21"/>
                    </w:rPr>
                  </w:pPr>
                </w:p>
              </w:tc>
              <w:tc>
                <w:tcPr>
                  <w:tcW w:w="835" w:type="dxa"/>
                  <w:vMerge w:val="continue"/>
                  <w:vAlign w:val="center"/>
                </w:tcPr>
                <w:p>
                  <w:pPr>
                    <w:pStyle w:val="10"/>
                    <w:spacing w:after="0" w:line="240" w:lineRule="auto"/>
                    <w:ind w:left="0" w:leftChars="0" w:firstLine="0" w:firstLineChars="0"/>
                    <w:jc w:val="center"/>
                    <w:rPr>
                      <w:color w:val="auto"/>
                      <w:sz w:val="21"/>
                      <w:szCs w:val="21"/>
                    </w:rPr>
                  </w:pPr>
                </w:p>
              </w:tc>
              <w:tc>
                <w:tcPr>
                  <w:tcW w:w="633"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SO</w:t>
                  </w:r>
                  <w:r>
                    <w:rPr>
                      <w:rFonts w:hint="eastAsia"/>
                      <w:color w:val="auto"/>
                      <w:sz w:val="21"/>
                      <w:szCs w:val="21"/>
                      <w:vertAlign w:val="subscript"/>
                    </w:rPr>
                    <w:t>2</w:t>
                  </w:r>
                </w:p>
              </w:tc>
              <w:tc>
                <w:tcPr>
                  <w:tcW w:w="996" w:type="dxa"/>
                  <w:vAlign w:val="center"/>
                </w:tcPr>
                <w:p>
                  <w:pPr>
                    <w:pStyle w:val="31"/>
                    <w:rPr>
                      <w:color w:val="auto"/>
                    </w:rPr>
                  </w:pPr>
                  <w:r>
                    <w:rPr>
                      <w:rFonts w:hint="eastAsia"/>
                      <w:color w:val="auto"/>
                    </w:rPr>
                    <w:t>73.366</w:t>
                  </w:r>
                </w:p>
              </w:tc>
              <w:tc>
                <w:tcPr>
                  <w:tcW w:w="1094" w:type="dxa"/>
                  <w:vAlign w:val="center"/>
                </w:tcPr>
                <w:p>
                  <w:pPr>
                    <w:pStyle w:val="31"/>
                    <w:rPr>
                      <w:color w:val="auto"/>
                    </w:rPr>
                  </w:pPr>
                  <w:r>
                    <w:rPr>
                      <w:rFonts w:hint="eastAsia"/>
                      <w:color w:val="auto"/>
                    </w:rPr>
                    <w:t>0.030</w:t>
                  </w:r>
                </w:p>
              </w:tc>
              <w:tc>
                <w:tcPr>
                  <w:tcW w:w="993"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60</w:t>
                  </w:r>
                </w:p>
              </w:tc>
              <w:tc>
                <w:tcPr>
                  <w:tcW w:w="456" w:type="dxa"/>
                  <w:vAlign w:val="center"/>
                </w:tcPr>
                <w:p>
                  <w:pPr>
                    <w:spacing w:line="240" w:lineRule="auto"/>
                    <w:ind w:firstLine="0" w:firstLineChars="0"/>
                    <w:rPr>
                      <w:color w:val="auto"/>
                      <w:sz w:val="21"/>
                      <w:szCs w:val="21"/>
                    </w:rPr>
                  </w:pPr>
                  <w:r>
                    <w:rPr>
                      <w:rFonts w:hint="eastAsia"/>
                      <w:color w:val="auto"/>
                      <w:sz w:val="21"/>
                      <w:szCs w:val="21"/>
                    </w:rPr>
                    <w:t>1次</w:t>
                  </w:r>
                </w:p>
              </w:tc>
              <w:tc>
                <w:tcPr>
                  <w:tcW w:w="869"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50</w:t>
                  </w:r>
                </w:p>
              </w:tc>
              <w:tc>
                <w:tcPr>
                  <w:tcW w:w="656" w:type="dxa"/>
                  <w:vMerge w:val="continue"/>
                  <w:vAlign w:val="center"/>
                </w:tcPr>
                <w:p>
                  <w:pPr>
                    <w:pStyle w:val="10"/>
                    <w:spacing w:after="0" w:line="240" w:lineRule="auto"/>
                    <w:ind w:left="0" w:leftChars="0" w:firstLine="0" w:firstLineChars="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1" w:type="dxa"/>
                  <w:vMerge w:val="continue"/>
                  <w:vAlign w:val="center"/>
                </w:tcPr>
                <w:p>
                  <w:pPr>
                    <w:pStyle w:val="10"/>
                    <w:spacing w:after="0" w:line="240" w:lineRule="auto"/>
                    <w:ind w:left="0" w:leftChars="0" w:firstLine="0" w:firstLineChars="0"/>
                    <w:jc w:val="center"/>
                    <w:rPr>
                      <w:color w:val="auto"/>
                      <w:sz w:val="21"/>
                      <w:szCs w:val="21"/>
                    </w:rPr>
                  </w:pPr>
                </w:p>
              </w:tc>
              <w:tc>
                <w:tcPr>
                  <w:tcW w:w="456" w:type="dxa"/>
                  <w:vMerge w:val="continue"/>
                  <w:vAlign w:val="center"/>
                </w:tcPr>
                <w:p>
                  <w:pPr>
                    <w:pStyle w:val="10"/>
                    <w:spacing w:after="0" w:line="240" w:lineRule="auto"/>
                    <w:ind w:left="0" w:leftChars="0" w:firstLine="0" w:firstLineChars="0"/>
                    <w:jc w:val="center"/>
                    <w:rPr>
                      <w:color w:val="auto"/>
                      <w:sz w:val="21"/>
                      <w:szCs w:val="21"/>
                    </w:rPr>
                  </w:pPr>
                </w:p>
              </w:tc>
              <w:tc>
                <w:tcPr>
                  <w:tcW w:w="835" w:type="dxa"/>
                  <w:vMerge w:val="continue"/>
                  <w:vAlign w:val="center"/>
                </w:tcPr>
                <w:p>
                  <w:pPr>
                    <w:pStyle w:val="10"/>
                    <w:spacing w:after="0" w:line="240" w:lineRule="auto"/>
                    <w:ind w:left="0" w:leftChars="0" w:firstLine="0" w:firstLineChars="0"/>
                    <w:jc w:val="center"/>
                    <w:rPr>
                      <w:color w:val="auto"/>
                      <w:sz w:val="21"/>
                      <w:szCs w:val="21"/>
                    </w:rPr>
                  </w:pPr>
                </w:p>
              </w:tc>
              <w:tc>
                <w:tcPr>
                  <w:tcW w:w="633"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NO</w:t>
                  </w:r>
                  <w:r>
                    <w:rPr>
                      <w:rFonts w:hint="eastAsia"/>
                      <w:color w:val="auto"/>
                      <w:sz w:val="21"/>
                      <w:szCs w:val="21"/>
                      <w:vertAlign w:val="subscript"/>
                    </w:rPr>
                    <w:t>X</w:t>
                  </w:r>
                </w:p>
              </w:tc>
              <w:tc>
                <w:tcPr>
                  <w:tcW w:w="996" w:type="dxa"/>
                  <w:vAlign w:val="center"/>
                </w:tcPr>
                <w:p>
                  <w:pPr>
                    <w:pStyle w:val="31"/>
                    <w:rPr>
                      <w:color w:val="auto"/>
                    </w:rPr>
                  </w:pPr>
                  <w:r>
                    <w:rPr>
                      <w:rFonts w:hint="eastAsia"/>
                      <w:color w:val="auto"/>
                    </w:rPr>
                    <w:t>343.351</w:t>
                  </w:r>
                </w:p>
              </w:tc>
              <w:tc>
                <w:tcPr>
                  <w:tcW w:w="1094" w:type="dxa"/>
                  <w:vAlign w:val="center"/>
                </w:tcPr>
                <w:p>
                  <w:pPr>
                    <w:pStyle w:val="31"/>
                    <w:rPr>
                      <w:color w:val="auto"/>
                    </w:rPr>
                  </w:pPr>
                  <w:r>
                    <w:rPr>
                      <w:rFonts w:hint="eastAsia"/>
                      <w:color w:val="auto"/>
                    </w:rPr>
                    <w:t>0.137</w:t>
                  </w:r>
                </w:p>
              </w:tc>
              <w:tc>
                <w:tcPr>
                  <w:tcW w:w="993"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60</w:t>
                  </w:r>
                </w:p>
              </w:tc>
              <w:tc>
                <w:tcPr>
                  <w:tcW w:w="456" w:type="dxa"/>
                  <w:vAlign w:val="center"/>
                </w:tcPr>
                <w:p>
                  <w:pPr>
                    <w:spacing w:line="240" w:lineRule="auto"/>
                    <w:ind w:firstLine="0" w:firstLineChars="0"/>
                    <w:rPr>
                      <w:color w:val="auto"/>
                      <w:sz w:val="21"/>
                      <w:szCs w:val="21"/>
                    </w:rPr>
                  </w:pPr>
                  <w:r>
                    <w:rPr>
                      <w:rFonts w:hint="eastAsia"/>
                      <w:color w:val="auto"/>
                      <w:sz w:val="21"/>
                      <w:szCs w:val="21"/>
                    </w:rPr>
                    <w:t>1次</w:t>
                  </w:r>
                </w:p>
              </w:tc>
              <w:tc>
                <w:tcPr>
                  <w:tcW w:w="869"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200</w:t>
                  </w:r>
                </w:p>
              </w:tc>
              <w:tc>
                <w:tcPr>
                  <w:tcW w:w="656" w:type="dxa"/>
                  <w:vMerge w:val="continue"/>
                  <w:vAlign w:val="center"/>
                </w:tcPr>
                <w:p>
                  <w:pPr>
                    <w:pStyle w:val="10"/>
                    <w:spacing w:after="0" w:line="240" w:lineRule="auto"/>
                    <w:ind w:left="0" w:leftChars="0" w:firstLine="0" w:firstLineChars="0"/>
                    <w:jc w:val="center"/>
                    <w:rPr>
                      <w:color w:val="auto"/>
                      <w:sz w:val="21"/>
                      <w:szCs w:val="21"/>
                    </w:rPr>
                  </w:pPr>
                </w:p>
              </w:tc>
            </w:tr>
          </w:tbl>
          <w:p>
            <w:pPr>
              <w:widowControl/>
              <w:ind w:firstLine="482"/>
              <w:jc w:val="left"/>
              <w:rPr>
                <w:color w:val="auto"/>
              </w:rPr>
            </w:pPr>
            <w:r>
              <w:rPr>
                <w:rFonts w:hint="eastAsia" w:ascii="宋体" w:hAnsi="宋体" w:cs="宋体"/>
                <w:b/>
                <w:bCs/>
                <w:color w:val="auto"/>
                <w:kern w:val="0"/>
                <w:lang w:bidi="ar"/>
              </w:rPr>
              <w:t>非正常工况下应对措施：</w:t>
            </w:r>
          </w:p>
          <w:p>
            <w:pPr>
              <w:widowControl/>
              <w:ind w:firstLine="482"/>
              <w:jc w:val="left"/>
              <w:rPr>
                <w:b/>
                <w:bCs/>
                <w:color w:val="auto"/>
              </w:rPr>
            </w:pPr>
            <w:r>
              <w:rPr>
                <w:rFonts w:hint="eastAsia" w:ascii="宋体" w:hAnsi="宋体" w:cs="宋体"/>
                <w:b/>
                <w:bCs/>
                <w:color w:val="auto"/>
                <w:kern w:val="0"/>
                <w:lang w:bidi="ar"/>
              </w:rPr>
              <w:t>①工况：</w:t>
            </w:r>
            <w:r>
              <w:rPr>
                <w:b/>
                <w:bCs/>
                <w:color w:val="auto"/>
                <w:kern w:val="0"/>
                <w:lang w:bidi="ar"/>
              </w:rPr>
              <w:t>NOx</w:t>
            </w:r>
            <w:r>
              <w:rPr>
                <w:rFonts w:hint="eastAsia" w:ascii="宋体" w:hAnsi="宋体" w:cs="宋体"/>
                <w:b/>
                <w:bCs/>
                <w:color w:val="auto"/>
                <w:kern w:val="0"/>
                <w:lang w:bidi="ar"/>
              </w:rPr>
              <w:t>（氮氧化物）排放超标</w:t>
            </w:r>
          </w:p>
          <w:p>
            <w:pPr>
              <w:widowControl/>
              <w:ind w:firstLine="480"/>
              <w:jc w:val="left"/>
              <w:rPr>
                <w:rFonts w:hint="eastAsia" w:ascii="宋体" w:hAnsi="宋体" w:cs="宋体"/>
                <w:color w:val="auto"/>
                <w:kern w:val="0"/>
                <w:lang w:bidi="ar"/>
              </w:rPr>
            </w:pPr>
            <w:r>
              <w:rPr>
                <w:color w:val="auto"/>
                <w:kern w:val="0"/>
                <w:lang w:bidi="ar"/>
              </w:rPr>
              <w:t>I</w:t>
            </w:r>
            <w:r>
              <w:rPr>
                <w:rFonts w:hint="eastAsia"/>
                <w:color w:val="auto"/>
                <w:kern w:val="0"/>
                <w:lang w:bidi="ar"/>
              </w:rPr>
              <w:t>.</w:t>
            </w:r>
            <w:r>
              <w:rPr>
                <w:rFonts w:hint="eastAsia" w:ascii="宋体" w:hAnsi="宋体" w:cs="宋体"/>
                <w:color w:val="auto"/>
                <w:kern w:val="0"/>
                <w:lang w:bidi="ar"/>
              </w:rPr>
              <w:t>根本原因：低氮燃烧器故障，如配风不当、燃气压力不稳、喷嘴堵塞，导致燃烧温度局部过高，生成大量热力型</w:t>
            </w:r>
            <w:r>
              <w:rPr>
                <w:color w:val="auto"/>
                <w:kern w:val="0"/>
                <w:lang w:bidi="ar"/>
              </w:rPr>
              <w:t>NOx</w:t>
            </w:r>
            <w:r>
              <w:rPr>
                <w:rFonts w:hint="eastAsia" w:ascii="宋体" w:hAnsi="宋体" w:cs="宋体"/>
                <w:color w:val="auto"/>
                <w:kern w:val="0"/>
                <w:lang w:bidi="ar"/>
              </w:rPr>
              <w:t>。</w:t>
            </w:r>
          </w:p>
          <w:p>
            <w:pPr>
              <w:widowControl/>
              <w:ind w:firstLine="480"/>
              <w:jc w:val="left"/>
              <w:rPr>
                <w:rFonts w:hint="eastAsia" w:ascii="宋体" w:hAnsi="宋体" w:cs="宋体"/>
                <w:color w:val="auto"/>
                <w:kern w:val="0"/>
                <w:lang w:bidi="ar"/>
              </w:rPr>
            </w:pPr>
            <w:r>
              <w:rPr>
                <w:color w:val="auto"/>
                <w:kern w:val="0"/>
                <w:lang w:bidi="ar"/>
              </w:rPr>
              <w:t>I</w:t>
            </w:r>
            <w:r>
              <w:rPr>
                <w:rFonts w:hint="eastAsia"/>
                <w:color w:val="auto"/>
                <w:kern w:val="0"/>
                <w:lang w:bidi="ar"/>
              </w:rPr>
              <w:t>I.</w:t>
            </w:r>
            <w:r>
              <w:rPr>
                <w:rFonts w:hint="eastAsia" w:ascii="宋体" w:hAnsi="宋体" w:cs="宋体"/>
                <w:color w:val="auto"/>
                <w:kern w:val="0"/>
                <w:lang w:bidi="ar"/>
              </w:rPr>
              <w:t>应对措施：</w:t>
            </w:r>
          </w:p>
          <w:p>
            <w:pPr>
              <w:widowControl/>
              <w:ind w:firstLine="480"/>
              <w:jc w:val="left"/>
              <w:rPr>
                <w:rFonts w:hint="eastAsia" w:ascii="宋体" w:hAnsi="宋体" w:cs="宋体"/>
                <w:color w:val="auto"/>
                <w:kern w:val="0"/>
                <w:lang w:bidi="ar"/>
              </w:rPr>
            </w:pPr>
            <w:r>
              <w:rPr>
                <w:rFonts w:hint="eastAsia" w:ascii="宋体" w:hAnsi="宋体" w:cs="宋体"/>
                <w:color w:val="auto"/>
                <w:kern w:val="0"/>
                <w:lang w:bidi="ar"/>
              </w:rPr>
              <w:t>首先优化燃烧：检查空燃比，调整风门开度，确保燃料与空气混合均匀，避免局部高温。若因燃烧问题短时无法解决，应降低负荷运行（低负荷下</w:t>
            </w:r>
            <w:r>
              <w:rPr>
                <w:color w:val="auto"/>
                <w:kern w:val="0"/>
                <w:lang w:bidi="ar"/>
              </w:rPr>
              <w:t>NOx</w:t>
            </w:r>
            <w:r>
              <w:rPr>
                <w:rFonts w:hint="eastAsia" w:ascii="宋体" w:hAnsi="宋体" w:cs="宋体"/>
                <w:color w:val="auto"/>
                <w:kern w:val="0"/>
                <w:lang w:bidi="ar"/>
              </w:rPr>
              <w:t>生成量通常更低），并尽快检修。</w:t>
            </w:r>
          </w:p>
          <w:p>
            <w:pPr>
              <w:widowControl/>
              <w:ind w:firstLine="480"/>
              <w:jc w:val="left"/>
              <w:rPr>
                <w:color w:val="auto"/>
              </w:rPr>
            </w:pPr>
            <w:r>
              <w:rPr>
                <w:color w:val="auto"/>
                <w:kern w:val="0"/>
                <w:lang w:bidi="ar"/>
              </w:rPr>
              <w:t>III.</w:t>
            </w:r>
            <w:r>
              <w:rPr>
                <w:rFonts w:hint="eastAsia" w:ascii="宋体" w:hAnsi="宋体" w:cs="宋体"/>
                <w:color w:val="auto"/>
                <w:kern w:val="0"/>
                <w:lang w:bidi="ar"/>
              </w:rPr>
              <w:t>预防措施：</w:t>
            </w:r>
          </w:p>
          <w:p>
            <w:pPr>
              <w:widowControl/>
              <w:ind w:firstLine="480"/>
              <w:jc w:val="left"/>
              <w:rPr>
                <w:color w:val="auto"/>
              </w:rPr>
            </w:pPr>
            <w:r>
              <w:rPr>
                <w:rFonts w:hint="eastAsia" w:ascii="宋体" w:hAnsi="宋体" w:cs="宋体"/>
                <w:color w:val="auto"/>
                <w:kern w:val="0"/>
                <w:lang w:bidi="ar"/>
              </w:rPr>
              <w:t>定期对燃烧器进行调试和清洗，维持最佳燃烧工况。</w:t>
            </w:r>
          </w:p>
          <w:p>
            <w:pPr>
              <w:widowControl/>
              <w:ind w:firstLine="482"/>
              <w:jc w:val="left"/>
              <w:rPr>
                <w:b/>
                <w:bCs/>
                <w:color w:val="auto"/>
              </w:rPr>
            </w:pPr>
            <w:r>
              <w:rPr>
                <w:rFonts w:hint="eastAsia" w:ascii="宋体" w:hAnsi="宋体" w:cs="宋体"/>
                <w:b/>
                <w:bCs/>
                <w:color w:val="auto"/>
                <w:kern w:val="0"/>
                <w:lang w:bidi="ar"/>
              </w:rPr>
              <w:t>②工况：引风机故障</w:t>
            </w:r>
          </w:p>
          <w:p>
            <w:pPr>
              <w:widowControl/>
              <w:ind w:firstLine="480"/>
              <w:jc w:val="left"/>
              <w:rPr>
                <w:color w:val="auto"/>
              </w:rPr>
            </w:pPr>
            <w:r>
              <w:rPr>
                <w:color w:val="auto"/>
                <w:kern w:val="0"/>
                <w:lang w:bidi="ar"/>
              </w:rPr>
              <w:t>I</w:t>
            </w:r>
            <w:r>
              <w:rPr>
                <w:rFonts w:hint="eastAsia"/>
                <w:color w:val="auto"/>
                <w:kern w:val="0"/>
                <w:lang w:bidi="ar"/>
              </w:rPr>
              <w:t>.</w:t>
            </w:r>
            <w:r>
              <w:rPr>
                <w:rFonts w:hint="eastAsia" w:ascii="宋体" w:hAnsi="宋体" w:cs="宋体"/>
                <w:color w:val="auto"/>
                <w:kern w:val="0"/>
                <w:lang w:bidi="ar"/>
              </w:rPr>
              <w:t>现象：</w:t>
            </w:r>
          </w:p>
          <w:p>
            <w:pPr>
              <w:widowControl/>
              <w:ind w:firstLine="480"/>
              <w:jc w:val="left"/>
              <w:rPr>
                <w:color w:val="auto"/>
              </w:rPr>
            </w:pPr>
            <w:r>
              <w:rPr>
                <w:color w:val="auto"/>
                <w:kern w:val="0"/>
                <w:lang w:bidi="ar"/>
              </w:rPr>
              <w:t>a.</w:t>
            </w:r>
            <w:r>
              <w:rPr>
                <w:rFonts w:hint="eastAsia" w:ascii="宋体" w:hAnsi="宋体" w:cs="宋体"/>
                <w:color w:val="auto"/>
                <w:kern w:val="0"/>
                <w:lang w:bidi="ar"/>
              </w:rPr>
              <w:t>炉膛压力急剧升高（正压），火焰可能从观察孔喷出。</w:t>
            </w:r>
          </w:p>
          <w:p>
            <w:pPr>
              <w:widowControl/>
              <w:ind w:firstLine="480"/>
              <w:jc w:val="left"/>
              <w:rPr>
                <w:color w:val="auto"/>
              </w:rPr>
            </w:pPr>
            <w:r>
              <w:rPr>
                <w:color w:val="auto"/>
                <w:kern w:val="0"/>
                <w:lang w:bidi="ar"/>
              </w:rPr>
              <w:t>b.</w:t>
            </w:r>
            <w:r>
              <w:rPr>
                <w:rFonts w:hint="eastAsia" w:ascii="宋体" w:hAnsi="宋体" w:cs="宋体"/>
                <w:color w:val="auto"/>
                <w:kern w:val="0"/>
                <w:lang w:bidi="ar"/>
              </w:rPr>
              <w:t>风机故障报警、异响、振动过大。</w:t>
            </w:r>
          </w:p>
          <w:p>
            <w:pPr>
              <w:widowControl/>
              <w:ind w:firstLine="480"/>
              <w:jc w:val="left"/>
              <w:rPr>
                <w:color w:val="auto"/>
              </w:rPr>
            </w:pPr>
            <w:r>
              <w:rPr>
                <w:color w:val="auto"/>
                <w:kern w:val="0"/>
                <w:lang w:bidi="ar"/>
              </w:rPr>
              <w:t>c.</w:t>
            </w:r>
            <w:r>
              <w:rPr>
                <w:rFonts w:hint="eastAsia" w:ascii="宋体" w:hAnsi="宋体" w:cs="宋体"/>
                <w:color w:val="auto"/>
                <w:kern w:val="0"/>
                <w:lang w:bidi="ar"/>
              </w:rPr>
              <w:t>锅炉自动熄火保护（通常设有炉膛压力高报警联锁）。</w:t>
            </w:r>
          </w:p>
          <w:p>
            <w:pPr>
              <w:widowControl/>
              <w:ind w:firstLine="480"/>
              <w:jc w:val="left"/>
              <w:rPr>
                <w:color w:val="auto"/>
              </w:rPr>
            </w:pPr>
            <w:r>
              <w:rPr>
                <w:color w:val="auto"/>
                <w:kern w:val="0"/>
                <w:lang w:bidi="ar"/>
              </w:rPr>
              <w:t>I</w:t>
            </w:r>
            <w:r>
              <w:rPr>
                <w:rFonts w:hint="eastAsia"/>
                <w:color w:val="auto"/>
                <w:kern w:val="0"/>
                <w:lang w:bidi="ar"/>
              </w:rPr>
              <w:t>I.</w:t>
            </w:r>
            <w:r>
              <w:rPr>
                <w:rFonts w:hint="eastAsia" w:ascii="宋体" w:hAnsi="宋体" w:cs="宋体"/>
                <w:color w:val="auto"/>
                <w:kern w:val="0"/>
                <w:lang w:bidi="ar"/>
              </w:rPr>
              <w:t>应对措施：</w:t>
            </w:r>
          </w:p>
          <w:p>
            <w:pPr>
              <w:widowControl/>
              <w:ind w:firstLine="480"/>
              <w:rPr>
                <w:rFonts w:hint="eastAsia" w:ascii="宋体" w:hAnsi="宋体" w:cs="宋体"/>
                <w:color w:val="auto"/>
                <w:kern w:val="0"/>
                <w:lang w:bidi="ar"/>
              </w:rPr>
            </w:pPr>
            <w:r>
              <w:rPr>
                <w:color w:val="auto"/>
                <w:kern w:val="0"/>
                <w:lang w:bidi="ar"/>
              </w:rPr>
              <w:t>a.</w:t>
            </w:r>
            <w:r>
              <w:rPr>
                <w:rFonts w:hint="eastAsia" w:ascii="宋体" w:hAnsi="宋体" w:cs="宋体"/>
                <w:color w:val="auto"/>
                <w:kern w:val="0"/>
                <w:lang w:bidi="ar"/>
              </w:rPr>
              <w:t>锅炉必会联锁保护停炉。</w:t>
            </w:r>
          </w:p>
          <w:p>
            <w:pPr>
              <w:widowControl/>
              <w:ind w:firstLine="480"/>
              <w:rPr>
                <w:color w:val="auto"/>
              </w:rPr>
            </w:pPr>
            <w:r>
              <w:rPr>
                <w:color w:val="auto"/>
                <w:kern w:val="0"/>
                <w:lang w:bidi="ar"/>
              </w:rPr>
              <w:t>b.</w:t>
            </w:r>
            <w:r>
              <w:rPr>
                <w:rFonts w:hint="eastAsia" w:ascii="宋体" w:hAnsi="宋体" w:cs="宋体"/>
                <w:color w:val="auto"/>
                <w:kern w:val="0"/>
                <w:lang w:bidi="ar"/>
              </w:rPr>
              <w:t>紧急启动备用引风机。</w:t>
            </w:r>
          </w:p>
          <w:p>
            <w:pPr>
              <w:widowControl/>
              <w:ind w:firstLine="480"/>
              <w:rPr>
                <w:color w:val="auto"/>
              </w:rPr>
            </w:pPr>
            <w:r>
              <w:rPr>
                <w:color w:val="auto"/>
                <w:kern w:val="0"/>
                <w:lang w:bidi="ar"/>
              </w:rPr>
              <w:t>c.</w:t>
            </w:r>
            <w:r>
              <w:rPr>
                <w:rFonts w:hint="eastAsia" w:ascii="宋体" w:hAnsi="宋体" w:cs="宋体"/>
                <w:color w:val="auto"/>
                <w:kern w:val="0"/>
                <w:lang w:bidi="ar"/>
              </w:rPr>
              <w:t>若无备用，按正常停炉程序处理。</w:t>
            </w:r>
          </w:p>
          <w:p>
            <w:pPr>
              <w:widowControl/>
              <w:ind w:firstLine="0" w:firstLineChars="0"/>
              <w:jc w:val="left"/>
              <w:rPr>
                <w:color w:val="auto"/>
              </w:rPr>
            </w:pPr>
            <w:r>
              <w:rPr>
                <w:rFonts w:hint="eastAsia" w:ascii="宋体" w:hAnsi="宋体" w:cs="宋体"/>
                <w:color w:val="auto"/>
                <w:kern w:val="0"/>
                <w:lang w:bidi="ar"/>
              </w:rPr>
              <w:t>检查风机故障原因：轴承损坏、皮带断裂、电机过载、叶轮积垢等。</w:t>
            </w:r>
          </w:p>
          <w:p>
            <w:pPr>
              <w:widowControl/>
              <w:ind w:firstLine="480"/>
              <w:jc w:val="left"/>
              <w:rPr>
                <w:color w:val="auto"/>
              </w:rPr>
            </w:pPr>
            <w:r>
              <w:rPr>
                <w:color w:val="auto"/>
                <w:kern w:val="0"/>
                <w:lang w:bidi="ar"/>
              </w:rPr>
              <w:t>III.</w:t>
            </w:r>
            <w:r>
              <w:rPr>
                <w:rFonts w:hint="eastAsia" w:ascii="宋体" w:hAnsi="宋体" w:cs="宋体"/>
                <w:color w:val="auto"/>
                <w:kern w:val="0"/>
                <w:lang w:bidi="ar"/>
              </w:rPr>
              <w:t>预防措施：</w:t>
            </w:r>
          </w:p>
          <w:p>
            <w:pPr>
              <w:widowControl/>
              <w:ind w:firstLine="480"/>
              <w:jc w:val="left"/>
              <w:rPr>
                <w:color w:val="auto"/>
              </w:rPr>
            </w:pPr>
            <w:r>
              <w:rPr>
                <w:color w:val="auto"/>
                <w:kern w:val="0"/>
                <w:lang w:bidi="ar"/>
              </w:rPr>
              <w:t>a.</w:t>
            </w:r>
            <w:r>
              <w:rPr>
                <w:rFonts w:hint="eastAsia" w:ascii="宋体" w:hAnsi="宋体" w:cs="宋体"/>
                <w:color w:val="auto"/>
                <w:kern w:val="0"/>
                <w:lang w:bidi="ar"/>
              </w:rPr>
              <w:t>定期对引风机进行振动检测、润滑保养。</w:t>
            </w:r>
          </w:p>
          <w:p>
            <w:pPr>
              <w:widowControl/>
              <w:ind w:firstLine="480"/>
              <w:jc w:val="left"/>
              <w:rPr>
                <w:color w:val="auto"/>
              </w:rPr>
            </w:pPr>
            <w:r>
              <w:rPr>
                <w:color w:val="auto"/>
                <w:kern w:val="0"/>
                <w:lang w:bidi="ar"/>
              </w:rPr>
              <w:t>b.</w:t>
            </w:r>
            <w:r>
              <w:rPr>
                <w:rFonts w:hint="eastAsia" w:ascii="宋体" w:hAnsi="宋体" w:cs="宋体"/>
                <w:color w:val="auto"/>
                <w:kern w:val="0"/>
                <w:lang w:bidi="ar"/>
              </w:rPr>
              <w:t>保持风机进口滤网清洁。</w:t>
            </w:r>
          </w:p>
          <w:p>
            <w:pPr>
              <w:widowControl/>
              <w:ind w:firstLine="480"/>
              <w:jc w:val="left"/>
              <w:rPr>
                <w:color w:val="auto"/>
              </w:rPr>
            </w:pPr>
            <w:r>
              <w:rPr>
                <w:rFonts w:hint="eastAsia"/>
                <w:color w:val="auto"/>
                <w:kern w:val="0"/>
                <w:lang w:bidi="ar"/>
              </w:rPr>
              <w:t>（3）</w:t>
            </w:r>
            <w:r>
              <w:rPr>
                <w:rFonts w:hint="eastAsia" w:ascii="宋体" w:hAnsi="宋体" w:cs="宋体"/>
                <w:color w:val="auto"/>
                <w:kern w:val="0"/>
                <w:lang w:bidi="ar"/>
              </w:rPr>
              <w:t>污染治理措施可行性分析</w:t>
            </w:r>
          </w:p>
          <w:p>
            <w:pPr>
              <w:widowControl/>
              <w:ind w:firstLine="480"/>
              <w:jc w:val="left"/>
              <w:rPr>
                <w:color w:val="auto"/>
              </w:rPr>
            </w:pPr>
            <w:r>
              <w:rPr>
                <w:rFonts w:hint="eastAsia" w:ascii="宋体" w:hAnsi="宋体" w:cs="宋体"/>
                <w:color w:val="auto"/>
                <w:kern w:val="0"/>
                <w:lang w:bidi="ar"/>
              </w:rPr>
              <w:t>对照《排污许可证申请与核发技术规范 锅炉》（</w:t>
            </w:r>
            <w:r>
              <w:rPr>
                <w:color w:val="auto"/>
                <w:kern w:val="0"/>
                <w:lang w:bidi="ar"/>
              </w:rPr>
              <w:t>HJ953-2018</w:t>
            </w:r>
            <w:r>
              <w:rPr>
                <w:rFonts w:hint="eastAsia" w:ascii="宋体" w:hAnsi="宋体" w:cs="宋体"/>
                <w:color w:val="auto"/>
                <w:kern w:val="0"/>
                <w:lang w:bidi="ar"/>
              </w:rPr>
              <w:t>）表</w:t>
            </w:r>
            <w:r>
              <w:rPr>
                <w:color w:val="auto"/>
                <w:kern w:val="0"/>
                <w:lang w:bidi="ar"/>
              </w:rPr>
              <w:t>7</w:t>
            </w:r>
            <w:r>
              <w:rPr>
                <w:rFonts w:hint="eastAsia" w:ascii="宋体" w:hAnsi="宋体" w:cs="宋体"/>
                <w:color w:val="auto"/>
                <w:kern w:val="0"/>
                <w:lang w:bidi="ar"/>
              </w:rPr>
              <w:t>锅炉烟气污染防治可行技术，可行性分析见下表。</w:t>
            </w:r>
          </w:p>
          <w:p>
            <w:pPr>
              <w:widowControl/>
              <w:spacing w:line="240" w:lineRule="auto"/>
              <w:ind w:firstLine="0" w:firstLineChars="0"/>
              <w:jc w:val="center"/>
              <w:rPr>
                <w:rFonts w:hint="eastAsia" w:ascii="宋体" w:hAnsi="宋体" w:cs="宋体"/>
                <w:b/>
                <w:bCs/>
                <w:color w:val="auto"/>
                <w:kern w:val="0"/>
                <w:sz w:val="21"/>
                <w:szCs w:val="21"/>
                <w:lang w:bidi="ar"/>
              </w:rPr>
            </w:pPr>
            <w:r>
              <w:rPr>
                <w:rFonts w:hint="eastAsia" w:ascii="宋体" w:hAnsi="宋体" w:cs="宋体"/>
                <w:b/>
                <w:bCs/>
                <w:color w:val="auto"/>
                <w:kern w:val="0"/>
                <w:sz w:val="21"/>
                <w:szCs w:val="21"/>
                <w:lang w:bidi="ar"/>
              </w:rPr>
              <w:t>表</w:t>
            </w:r>
            <w:r>
              <w:rPr>
                <w:b/>
                <w:bCs/>
                <w:color w:val="auto"/>
                <w:kern w:val="0"/>
                <w:sz w:val="21"/>
                <w:szCs w:val="21"/>
                <w:lang w:bidi="ar"/>
              </w:rPr>
              <w:t>4</w:t>
            </w:r>
            <w:r>
              <w:rPr>
                <w:rFonts w:hint="eastAsia"/>
                <w:b/>
                <w:bCs/>
                <w:color w:val="auto"/>
                <w:kern w:val="0"/>
                <w:sz w:val="21"/>
                <w:szCs w:val="21"/>
                <w:lang w:bidi="ar"/>
              </w:rPr>
              <w:t xml:space="preserve">-8  </w:t>
            </w:r>
            <w:r>
              <w:rPr>
                <w:rFonts w:hint="eastAsia" w:ascii="宋体" w:hAnsi="宋体" w:cs="宋体"/>
                <w:b/>
                <w:bCs/>
                <w:color w:val="auto"/>
                <w:kern w:val="0"/>
                <w:sz w:val="21"/>
                <w:szCs w:val="21"/>
                <w:lang w:bidi="ar"/>
              </w:rPr>
              <w:t>污染防治可行技术</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742"/>
              <w:gridCol w:w="1024"/>
              <w:gridCol w:w="3137"/>
              <w:gridCol w:w="1295"/>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2" w:type="dxa"/>
                  <w:vAlign w:val="center"/>
                </w:tcPr>
                <w:p>
                  <w:pPr>
                    <w:pStyle w:val="10"/>
                    <w:spacing w:after="0" w:line="240" w:lineRule="auto"/>
                    <w:ind w:left="0" w:leftChars="0" w:firstLine="0" w:firstLineChars="0"/>
                    <w:jc w:val="center"/>
                    <w:rPr>
                      <w:color w:val="auto"/>
                      <w:sz w:val="21"/>
                      <w:szCs w:val="21"/>
                    </w:rPr>
                  </w:pPr>
                  <w:r>
                    <w:rPr>
                      <w:color w:val="auto"/>
                      <w:sz w:val="21"/>
                      <w:szCs w:val="21"/>
                    </w:rPr>
                    <w:t>污染源名称</w:t>
                  </w:r>
                </w:p>
              </w:tc>
              <w:tc>
                <w:tcPr>
                  <w:tcW w:w="742" w:type="dxa"/>
                  <w:vAlign w:val="center"/>
                </w:tcPr>
                <w:p>
                  <w:pPr>
                    <w:widowControl/>
                    <w:spacing w:line="240" w:lineRule="auto"/>
                    <w:ind w:firstLine="0" w:firstLineChars="0"/>
                    <w:jc w:val="center"/>
                    <w:rPr>
                      <w:color w:val="auto"/>
                      <w:sz w:val="21"/>
                      <w:szCs w:val="21"/>
                    </w:rPr>
                  </w:pPr>
                  <w:r>
                    <w:rPr>
                      <w:color w:val="auto"/>
                      <w:kern w:val="0"/>
                      <w:sz w:val="21"/>
                      <w:szCs w:val="21"/>
                      <w:lang w:bidi="ar"/>
                    </w:rPr>
                    <w:t>污染源设备</w:t>
                  </w:r>
                </w:p>
              </w:tc>
              <w:tc>
                <w:tcPr>
                  <w:tcW w:w="1024" w:type="dxa"/>
                  <w:vAlign w:val="center"/>
                </w:tcPr>
                <w:p>
                  <w:pPr>
                    <w:widowControl/>
                    <w:spacing w:line="240" w:lineRule="auto"/>
                    <w:ind w:firstLine="0" w:firstLineChars="0"/>
                    <w:jc w:val="center"/>
                    <w:rPr>
                      <w:color w:val="auto"/>
                      <w:sz w:val="21"/>
                      <w:szCs w:val="21"/>
                    </w:rPr>
                  </w:pPr>
                  <w:r>
                    <w:rPr>
                      <w:color w:val="auto"/>
                      <w:kern w:val="0"/>
                      <w:sz w:val="21"/>
                      <w:szCs w:val="21"/>
                      <w:lang w:bidi="ar"/>
                    </w:rPr>
                    <w:t>主要污染物项目</w:t>
                  </w:r>
                </w:p>
              </w:tc>
              <w:tc>
                <w:tcPr>
                  <w:tcW w:w="3137" w:type="dxa"/>
                  <w:vAlign w:val="center"/>
                </w:tcPr>
                <w:p>
                  <w:pPr>
                    <w:widowControl/>
                    <w:spacing w:line="240" w:lineRule="auto"/>
                    <w:ind w:firstLine="0" w:firstLineChars="0"/>
                    <w:jc w:val="center"/>
                    <w:rPr>
                      <w:color w:val="auto"/>
                      <w:sz w:val="21"/>
                      <w:szCs w:val="21"/>
                    </w:rPr>
                  </w:pPr>
                  <w:r>
                    <w:rPr>
                      <w:rFonts w:hint="eastAsia"/>
                      <w:color w:val="auto"/>
                      <w:kern w:val="0"/>
                      <w:sz w:val="21"/>
                      <w:szCs w:val="21"/>
                      <w:lang w:bidi="ar"/>
                    </w:rPr>
                    <w:t>参照文件</w:t>
                  </w:r>
                </w:p>
              </w:tc>
              <w:tc>
                <w:tcPr>
                  <w:tcW w:w="1295" w:type="dxa"/>
                  <w:vAlign w:val="center"/>
                </w:tcPr>
                <w:p>
                  <w:pPr>
                    <w:widowControl/>
                    <w:spacing w:line="240" w:lineRule="auto"/>
                    <w:ind w:firstLine="0" w:firstLineChars="0"/>
                    <w:jc w:val="center"/>
                    <w:rPr>
                      <w:color w:val="auto"/>
                      <w:sz w:val="21"/>
                      <w:szCs w:val="21"/>
                    </w:rPr>
                  </w:pPr>
                  <w:r>
                    <w:rPr>
                      <w:color w:val="auto"/>
                      <w:kern w:val="0"/>
                      <w:sz w:val="21"/>
                      <w:szCs w:val="21"/>
                      <w:lang w:bidi="ar"/>
                    </w:rPr>
                    <w:t>本项目采取的污染治理工艺</w:t>
                  </w:r>
                </w:p>
              </w:tc>
              <w:tc>
                <w:tcPr>
                  <w:tcW w:w="900" w:type="dxa"/>
                  <w:vAlign w:val="center"/>
                </w:tcPr>
                <w:p>
                  <w:pPr>
                    <w:widowControl/>
                    <w:spacing w:line="240" w:lineRule="auto"/>
                    <w:ind w:firstLine="0" w:firstLineChars="0"/>
                    <w:jc w:val="center"/>
                    <w:rPr>
                      <w:color w:val="auto"/>
                      <w:sz w:val="21"/>
                      <w:szCs w:val="21"/>
                    </w:rPr>
                  </w:pPr>
                  <w:r>
                    <w:rPr>
                      <w:color w:val="auto"/>
                      <w:kern w:val="0"/>
                      <w:sz w:val="21"/>
                      <w:szCs w:val="21"/>
                      <w:lang w:bidi="ar"/>
                    </w:rPr>
                    <w:t>是否为可行技术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2" w:type="dxa"/>
                  <w:vAlign w:val="center"/>
                </w:tcPr>
                <w:p>
                  <w:pPr>
                    <w:pStyle w:val="10"/>
                    <w:spacing w:after="0" w:line="240" w:lineRule="auto"/>
                    <w:ind w:left="0" w:leftChars="0" w:firstLine="0" w:firstLineChars="0"/>
                    <w:jc w:val="center"/>
                    <w:rPr>
                      <w:color w:val="auto"/>
                      <w:sz w:val="21"/>
                      <w:szCs w:val="21"/>
                    </w:rPr>
                  </w:pPr>
                  <w:r>
                    <w:rPr>
                      <w:color w:val="auto"/>
                      <w:sz w:val="21"/>
                      <w:szCs w:val="21"/>
                    </w:rPr>
                    <w:t>锅炉废气</w:t>
                  </w:r>
                </w:p>
              </w:tc>
              <w:tc>
                <w:tcPr>
                  <w:tcW w:w="742" w:type="dxa"/>
                  <w:vAlign w:val="center"/>
                </w:tcPr>
                <w:p>
                  <w:pPr>
                    <w:widowControl/>
                    <w:spacing w:line="240" w:lineRule="auto"/>
                    <w:ind w:firstLine="0" w:firstLineChars="0"/>
                    <w:jc w:val="center"/>
                    <w:rPr>
                      <w:color w:val="auto"/>
                      <w:sz w:val="21"/>
                      <w:szCs w:val="21"/>
                    </w:rPr>
                  </w:pPr>
                  <w:r>
                    <w:rPr>
                      <w:color w:val="auto"/>
                      <w:kern w:val="0"/>
                      <w:sz w:val="21"/>
                      <w:szCs w:val="21"/>
                      <w:lang w:bidi="ar"/>
                    </w:rPr>
                    <w:t>锅炉</w:t>
                  </w:r>
                </w:p>
              </w:tc>
              <w:tc>
                <w:tcPr>
                  <w:tcW w:w="1024" w:type="dxa"/>
                  <w:vAlign w:val="center"/>
                </w:tcPr>
                <w:p>
                  <w:pPr>
                    <w:widowControl/>
                    <w:spacing w:line="240" w:lineRule="auto"/>
                    <w:ind w:firstLine="0" w:firstLineChars="0"/>
                    <w:jc w:val="center"/>
                    <w:rPr>
                      <w:color w:val="auto"/>
                      <w:sz w:val="21"/>
                      <w:szCs w:val="21"/>
                    </w:rPr>
                  </w:pPr>
                  <w:r>
                    <w:rPr>
                      <w:color w:val="auto"/>
                      <w:kern w:val="0"/>
                      <w:sz w:val="21"/>
                      <w:szCs w:val="21"/>
                      <w:lang w:bidi="ar"/>
                    </w:rPr>
                    <w:t>NOx</w:t>
                  </w:r>
                </w:p>
              </w:tc>
              <w:tc>
                <w:tcPr>
                  <w:tcW w:w="3137" w:type="dxa"/>
                  <w:vAlign w:val="center"/>
                </w:tcPr>
                <w:p>
                  <w:pPr>
                    <w:widowControl/>
                    <w:spacing w:line="240" w:lineRule="auto"/>
                    <w:ind w:firstLine="0" w:firstLineChars="0"/>
                    <w:jc w:val="center"/>
                    <w:rPr>
                      <w:color w:val="auto"/>
                      <w:sz w:val="21"/>
                      <w:szCs w:val="21"/>
                    </w:rPr>
                  </w:pPr>
                  <w:r>
                    <w:rPr>
                      <w:color w:val="auto"/>
                      <w:sz w:val="21"/>
                      <w:szCs w:val="21"/>
                    </w:rPr>
                    <w:t>《排污许可证申请与核发技术规范 锅炉》（HJ953-2018）</w:t>
                  </w:r>
                </w:p>
              </w:tc>
              <w:tc>
                <w:tcPr>
                  <w:tcW w:w="1295" w:type="dxa"/>
                  <w:vAlign w:val="center"/>
                </w:tcPr>
                <w:p>
                  <w:pPr>
                    <w:widowControl/>
                    <w:spacing w:line="240" w:lineRule="auto"/>
                    <w:ind w:firstLine="0" w:firstLineChars="0"/>
                    <w:jc w:val="center"/>
                    <w:rPr>
                      <w:color w:val="auto"/>
                      <w:sz w:val="21"/>
                      <w:szCs w:val="21"/>
                    </w:rPr>
                  </w:pPr>
                  <w:r>
                    <w:rPr>
                      <w:color w:val="auto"/>
                      <w:kern w:val="0"/>
                      <w:sz w:val="21"/>
                      <w:szCs w:val="21"/>
                      <w:lang w:bidi="ar"/>
                    </w:rPr>
                    <w:t>低氮燃烧</w:t>
                  </w:r>
                </w:p>
              </w:tc>
              <w:tc>
                <w:tcPr>
                  <w:tcW w:w="900" w:type="dxa"/>
                  <w:vAlign w:val="center"/>
                </w:tcPr>
                <w:p>
                  <w:pPr>
                    <w:pStyle w:val="10"/>
                    <w:spacing w:after="0" w:line="240" w:lineRule="auto"/>
                    <w:ind w:left="0" w:leftChars="0" w:firstLine="0" w:firstLineChars="0"/>
                    <w:jc w:val="center"/>
                    <w:rPr>
                      <w:color w:val="auto"/>
                      <w:sz w:val="21"/>
                      <w:szCs w:val="21"/>
                    </w:rPr>
                  </w:pPr>
                  <w:r>
                    <w:rPr>
                      <w:color w:val="auto"/>
                      <w:sz w:val="21"/>
                      <w:szCs w:val="21"/>
                      <w:lang w:bidi="ar"/>
                    </w:rPr>
                    <w:t>是</w:t>
                  </w:r>
                </w:p>
              </w:tc>
            </w:tr>
          </w:tbl>
          <w:p>
            <w:pPr>
              <w:widowControl/>
              <w:ind w:firstLine="482"/>
              <w:jc w:val="left"/>
              <w:rPr>
                <w:color w:val="auto"/>
              </w:rPr>
            </w:pPr>
            <w:r>
              <w:rPr>
                <w:rFonts w:hint="eastAsia" w:ascii="宋体" w:hAnsi="宋体" w:cs="宋体"/>
                <w:b/>
                <w:bCs/>
                <w:color w:val="auto"/>
                <w:kern w:val="0"/>
                <w:lang w:bidi="ar"/>
              </w:rPr>
              <w:t>低氮燃烧装置</w:t>
            </w:r>
          </w:p>
          <w:p>
            <w:pPr>
              <w:widowControl/>
              <w:ind w:firstLine="480"/>
              <w:jc w:val="left"/>
              <w:rPr>
                <w:color w:val="auto"/>
              </w:rPr>
            </w:pPr>
            <w:r>
              <w:rPr>
                <w:color w:val="auto"/>
                <w:kern w:val="0"/>
                <w:lang w:bidi="ar"/>
              </w:rPr>
              <w:t>低氮燃烧器原理说明：</w:t>
            </w:r>
          </w:p>
          <w:p>
            <w:pPr>
              <w:widowControl/>
              <w:ind w:firstLine="480"/>
              <w:jc w:val="left"/>
              <w:rPr>
                <w:color w:val="auto"/>
              </w:rPr>
            </w:pPr>
            <w:r>
              <w:rPr>
                <w:color w:val="auto"/>
                <w:kern w:val="0"/>
                <w:lang w:bidi="ar"/>
              </w:rPr>
              <w:t>燃烧器低NO</w:t>
            </w:r>
            <w:r>
              <w:rPr>
                <w:color w:val="auto"/>
                <w:kern w:val="0"/>
                <w:sz w:val="15"/>
                <w:szCs w:val="15"/>
                <w:lang w:bidi="ar"/>
              </w:rPr>
              <w:t>X</w:t>
            </w:r>
            <w:r>
              <w:rPr>
                <w:color w:val="auto"/>
                <w:kern w:val="0"/>
                <w:lang w:bidi="ar"/>
              </w:rPr>
              <w:t>排放采取的多种融合技术及烟气外循环技术：</w:t>
            </w:r>
          </w:p>
          <w:p>
            <w:pPr>
              <w:widowControl/>
              <w:ind w:firstLine="480"/>
              <w:jc w:val="left"/>
              <w:rPr>
                <w:color w:val="auto"/>
              </w:rPr>
            </w:pPr>
            <w:r>
              <w:rPr>
                <w:rFonts w:hint="eastAsia"/>
                <w:color w:val="auto"/>
                <w:kern w:val="0"/>
                <w:lang w:bidi="ar"/>
              </w:rPr>
              <w:t>①</w:t>
            </w:r>
            <w:r>
              <w:rPr>
                <w:color w:val="auto"/>
                <w:kern w:val="0"/>
                <w:lang w:bidi="ar"/>
              </w:rPr>
              <w:t>炉膛温度</w:t>
            </w:r>
          </w:p>
          <w:p>
            <w:pPr>
              <w:widowControl/>
              <w:ind w:firstLine="480"/>
              <w:jc w:val="left"/>
              <w:rPr>
                <w:color w:val="auto"/>
              </w:rPr>
            </w:pPr>
            <w:r>
              <w:rPr>
                <w:color w:val="auto"/>
                <w:kern w:val="0"/>
                <w:lang w:bidi="ar"/>
              </w:rPr>
              <w:t>炉膛温度越高，NO</w:t>
            </w:r>
            <w:r>
              <w:rPr>
                <w:color w:val="auto"/>
                <w:kern w:val="0"/>
                <w:sz w:val="15"/>
                <w:szCs w:val="15"/>
                <w:lang w:bidi="ar"/>
              </w:rPr>
              <w:t>X</w:t>
            </w:r>
            <w:r>
              <w:rPr>
                <w:color w:val="auto"/>
                <w:kern w:val="0"/>
                <w:lang w:bidi="ar"/>
              </w:rPr>
              <w:t>生成量越多。炉内实际燃烧过程中，炉内的火焰温度分布是不均匀的。通常离燃烧器出口一定距离处的温度是最高的，在其前后的温度都较低。因此炉内存在局部高温区，该区的温度比炉内平均水平高很多。显然它对NO</w:t>
            </w:r>
            <w:r>
              <w:rPr>
                <w:color w:val="auto"/>
                <w:kern w:val="0"/>
                <w:sz w:val="15"/>
                <w:szCs w:val="15"/>
                <w:lang w:bidi="ar"/>
              </w:rPr>
              <w:t>X</w:t>
            </w:r>
            <w:r>
              <w:rPr>
                <w:color w:val="auto"/>
                <w:kern w:val="0"/>
                <w:lang w:bidi="ar"/>
              </w:rPr>
              <w:t>生成量有很大的影响，温度越高，NO</w:t>
            </w:r>
            <w:r>
              <w:rPr>
                <w:color w:val="auto"/>
                <w:kern w:val="0"/>
                <w:sz w:val="15"/>
                <w:szCs w:val="15"/>
                <w:lang w:bidi="ar"/>
              </w:rPr>
              <w:t>X</w:t>
            </w:r>
            <w:r>
              <w:rPr>
                <w:color w:val="auto"/>
                <w:kern w:val="0"/>
                <w:lang w:bidi="ar"/>
              </w:rPr>
              <w:t>生成量越多。因此在炉膛中，为了限制NO</w:t>
            </w:r>
            <w:r>
              <w:rPr>
                <w:color w:val="auto"/>
                <w:kern w:val="0"/>
                <w:sz w:val="15"/>
                <w:szCs w:val="15"/>
                <w:lang w:bidi="ar"/>
              </w:rPr>
              <w:t>X</w:t>
            </w:r>
            <w:r>
              <w:rPr>
                <w:color w:val="auto"/>
                <w:kern w:val="0"/>
                <w:lang w:bidi="ar"/>
              </w:rPr>
              <w:t>的生成，除了降低炉内平均温度外，还必须设法使炉内温度均匀化，避免局部高温。</w:t>
            </w:r>
          </w:p>
          <w:p>
            <w:pPr>
              <w:widowControl/>
              <w:ind w:firstLine="480"/>
              <w:jc w:val="left"/>
              <w:rPr>
                <w:color w:val="auto"/>
              </w:rPr>
            </w:pPr>
            <w:r>
              <w:rPr>
                <w:rFonts w:hint="eastAsia"/>
                <w:color w:val="auto"/>
                <w:kern w:val="0"/>
                <w:lang w:bidi="ar"/>
              </w:rPr>
              <w:t>②</w:t>
            </w:r>
            <w:r>
              <w:rPr>
                <w:color w:val="auto"/>
                <w:kern w:val="0"/>
                <w:lang w:bidi="ar"/>
              </w:rPr>
              <w:t>燃料与空气的混合程度</w:t>
            </w:r>
          </w:p>
          <w:p>
            <w:pPr>
              <w:widowControl/>
              <w:ind w:firstLine="480"/>
              <w:jc w:val="left"/>
              <w:rPr>
                <w:color w:val="auto"/>
              </w:rPr>
            </w:pPr>
            <w:r>
              <w:rPr>
                <w:color w:val="auto"/>
                <w:kern w:val="0"/>
                <w:lang w:bidi="ar"/>
              </w:rPr>
              <w:t>燃气在炉内的燃烧过程，属于扩散燃烧，即一面混合、一面燃烧。因此NO</w:t>
            </w:r>
            <w:r>
              <w:rPr>
                <w:color w:val="auto"/>
                <w:kern w:val="0"/>
                <w:sz w:val="15"/>
                <w:szCs w:val="15"/>
                <w:lang w:bidi="ar"/>
              </w:rPr>
              <w:t>X</w:t>
            </w:r>
            <w:r>
              <w:rPr>
                <w:color w:val="auto"/>
                <w:kern w:val="0"/>
                <w:lang w:bidi="ar"/>
              </w:rPr>
              <w:t>生成量不仅与过剩空气系数有关，而且在同样的空气系数条件下，还与混合特性有关。在合适的过剩系数的条件下，如混合均匀，则NO</w:t>
            </w:r>
            <w:r>
              <w:rPr>
                <w:color w:val="auto"/>
                <w:kern w:val="0"/>
                <w:sz w:val="15"/>
                <w:szCs w:val="15"/>
                <w:lang w:bidi="ar"/>
              </w:rPr>
              <w:t>X</w:t>
            </w:r>
            <w:r>
              <w:rPr>
                <w:color w:val="auto"/>
                <w:kern w:val="0"/>
                <w:lang w:bidi="ar"/>
              </w:rPr>
              <w:t>生成量将降低，反之则增大，烟气再循环率在15%-20%之间，NO</w:t>
            </w:r>
            <w:r>
              <w:rPr>
                <w:color w:val="auto"/>
                <w:kern w:val="0"/>
                <w:sz w:val="15"/>
                <w:szCs w:val="15"/>
                <w:lang w:bidi="ar"/>
              </w:rPr>
              <w:t>X</w:t>
            </w:r>
            <w:r>
              <w:rPr>
                <w:color w:val="auto"/>
                <w:kern w:val="0"/>
                <w:lang w:bidi="ar"/>
              </w:rPr>
              <w:t>排放降低到50mg/m</w:t>
            </w:r>
            <w:r>
              <w:rPr>
                <w:color w:val="auto"/>
                <w:kern w:val="0"/>
                <w:vertAlign w:val="superscript"/>
                <w:lang w:bidi="ar"/>
              </w:rPr>
              <w:t>3</w:t>
            </w:r>
            <w:r>
              <w:rPr>
                <w:color w:val="auto"/>
                <w:kern w:val="0"/>
                <w:lang w:bidi="ar"/>
              </w:rPr>
              <w:t>以下。</w:t>
            </w:r>
          </w:p>
          <w:p>
            <w:pPr>
              <w:widowControl/>
              <w:ind w:firstLine="480"/>
              <w:jc w:val="left"/>
              <w:rPr>
                <w:color w:val="auto"/>
              </w:rPr>
            </w:pPr>
            <w:r>
              <w:rPr>
                <w:rFonts w:hint="eastAsia"/>
                <w:color w:val="auto"/>
                <w:kern w:val="0"/>
                <w:lang w:bidi="ar"/>
              </w:rPr>
              <w:t>（4）</w:t>
            </w:r>
            <w:r>
              <w:rPr>
                <w:color w:val="auto"/>
                <w:kern w:val="0"/>
                <w:lang w:bidi="ar"/>
              </w:rPr>
              <w:t>废气环境影响评价</w:t>
            </w:r>
          </w:p>
          <w:p>
            <w:pPr>
              <w:widowControl/>
              <w:ind w:firstLine="480"/>
              <w:jc w:val="left"/>
              <w:rPr>
                <w:color w:val="auto"/>
              </w:rPr>
            </w:pPr>
            <w:r>
              <w:rPr>
                <w:color w:val="auto"/>
                <w:kern w:val="0"/>
                <w:lang w:bidi="ar"/>
              </w:rPr>
              <w:t>本项目厂界500米范围有9处环境保护目标，为</w:t>
            </w:r>
            <w:r>
              <w:rPr>
                <w:rFonts w:hint="eastAsia"/>
                <w:color w:val="auto"/>
                <w:kern w:val="0"/>
                <w:lang w:bidi="ar"/>
              </w:rPr>
              <w:t>散户居民</w:t>
            </w:r>
            <w:r>
              <w:rPr>
                <w:color w:val="auto"/>
                <w:kern w:val="0"/>
                <w:lang w:bidi="ar"/>
              </w:rPr>
              <w:t>。项目锅炉废气经处理通过15m高排气筒达标排放，能够有效地减轻对周边大气环境的影响，对周边大气环境影响较小，可以接受。</w:t>
            </w:r>
          </w:p>
          <w:p>
            <w:pPr>
              <w:widowControl/>
              <w:ind w:firstLine="480"/>
              <w:jc w:val="left"/>
              <w:rPr>
                <w:color w:val="auto"/>
              </w:rPr>
            </w:pPr>
            <w:r>
              <w:rPr>
                <w:rFonts w:hint="eastAsia"/>
                <w:color w:val="auto"/>
                <w:kern w:val="0"/>
                <w:lang w:bidi="ar"/>
              </w:rPr>
              <w:t>（5）</w:t>
            </w:r>
            <w:r>
              <w:rPr>
                <w:rFonts w:hint="eastAsia" w:ascii="宋体" w:hAnsi="宋体" w:cs="宋体"/>
                <w:color w:val="auto"/>
                <w:kern w:val="0"/>
                <w:lang w:bidi="ar"/>
              </w:rPr>
              <w:t>监测要求</w:t>
            </w:r>
          </w:p>
          <w:p>
            <w:pPr>
              <w:widowControl/>
              <w:ind w:firstLine="480"/>
              <w:jc w:val="left"/>
              <w:rPr>
                <w:color w:val="auto"/>
              </w:rPr>
            </w:pPr>
            <w:r>
              <w:rPr>
                <w:rFonts w:hint="eastAsia" w:ascii="宋体" w:hAnsi="宋体" w:cs="宋体"/>
                <w:color w:val="auto"/>
                <w:kern w:val="0"/>
                <w:lang w:bidi="ar"/>
              </w:rPr>
              <w:t>根据《排污单位自行监测技术指南 火力发电及锅炉》（</w:t>
            </w:r>
            <w:r>
              <w:rPr>
                <w:color w:val="auto"/>
                <w:kern w:val="0"/>
                <w:lang w:bidi="ar"/>
              </w:rPr>
              <w:t>HJ820-2017</w:t>
            </w:r>
            <w:r>
              <w:rPr>
                <w:rFonts w:hint="eastAsia" w:ascii="宋体" w:hAnsi="宋体" w:cs="宋体"/>
                <w:color w:val="auto"/>
                <w:kern w:val="0"/>
                <w:lang w:bidi="ar"/>
              </w:rPr>
              <w:t>），本项目污染源监测计划见下表。</w:t>
            </w:r>
          </w:p>
          <w:p>
            <w:pPr>
              <w:widowControl/>
              <w:spacing w:line="240" w:lineRule="auto"/>
              <w:ind w:firstLine="0" w:firstLineChars="0"/>
              <w:jc w:val="center"/>
              <w:rPr>
                <w:rFonts w:hint="eastAsia" w:ascii="宋体" w:hAnsi="宋体" w:cs="宋体"/>
                <w:b/>
                <w:bCs/>
                <w:color w:val="auto"/>
                <w:kern w:val="0"/>
                <w:sz w:val="21"/>
                <w:szCs w:val="21"/>
                <w:lang w:bidi="ar"/>
              </w:rPr>
            </w:pPr>
            <w:r>
              <w:rPr>
                <w:rFonts w:hint="eastAsia" w:ascii="宋体" w:hAnsi="宋体" w:cs="宋体"/>
                <w:b/>
                <w:bCs/>
                <w:color w:val="auto"/>
                <w:kern w:val="0"/>
                <w:sz w:val="21"/>
                <w:szCs w:val="21"/>
                <w:lang w:bidi="ar"/>
              </w:rPr>
              <w:t>表</w:t>
            </w:r>
            <w:r>
              <w:rPr>
                <w:b/>
                <w:bCs/>
                <w:color w:val="auto"/>
                <w:kern w:val="0"/>
                <w:sz w:val="21"/>
                <w:szCs w:val="21"/>
                <w:lang w:bidi="ar"/>
              </w:rPr>
              <w:t>4-</w:t>
            </w:r>
            <w:r>
              <w:rPr>
                <w:rFonts w:hint="eastAsia"/>
                <w:b/>
                <w:bCs/>
                <w:color w:val="auto"/>
                <w:kern w:val="0"/>
                <w:sz w:val="21"/>
                <w:szCs w:val="21"/>
                <w:lang w:bidi="ar"/>
              </w:rPr>
              <w:t xml:space="preserve">9  </w:t>
            </w:r>
            <w:r>
              <w:rPr>
                <w:rFonts w:hint="eastAsia" w:ascii="宋体" w:hAnsi="宋体" w:cs="宋体"/>
                <w:b/>
                <w:bCs/>
                <w:color w:val="auto"/>
                <w:kern w:val="0"/>
                <w:sz w:val="21"/>
                <w:szCs w:val="21"/>
                <w:lang w:bidi="ar"/>
              </w:rPr>
              <w:t>本项目有组织废气例行监测要求汇总表</w:t>
            </w:r>
          </w:p>
          <w:tbl>
            <w:tblPr>
              <w:tblStyle w:val="23"/>
              <w:tblW w:w="78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5"/>
              <w:gridCol w:w="1230"/>
              <w:gridCol w:w="1246"/>
              <w:gridCol w:w="1065"/>
              <w:gridCol w:w="3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5" w:type="dxa"/>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类别</w:t>
                  </w:r>
                </w:p>
              </w:tc>
              <w:tc>
                <w:tcPr>
                  <w:tcW w:w="1230" w:type="dxa"/>
                  <w:vAlign w:val="center"/>
                </w:tcPr>
                <w:p>
                  <w:pPr>
                    <w:widowControl/>
                    <w:spacing w:line="240" w:lineRule="auto"/>
                    <w:ind w:firstLine="0" w:firstLineChars="0"/>
                    <w:jc w:val="center"/>
                    <w:rPr>
                      <w:color w:val="auto"/>
                      <w:sz w:val="21"/>
                      <w:szCs w:val="21"/>
                    </w:rPr>
                  </w:pPr>
                  <w:r>
                    <w:rPr>
                      <w:rFonts w:hint="eastAsia"/>
                      <w:color w:val="auto"/>
                      <w:kern w:val="0"/>
                      <w:sz w:val="21"/>
                      <w:szCs w:val="21"/>
                      <w:lang w:bidi="ar"/>
                    </w:rPr>
                    <w:t>监测点位</w:t>
                  </w:r>
                </w:p>
              </w:tc>
              <w:tc>
                <w:tcPr>
                  <w:tcW w:w="1246" w:type="dxa"/>
                  <w:vAlign w:val="center"/>
                </w:tcPr>
                <w:p>
                  <w:pPr>
                    <w:widowControl/>
                    <w:spacing w:line="240" w:lineRule="auto"/>
                    <w:ind w:firstLine="0" w:firstLineChars="0"/>
                    <w:jc w:val="center"/>
                    <w:rPr>
                      <w:color w:val="auto"/>
                      <w:sz w:val="21"/>
                      <w:szCs w:val="21"/>
                    </w:rPr>
                  </w:pPr>
                  <w:r>
                    <w:rPr>
                      <w:rFonts w:hint="eastAsia"/>
                      <w:color w:val="auto"/>
                      <w:sz w:val="21"/>
                      <w:szCs w:val="21"/>
                    </w:rPr>
                    <w:t>监测指标</w:t>
                  </w:r>
                </w:p>
              </w:tc>
              <w:tc>
                <w:tcPr>
                  <w:tcW w:w="1065" w:type="dxa"/>
                  <w:vAlign w:val="center"/>
                </w:tcPr>
                <w:p>
                  <w:pPr>
                    <w:widowControl/>
                    <w:spacing w:line="240" w:lineRule="auto"/>
                    <w:ind w:firstLine="0" w:firstLineChars="0"/>
                    <w:jc w:val="center"/>
                    <w:rPr>
                      <w:color w:val="auto"/>
                      <w:sz w:val="21"/>
                      <w:szCs w:val="21"/>
                    </w:rPr>
                  </w:pPr>
                  <w:r>
                    <w:rPr>
                      <w:rFonts w:hint="eastAsia"/>
                      <w:color w:val="auto"/>
                      <w:sz w:val="21"/>
                      <w:szCs w:val="21"/>
                    </w:rPr>
                    <w:t>监测频率</w:t>
                  </w:r>
                </w:p>
              </w:tc>
              <w:tc>
                <w:tcPr>
                  <w:tcW w:w="3554" w:type="dxa"/>
                  <w:vAlign w:val="center"/>
                </w:tcPr>
                <w:p>
                  <w:pPr>
                    <w:widowControl/>
                    <w:spacing w:line="240" w:lineRule="auto"/>
                    <w:ind w:firstLine="0" w:firstLineChars="0"/>
                    <w:jc w:val="center"/>
                    <w:rPr>
                      <w:color w:val="auto"/>
                      <w:sz w:val="21"/>
                      <w:szCs w:val="21"/>
                    </w:rPr>
                  </w:pPr>
                  <w:r>
                    <w:rPr>
                      <w:rFonts w:hint="eastAsia"/>
                      <w:color w:val="auto"/>
                      <w:kern w:val="0"/>
                      <w:sz w:val="21"/>
                      <w:szCs w:val="21"/>
                      <w:lang w:bidi="ar"/>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745" w:type="dxa"/>
                  <w:vMerge w:val="restart"/>
                  <w:vAlign w:val="center"/>
                </w:tcPr>
                <w:p>
                  <w:pPr>
                    <w:pStyle w:val="10"/>
                    <w:spacing w:after="0" w:line="240" w:lineRule="auto"/>
                    <w:ind w:left="0" w:leftChars="0" w:firstLine="0" w:firstLineChars="0"/>
                    <w:jc w:val="center"/>
                    <w:rPr>
                      <w:color w:val="auto"/>
                      <w:sz w:val="21"/>
                      <w:szCs w:val="21"/>
                    </w:rPr>
                  </w:pPr>
                  <w:r>
                    <w:rPr>
                      <w:rFonts w:hint="eastAsia"/>
                      <w:color w:val="auto"/>
                      <w:sz w:val="21"/>
                      <w:szCs w:val="21"/>
                    </w:rPr>
                    <w:t>有组织</w:t>
                  </w:r>
                  <w:r>
                    <w:rPr>
                      <w:color w:val="auto"/>
                      <w:sz w:val="21"/>
                      <w:szCs w:val="21"/>
                    </w:rPr>
                    <w:t>废气</w:t>
                  </w:r>
                </w:p>
              </w:tc>
              <w:tc>
                <w:tcPr>
                  <w:tcW w:w="1230" w:type="dxa"/>
                  <w:vMerge w:val="restart"/>
                  <w:vAlign w:val="center"/>
                </w:tcPr>
                <w:p>
                  <w:pPr>
                    <w:widowControl/>
                    <w:spacing w:line="240" w:lineRule="auto"/>
                    <w:ind w:firstLine="0" w:firstLineChars="0"/>
                    <w:jc w:val="center"/>
                    <w:rPr>
                      <w:color w:val="auto"/>
                      <w:sz w:val="21"/>
                      <w:szCs w:val="21"/>
                    </w:rPr>
                  </w:pPr>
                  <w:r>
                    <w:rPr>
                      <w:rFonts w:hint="eastAsia"/>
                      <w:color w:val="auto"/>
                      <w:kern w:val="0"/>
                      <w:sz w:val="21"/>
                      <w:szCs w:val="21"/>
                      <w:lang w:bidi="ar"/>
                    </w:rPr>
                    <w:t>DA001</w:t>
                  </w:r>
                </w:p>
              </w:tc>
              <w:tc>
                <w:tcPr>
                  <w:tcW w:w="1246" w:type="dxa"/>
                  <w:vAlign w:val="center"/>
                </w:tcPr>
                <w:p>
                  <w:pPr>
                    <w:widowControl/>
                    <w:spacing w:line="240" w:lineRule="auto"/>
                    <w:ind w:firstLine="0" w:firstLineChars="0"/>
                    <w:jc w:val="center"/>
                    <w:rPr>
                      <w:color w:val="auto"/>
                      <w:sz w:val="21"/>
                      <w:szCs w:val="21"/>
                    </w:rPr>
                  </w:pPr>
                  <w:r>
                    <w:rPr>
                      <w:rFonts w:hint="eastAsia"/>
                      <w:color w:val="auto"/>
                      <w:kern w:val="0"/>
                      <w:sz w:val="21"/>
                      <w:szCs w:val="21"/>
                      <w:lang w:bidi="ar"/>
                    </w:rPr>
                    <w:t>颗粒物、SO</w:t>
                  </w:r>
                  <w:r>
                    <w:rPr>
                      <w:rFonts w:hint="eastAsia"/>
                      <w:color w:val="auto"/>
                      <w:kern w:val="0"/>
                      <w:sz w:val="21"/>
                      <w:szCs w:val="21"/>
                      <w:vertAlign w:val="subscript"/>
                      <w:lang w:bidi="ar"/>
                    </w:rPr>
                    <w:t>2</w:t>
                  </w:r>
                  <w:r>
                    <w:rPr>
                      <w:rFonts w:hint="eastAsia"/>
                      <w:color w:val="auto"/>
                      <w:kern w:val="0"/>
                      <w:sz w:val="21"/>
                      <w:szCs w:val="21"/>
                      <w:lang w:bidi="ar"/>
                    </w:rPr>
                    <w:t>、格林曼黑度</w:t>
                  </w:r>
                </w:p>
              </w:tc>
              <w:tc>
                <w:tcPr>
                  <w:tcW w:w="1065" w:type="dxa"/>
                  <w:vAlign w:val="center"/>
                </w:tcPr>
                <w:p>
                  <w:pPr>
                    <w:widowControl/>
                    <w:spacing w:line="240" w:lineRule="auto"/>
                    <w:ind w:firstLine="0" w:firstLineChars="0"/>
                    <w:jc w:val="center"/>
                    <w:rPr>
                      <w:color w:val="auto"/>
                      <w:sz w:val="21"/>
                      <w:szCs w:val="21"/>
                    </w:rPr>
                  </w:pPr>
                  <w:r>
                    <w:rPr>
                      <w:rFonts w:hint="eastAsia"/>
                      <w:color w:val="auto"/>
                      <w:sz w:val="21"/>
                      <w:szCs w:val="21"/>
                    </w:rPr>
                    <w:t>1次/年</w:t>
                  </w:r>
                </w:p>
              </w:tc>
              <w:tc>
                <w:tcPr>
                  <w:tcW w:w="3554" w:type="dxa"/>
                  <w:vMerge w:val="restart"/>
                  <w:vAlign w:val="center"/>
                </w:tcPr>
                <w:p>
                  <w:pPr>
                    <w:widowControl/>
                    <w:spacing w:line="240" w:lineRule="auto"/>
                    <w:ind w:firstLine="0" w:firstLineChars="0"/>
                    <w:jc w:val="center"/>
                    <w:rPr>
                      <w:color w:val="auto"/>
                      <w:sz w:val="21"/>
                      <w:szCs w:val="21"/>
                    </w:rPr>
                  </w:pPr>
                  <w:r>
                    <w:rPr>
                      <w:color w:val="auto"/>
                      <w:sz w:val="21"/>
                      <w:szCs w:val="21"/>
                    </w:rPr>
                    <w:t>《锅炉大气污染物排放标准》(GB13271-2014)中表2燃气锅炉标准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745" w:type="dxa"/>
                  <w:vMerge w:val="continue"/>
                  <w:vAlign w:val="center"/>
                </w:tcPr>
                <w:p>
                  <w:pPr>
                    <w:widowControl/>
                    <w:spacing w:line="240" w:lineRule="auto"/>
                    <w:ind w:firstLine="0" w:firstLineChars="0"/>
                    <w:jc w:val="center"/>
                    <w:rPr>
                      <w:color w:val="auto"/>
                      <w:sz w:val="21"/>
                      <w:szCs w:val="21"/>
                    </w:rPr>
                  </w:pPr>
                </w:p>
              </w:tc>
              <w:tc>
                <w:tcPr>
                  <w:tcW w:w="1230" w:type="dxa"/>
                  <w:vMerge w:val="continue"/>
                  <w:vAlign w:val="center"/>
                </w:tcPr>
                <w:p>
                  <w:pPr>
                    <w:widowControl/>
                    <w:spacing w:line="240" w:lineRule="auto"/>
                    <w:ind w:firstLine="0" w:firstLineChars="0"/>
                    <w:jc w:val="center"/>
                    <w:rPr>
                      <w:color w:val="auto"/>
                      <w:sz w:val="21"/>
                      <w:szCs w:val="21"/>
                    </w:rPr>
                  </w:pPr>
                </w:p>
              </w:tc>
              <w:tc>
                <w:tcPr>
                  <w:tcW w:w="1246" w:type="dxa"/>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NO</w:t>
                  </w:r>
                  <w:r>
                    <w:rPr>
                      <w:color w:val="auto"/>
                      <w:kern w:val="0"/>
                      <w:sz w:val="21"/>
                      <w:szCs w:val="21"/>
                      <w:vertAlign w:val="subscript"/>
                      <w:lang w:bidi="ar"/>
                    </w:rPr>
                    <w:t>X</w:t>
                  </w:r>
                </w:p>
              </w:tc>
              <w:tc>
                <w:tcPr>
                  <w:tcW w:w="1065" w:type="dxa"/>
                  <w:vAlign w:val="center"/>
                </w:tcPr>
                <w:p>
                  <w:pPr>
                    <w:widowControl/>
                    <w:spacing w:line="240" w:lineRule="auto"/>
                    <w:ind w:firstLine="0" w:firstLineChars="0"/>
                    <w:jc w:val="center"/>
                    <w:rPr>
                      <w:color w:val="auto"/>
                      <w:kern w:val="0"/>
                      <w:sz w:val="21"/>
                      <w:szCs w:val="21"/>
                      <w:lang w:bidi="ar"/>
                    </w:rPr>
                  </w:pPr>
                  <w:r>
                    <w:rPr>
                      <w:rFonts w:hint="eastAsia"/>
                      <w:color w:val="auto"/>
                      <w:sz w:val="21"/>
                      <w:szCs w:val="21"/>
                    </w:rPr>
                    <w:t>1次/月</w:t>
                  </w:r>
                </w:p>
              </w:tc>
              <w:tc>
                <w:tcPr>
                  <w:tcW w:w="3554" w:type="dxa"/>
                  <w:vMerge w:val="continue"/>
                  <w:vAlign w:val="center"/>
                </w:tcPr>
                <w:p>
                  <w:pPr>
                    <w:widowControl/>
                    <w:spacing w:line="240" w:lineRule="auto"/>
                    <w:ind w:firstLine="0" w:firstLineChars="0"/>
                    <w:jc w:val="center"/>
                    <w:rPr>
                      <w:color w:val="auto"/>
                      <w:kern w:val="0"/>
                      <w:sz w:val="21"/>
                      <w:szCs w:val="21"/>
                      <w:lang w:bidi="ar"/>
                    </w:rPr>
                  </w:pPr>
                </w:p>
              </w:tc>
            </w:tr>
          </w:tbl>
          <w:p>
            <w:pPr>
              <w:ind w:firstLine="0" w:firstLineChars="0"/>
              <w:rPr>
                <w:b/>
                <w:bCs/>
                <w:color w:val="auto"/>
              </w:rPr>
            </w:pPr>
            <w:r>
              <w:rPr>
                <w:rFonts w:hint="eastAsia"/>
                <w:b/>
                <w:bCs/>
                <w:color w:val="auto"/>
              </w:rPr>
              <w:t>2、</w:t>
            </w:r>
            <w:r>
              <w:rPr>
                <w:b/>
                <w:bCs/>
                <w:color w:val="auto"/>
              </w:rPr>
              <w:t>废</w:t>
            </w:r>
            <w:r>
              <w:rPr>
                <w:rFonts w:hint="eastAsia"/>
                <w:b/>
                <w:bCs/>
                <w:color w:val="auto"/>
              </w:rPr>
              <w:t>水</w:t>
            </w:r>
            <w:r>
              <w:rPr>
                <w:b/>
                <w:bCs/>
                <w:color w:val="auto"/>
              </w:rPr>
              <w:t>环境影响分析和保护措施</w:t>
            </w:r>
          </w:p>
          <w:p>
            <w:pPr>
              <w:pStyle w:val="10"/>
              <w:spacing w:after="0"/>
              <w:ind w:left="0" w:leftChars="0" w:firstLine="0" w:firstLineChars="0"/>
              <w:rPr>
                <w:color w:val="auto"/>
              </w:rPr>
            </w:pPr>
            <w:r>
              <w:rPr>
                <w:rFonts w:hint="eastAsia"/>
                <w:color w:val="auto"/>
              </w:rPr>
              <w:t>（1）废水污染物产生、排放情况</w:t>
            </w:r>
          </w:p>
          <w:p>
            <w:pPr>
              <w:pStyle w:val="10"/>
              <w:spacing w:after="0"/>
              <w:ind w:left="0" w:leftChars="0" w:firstLine="480"/>
              <w:rPr>
                <w:color w:val="auto"/>
              </w:rPr>
            </w:pPr>
            <w:r>
              <w:rPr>
                <w:rFonts w:hint="eastAsia"/>
                <w:color w:val="auto"/>
              </w:rPr>
              <w:t>运营期</w:t>
            </w:r>
            <w:r>
              <w:rPr>
                <w:rFonts w:hint="eastAsia"/>
                <w:bCs/>
                <w:color w:val="auto"/>
                <w:szCs w:val="21"/>
              </w:rPr>
              <w:t>生产废水主要为离子交换树脂再生废水、纯水制备废水及锅炉排水，依托厂区污水处理系统处理，达到《污水综合排放标准》GB8978-1996表4中三级标准后，进入衡阳第二生活垃圾填埋场渗滤液污水处理站进行深化处理。</w:t>
            </w:r>
            <w:r>
              <w:rPr>
                <w:rFonts w:hint="eastAsia"/>
                <w:color w:val="auto"/>
              </w:rPr>
              <w:t>项目不新增工作人员，不增加生活污水。</w:t>
            </w:r>
          </w:p>
          <w:p>
            <w:pPr>
              <w:ind w:firstLine="480"/>
              <w:rPr>
                <w:color w:val="auto"/>
              </w:rPr>
            </w:pPr>
            <w:r>
              <w:rPr>
                <w:rFonts w:hint="eastAsia"/>
                <w:color w:val="auto"/>
              </w:rPr>
              <w:t>根据前文水平衡分析，本项目</w:t>
            </w:r>
            <w:r>
              <w:rPr>
                <w:rFonts w:hint="eastAsia"/>
                <w:color w:val="auto"/>
                <w:kern w:val="44"/>
              </w:rPr>
              <w:t>沼气锅炉</w:t>
            </w:r>
            <w:r>
              <w:rPr>
                <w:color w:val="auto"/>
                <w:kern w:val="44"/>
              </w:rPr>
              <w:t>废水主要</w:t>
            </w:r>
            <w:r>
              <w:rPr>
                <w:rFonts w:hint="eastAsia"/>
                <w:color w:val="auto"/>
                <w:kern w:val="44"/>
              </w:rPr>
              <w:t>为</w:t>
            </w:r>
            <w:r>
              <w:rPr>
                <w:rFonts w:hint="eastAsia"/>
                <w:color w:val="auto"/>
              </w:rPr>
              <w:t>离子交换树脂再生废水、</w:t>
            </w:r>
            <w:r>
              <w:rPr>
                <w:color w:val="auto"/>
                <w:kern w:val="44"/>
              </w:rPr>
              <w:t>软水系统排污水、</w:t>
            </w:r>
            <w:r>
              <w:rPr>
                <w:rFonts w:hint="eastAsia"/>
                <w:color w:val="auto"/>
                <w:kern w:val="44"/>
              </w:rPr>
              <w:t>锅炉排污水，</w:t>
            </w:r>
            <w:r>
              <w:rPr>
                <w:color w:val="auto"/>
                <w:kern w:val="44"/>
              </w:rPr>
              <w:t>其中软水系统排污水为</w:t>
            </w:r>
            <w:r>
              <w:rPr>
                <w:rFonts w:hint="eastAsia"/>
                <w:color w:val="auto"/>
                <w:kern w:val="44"/>
              </w:rPr>
              <w:t>1313.870</w:t>
            </w:r>
            <w:r>
              <w:rPr>
                <w:color w:val="auto"/>
                <w:kern w:val="44"/>
              </w:rPr>
              <w:t>t/a</w:t>
            </w:r>
            <w:r>
              <w:rPr>
                <w:rFonts w:hint="eastAsia"/>
                <w:color w:val="auto"/>
                <w:kern w:val="44"/>
              </w:rPr>
              <w:t>、锅炉</w:t>
            </w:r>
            <w:r>
              <w:rPr>
                <w:color w:val="auto"/>
                <w:kern w:val="44"/>
              </w:rPr>
              <w:t>排污水为</w:t>
            </w:r>
            <w:r>
              <w:rPr>
                <w:rFonts w:hint="eastAsia"/>
                <w:color w:val="auto"/>
                <w:kern w:val="44"/>
              </w:rPr>
              <w:t>2221.945</w:t>
            </w:r>
            <w:r>
              <w:rPr>
                <w:color w:val="auto"/>
                <w:kern w:val="44"/>
              </w:rPr>
              <w:t>t/a</w:t>
            </w:r>
            <w:r>
              <w:rPr>
                <w:rFonts w:hint="eastAsia"/>
                <w:color w:val="auto"/>
                <w:kern w:val="44"/>
              </w:rPr>
              <w:t>、</w:t>
            </w:r>
            <w:r>
              <w:rPr>
                <w:rFonts w:hint="eastAsia"/>
                <w:color w:val="auto"/>
              </w:rPr>
              <w:t>离子交换树脂再生用水量约为</w:t>
            </w:r>
            <w:r>
              <w:rPr>
                <w:rFonts w:hint="eastAsia"/>
                <w:color w:val="auto"/>
                <w:kern w:val="44"/>
              </w:rPr>
              <w:t>1t/d（330t/a），废水均直接排入厂区污水处理站。</w:t>
            </w:r>
            <w:r>
              <w:rPr>
                <w:rFonts w:hint="eastAsia"/>
                <w:color w:val="auto"/>
              </w:rPr>
              <w:t>本项目改扩建完成后排入厂区污水处理站的废水量为10.715t</w:t>
            </w:r>
            <w:r>
              <w:rPr>
                <w:color w:val="auto"/>
              </w:rPr>
              <w:t>/d</w:t>
            </w:r>
            <w:r>
              <w:rPr>
                <w:rFonts w:hint="eastAsia"/>
                <w:color w:val="auto"/>
              </w:rPr>
              <w:t>（3535.816t/a），现有2t锅炉排入厂区污水处理站的废水量为7.161t</w:t>
            </w:r>
            <w:r>
              <w:rPr>
                <w:color w:val="auto"/>
              </w:rPr>
              <w:t>/d</w:t>
            </w:r>
            <w:r>
              <w:rPr>
                <w:rFonts w:hint="eastAsia"/>
                <w:color w:val="auto"/>
              </w:rPr>
              <w:t>（2360.000t/a），其他现有工艺废水排入厂区污水处理站的废水量为147t</w:t>
            </w:r>
            <w:r>
              <w:rPr>
                <w:color w:val="auto"/>
              </w:rPr>
              <w:t>/d</w:t>
            </w:r>
            <w:r>
              <w:rPr>
                <w:rFonts w:hint="eastAsia"/>
                <w:color w:val="auto"/>
              </w:rPr>
              <w:t>（48510t/a），改扩建完成后排入厂区污水处理站的废水量为164.875t</w:t>
            </w:r>
            <w:r>
              <w:rPr>
                <w:color w:val="auto"/>
              </w:rPr>
              <w:t>/d</w:t>
            </w:r>
            <w:r>
              <w:rPr>
                <w:rFonts w:hint="eastAsia"/>
                <w:color w:val="auto"/>
              </w:rPr>
              <w:t>（54408.815t/a），较现有项目增加10.714t/</w:t>
            </w:r>
            <w:r>
              <w:rPr>
                <w:color w:val="auto"/>
              </w:rPr>
              <w:t>d</w:t>
            </w:r>
            <w:r>
              <w:rPr>
                <w:rFonts w:hint="eastAsia"/>
                <w:color w:val="auto"/>
              </w:rPr>
              <w:t>（3535.60t/a）。</w:t>
            </w:r>
          </w:p>
          <w:p>
            <w:pPr>
              <w:ind w:firstLine="480"/>
              <w:rPr>
                <w:rFonts w:hint="eastAsia"/>
                <w:color w:val="auto"/>
              </w:rPr>
            </w:pPr>
            <w:r>
              <w:rPr>
                <w:rFonts w:hint="eastAsia"/>
                <w:color w:val="auto"/>
              </w:rPr>
              <w:t>根据前文现有项目的工程分析和污染源强核算结果，现有项目综合废水产生总量为50870t/</w:t>
            </w:r>
            <w:r>
              <w:rPr>
                <w:color w:val="auto"/>
              </w:rPr>
              <w:t>a</w:t>
            </w:r>
            <w:r>
              <w:rPr>
                <w:rFonts w:hint="eastAsia"/>
                <w:color w:val="auto"/>
              </w:rPr>
              <w:t>，在建项目废水产生总量为3535.816t/</w:t>
            </w:r>
            <w:r>
              <w:rPr>
                <w:color w:val="auto"/>
              </w:rPr>
              <w:t>a</w:t>
            </w:r>
            <w:r>
              <w:rPr>
                <w:rFonts w:hint="eastAsia"/>
                <w:color w:val="auto"/>
              </w:rPr>
              <w:t>，则本项目改建完成后全厂（包括在建项目）综合废水产生量约为54408.815t/a。</w:t>
            </w:r>
          </w:p>
          <w:p>
            <w:pPr>
              <w:ind w:firstLine="480"/>
              <w:rPr>
                <w:color w:val="auto"/>
              </w:rPr>
            </w:pPr>
            <w:r>
              <w:rPr>
                <w:rFonts w:hint="eastAsia"/>
                <w:color w:val="auto"/>
              </w:rPr>
              <w:t>（2）</w:t>
            </w:r>
            <w:r>
              <w:rPr>
                <w:color w:val="auto"/>
              </w:rPr>
              <w:t>措施可行性分析</w:t>
            </w:r>
          </w:p>
          <w:p>
            <w:pPr>
              <w:ind w:firstLine="480"/>
              <w:rPr>
                <w:color w:val="auto"/>
              </w:rPr>
            </w:pPr>
            <w:r>
              <w:rPr>
                <w:rFonts w:hint="eastAsia"/>
                <w:color w:val="auto"/>
              </w:rPr>
              <w:t>本项目得生产废水排入厂区污水处理站，现有1座污水处理站，处理工艺为“二级A/O+MBR”生化处理工艺，目前正常运行。</w:t>
            </w:r>
          </w:p>
          <w:p>
            <w:pPr>
              <w:ind w:firstLine="480"/>
              <w:rPr>
                <w:color w:val="auto"/>
              </w:rPr>
            </w:pPr>
            <w:r>
              <w:rPr>
                <w:rFonts w:hint="eastAsia"/>
                <w:color w:val="auto"/>
              </w:rPr>
              <w:t>根据建设单位提供资料，本项目厂区污水处理站采取的“二级A/O+MBR”生化处理工艺属于《排污许可证申请与核发技术规范 锅炉》（HJ953-2018）中“表9 锅炉废水污染防治可行技术”，因此企业采取的综合废水处理措施可行。现有项目+在建项目综合废水总产生量约为9.160m</w:t>
            </w:r>
            <w:r>
              <w:rPr>
                <w:rFonts w:hint="eastAsia"/>
                <w:color w:val="auto"/>
                <w:vertAlign w:val="superscript"/>
              </w:rPr>
              <w:t>3</w:t>
            </w:r>
            <w:r>
              <w:rPr>
                <w:rFonts w:hint="eastAsia"/>
                <w:color w:val="auto"/>
              </w:rPr>
              <w:t>/h，本项目建成后综合废水产生量较现有项目增加约0.595m</w:t>
            </w:r>
            <w:r>
              <w:rPr>
                <w:rFonts w:hint="eastAsia"/>
                <w:color w:val="auto"/>
                <w:vertAlign w:val="superscript"/>
              </w:rPr>
              <w:t>3</w:t>
            </w:r>
            <w:r>
              <w:rPr>
                <w:rFonts w:hint="eastAsia"/>
                <w:color w:val="auto"/>
              </w:rPr>
              <w:t>/h，项目建成后全厂综合废水排放量增加，无新增废水污染因子种类，可依托现有厂区总污水处理站处理。</w:t>
            </w:r>
          </w:p>
          <w:p>
            <w:pPr>
              <w:ind w:firstLine="480"/>
              <w:rPr>
                <w:color w:val="auto"/>
              </w:rPr>
            </w:pPr>
            <w:r>
              <w:rPr>
                <w:rFonts w:hint="eastAsia"/>
                <w:color w:val="auto"/>
              </w:rPr>
              <w:t>综上，本项目废水预处理措施可行，为技术规范中要求的可行技术。</w:t>
            </w:r>
          </w:p>
          <w:p>
            <w:pPr>
              <w:ind w:firstLine="240" w:firstLineChars="100"/>
              <w:rPr>
                <w:color w:val="auto"/>
              </w:rPr>
            </w:pPr>
            <w:r>
              <w:rPr>
                <w:rFonts w:hint="eastAsia"/>
                <w:color w:val="auto"/>
              </w:rPr>
              <w:t>（</w:t>
            </w:r>
            <w:r>
              <w:rPr>
                <w:color w:val="auto"/>
              </w:rPr>
              <w:t>3）自行监测要求</w:t>
            </w:r>
          </w:p>
          <w:p>
            <w:pPr>
              <w:ind w:firstLine="480"/>
              <w:rPr>
                <w:color w:val="auto"/>
              </w:rPr>
            </w:pPr>
            <w:r>
              <w:rPr>
                <w:rFonts w:hint="eastAsia"/>
                <w:color w:val="auto"/>
              </w:rPr>
              <w:t>建设单位应定期或不定期委托有检测资质单位对废水污染源进行监测。</w:t>
            </w:r>
          </w:p>
          <w:p>
            <w:pPr>
              <w:ind w:firstLine="0" w:firstLineChars="0"/>
              <w:rPr>
                <w:color w:val="auto"/>
              </w:rPr>
            </w:pPr>
            <w:r>
              <w:rPr>
                <w:rFonts w:hint="eastAsia"/>
                <w:b/>
                <w:bCs/>
                <w:color w:val="auto"/>
              </w:rPr>
              <w:t>3、</w:t>
            </w:r>
            <w:r>
              <w:rPr>
                <w:b/>
                <w:bCs/>
                <w:color w:val="auto"/>
              </w:rPr>
              <w:t>声环境影响分析和保护措施</w:t>
            </w:r>
          </w:p>
          <w:p>
            <w:pPr>
              <w:pStyle w:val="10"/>
              <w:ind w:left="0" w:leftChars="0" w:firstLine="480"/>
              <w:rPr>
                <w:color w:val="auto"/>
              </w:rPr>
            </w:pPr>
            <w:r>
              <w:rPr>
                <w:rFonts w:hint="eastAsia"/>
                <w:color w:val="auto"/>
              </w:rPr>
              <w:t>（1）噪声污染源</w:t>
            </w:r>
          </w:p>
          <w:p>
            <w:pPr>
              <w:ind w:firstLine="480"/>
              <w:rPr>
                <w:color w:val="auto"/>
              </w:rPr>
            </w:pPr>
            <w:r>
              <w:rPr>
                <w:rFonts w:hint="eastAsia"/>
                <w:color w:val="auto"/>
              </w:rPr>
              <w:t>本项目仅将涉及锅炉清洗线的配套辅助设备，因此本项目声源主要为水泵及环保风机。</w:t>
            </w:r>
            <w:r>
              <w:rPr>
                <w:color w:val="auto"/>
              </w:rPr>
              <w:t>类比同类项目，各噪声源的源强</w:t>
            </w:r>
            <w:r>
              <w:rPr>
                <w:rFonts w:hint="eastAsia"/>
                <w:color w:val="auto"/>
              </w:rPr>
              <w:t>、</w:t>
            </w:r>
            <w:r>
              <w:rPr>
                <w:color w:val="auto"/>
              </w:rPr>
              <w:t>排放特征及拟采取的降噪措施见表4-</w:t>
            </w:r>
            <w:r>
              <w:rPr>
                <w:rFonts w:hint="eastAsia"/>
                <w:color w:val="auto"/>
              </w:rPr>
              <w:t>11</w:t>
            </w:r>
            <w:r>
              <w:rPr>
                <w:color w:val="auto"/>
              </w:rPr>
              <w:t>。</w:t>
            </w:r>
          </w:p>
          <w:p>
            <w:pPr>
              <w:pStyle w:val="32"/>
              <w:rPr>
                <w:rFonts w:ascii="宋体" w:hAnsi="宋体" w:cs="宋体"/>
                <w:color w:val="auto"/>
                <w:lang w:bidi="ar"/>
              </w:rPr>
            </w:pPr>
          </w:p>
          <w:p>
            <w:pPr>
              <w:pStyle w:val="32"/>
              <w:rPr>
                <w:rFonts w:ascii="宋体" w:hAnsi="宋体" w:cs="宋体"/>
                <w:color w:val="auto"/>
                <w:lang w:bidi="ar"/>
              </w:rPr>
            </w:pPr>
          </w:p>
          <w:p>
            <w:pPr>
              <w:pStyle w:val="32"/>
              <w:rPr>
                <w:rFonts w:ascii="宋体" w:hAnsi="宋体" w:cs="宋体"/>
                <w:color w:val="auto"/>
                <w:lang w:bidi="ar"/>
              </w:rPr>
            </w:pPr>
          </w:p>
          <w:p>
            <w:pPr>
              <w:pStyle w:val="32"/>
              <w:rPr>
                <w:rFonts w:ascii="宋体" w:hAnsi="宋体" w:cs="宋体"/>
                <w:color w:val="auto"/>
                <w:lang w:bidi="ar"/>
              </w:rPr>
            </w:pPr>
          </w:p>
          <w:p>
            <w:pPr>
              <w:pStyle w:val="32"/>
              <w:rPr>
                <w:rFonts w:ascii="宋体" w:hAnsi="宋体" w:cs="宋体"/>
                <w:color w:val="auto"/>
                <w:lang w:bidi="ar"/>
              </w:rPr>
            </w:pPr>
          </w:p>
          <w:p>
            <w:pPr>
              <w:pStyle w:val="32"/>
              <w:rPr>
                <w:rFonts w:ascii="宋体" w:hAnsi="宋体" w:cs="宋体"/>
                <w:color w:val="auto"/>
                <w:lang w:bidi="ar"/>
              </w:rPr>
            </w:pPr>
          </w:p>
          <w:p>
            <w:pPr>
              <w:pStyle w:val="32"/>
              <w:rPr>
                <w:color w:val="auto"/>
              </w:rPr>
            </w:pPr>
            <w:r>
              <w:rPr>
                <w:rFonts w:hint="eastAsia" w:ascii="宋体" w:hAnsi="宋体" w:cs="宋体"/>
                <w:color w:val="auto"/>
                <w:lang w:bidi="ar"/>
              </w:rPr>
              <w:t>表</w:t>
            </w:r>
            <w:r>
              <w:rPr>
                <w:color w:val="auto"/>
                <w:lang w:bidi="ar"/>
              </w:rPr>
              <w:t>4-</w:t>
            </w:r>
            <w:r>
              <w:rPr>
                <w:rFonts w:hint="eastAsia"/>
                <w:color w:val="auto"/>
                <w:lang w:bidi="ar"/>
              </w:rPr>
              <w:t xml:space="preserve">11  </w:t>
            </w:r>
            <w:r>
              <w:rPr>
                <w:rFonts w:hint="eastAsia"/>
                <w:color w:val="auto"/>
              </w:rPr>
              <w:t>项目噪声源强调查清单（室内声源）</w:t>
            </w:r>
          </w:p>
          <w:p>
            <w:pPr>
              <w:adjustRightInd w:val="0"/>
              <w:snapToGrid w:val="0"/>
              <w:spacing w:line="240" w:lineRule="auto"/>
              <w:ind w:firstLine="0" w:firstLineChars="0"/>
              <w:rPr>
                <w:bCs/>
                <w:color w:val="auto"/>
                <w:spacing w:val="-10"/>
                <w:szCs w:val="21"/>
              </w:rPr>
            </w:pPr>
          </w:p>
          <w:tbl>
            <w:tblPr>
              <w:tblStyle w:val="22"/>
              <w:tblpPr w:leftFromText="180" w:rightFromText="180" w:vertAnchor="text" w:horzAnchor="page" w:tblpXSpec="center" w:tblpY="-4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1"/>
              <w:gridCol w:w="485"/>
              <w:gridCol w:w="500"/>
              <w:gridCol w:w="441"/>
              <w:gridCol w:w="664"/>
              <w:gridCol w:w="681"/>
              <w:gridCol w:w="536"/>
              <w:gridCol w:w="541"/>
              <w:gridCol w:w="900"/>
              <w:gridCol w:w="470"/>
              <w:gridCol w:w="914"/>
              <w:gridCol w:w="881"/>
              <w:gridCol w:w="16"/>
              <w:gridCol w:w="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exact"/>
              </w:trPr>
              <w:tc>
                <w:tcPr>
                  <w:tcW w:w="0" w:type="auto"/>
                  <w:vMerge w:val="restart"/>
                  <w:vAlign w:val="center"/>
                </w:tcPr>
                <w:p>
                  <w:pPr>
                    <w:spacing w:line="240" w:lineRule="auto"/>
                    <w:ind w:firstLine="0" w:firstLineChars="0"/>
                    <w:jc w:val="center"/>
                    <w:rPr>
                      <w:bCs/>
                      <w:color w:val="auto"/>
                      <w:sz w:val="21"/>
                      <w:szCs w:val="21"/>
                    </w:rPr>
                  </w:pPr>
                  <w:bookmarkStart w:id="8" w:name="PT_6"/>
                  <w:r>
                    <w:rPr>
                      <w:bCs/>
                      <w:color w:val="auto"/>
                      <w:sz w:val="21"/>
                      <w:szCs w:val="21"/>
                    </w:rPr>
                    <w:t>序号</w:t>
                  </w:r>
                </w:p>
              </w:tc>
              <w:tc>
                <w:tcPr>
                  <w:tcW w:w="0" w:type="auto"/>
                  <w:vMerge w:val="restart"/>
                  <w:vAlign w:val="center"/>
                </w:tcPr>
                <w:p>
                  <w:pPr>
                    <w:spacing w:line="240" w:lineRule="auto"/>
                    <w:ind w:firstLine="0" w:firstLineChars="0"/>
                    <w:jc w:val="center"/>
                    <w:rPr>
                      <w:bCs/>
                      <w:color w:val="auto"/>
                      <w:sz w:val="21"/>
                      <w:szCs w:val="21"/>
                    </w:rPr>
                  </w:pPr>
                  <w:r>
                    <w:rPr>
                      <w:bCs/>
                      <w:color w:val="auto"/>
                      <w:sz w:val="21"/>
                      <w:szCs w:val="21"/>
                    </w:rPr>
                    <w:t>建筑物名称</w:t>
                  </w:r>
                </w:p>
              </w:tc>
              <w:tc>
                <w:tcPr>
                  <w:tcW w:w="0" w:type="auto"/>
                  <w:vMerge w:val="restart"/>
                  <w:vAlign w:val="center"/>
                </w:tcPr>
                <w:p>
                  <w:pPr>
                    <w:spacing w:line="240" w:lineRule="auto"/>
                    <w:ind w:firstLine="0" w:firstLineChars="0"/>
                    <w:jc w:val="center"/>
                    <w:rPr>
                      <w:bCs/>
                      <w:color w:val="auto"/>
                      <w:sz w:val="21"/>
                      <w:szCs w:val="21"/>
                    </w:rPr>
                  </w:pPr>
                  <w:r>
                    <w:rPr>
                      <w:bCs/>
                      <w:color w:val="auto"/>
                      <w:sz w:val="21"/>
                      <w:szCs w:val="21"/>
                    </w:rPr>
                    <w:t>声源名称</w:t>
                  </w:r>
                </w:p>
              </w:tc>
              <w:tc>
                <w:tcPr>
                  <w:tcW w:w="0" w:type="auto"/>
                  <w:vMerge w:val="restart"/>
                  <w:vAlign w:val="center"/>
                </w:tcPr>
                <w:p>
                  <w:pPr>
                    <w:spacing w:line="240" w:lineRule="auto"/>
                    <w:ind w:firstLine="0" w:firstLineChars="0"/>
                    <w:jc w:val="center"/>
                    <w:rPr>
                      <w:bCs/>
                      <w:color w:val="auto"/>
                      <w:sz w:val="21"/>
                      <w:szCs w:val="21"/>
                    </w:rPr>
                  </w:pPr>
                  <w:r>
                    <w:rPr>
                      <w:bCs/>
                      <w:color w:val="auto"/>
                      <w:sz w:val="21"/>
                      <w:szCs w:val="21"/>
                    </w:rPr>
                    <w:t>型号</w:t>
                  </w:r>
                </w:p>
              </w:tc>
              <w:tc>
                <w:tcPr>
                  <w:tcW w:w="0" w:type="auto"/>
                  <w:vAlign w:val="center"/>
                </w:tcPr>
                <w:p>
                  <w:pPr>
                    <w:spacing w:line="240" w:lineRule="auto"/>
                    <w:ind w:firstLine="0" w:firstLineChars="0"/>
                    <w:jc w:val="center"/>
                    <w:rPr>
                      <w:bCs/>
                      <w:color w:val="auto"/>
                      <w:sz w:val="21"/>
                      <w:szCs w:val="21"/>
                    </w:rPr>
                  </w:pPr>
                  <w:r>
                    <w:rPr>
                      <w:bCs/>
                      <w:color w:val="auto"/>
                      <w:sz w:val="21"/>
                      <w:szCs w:val="21"/>
                    </w:rPr>
                    <w:t>声源源强</w:t>
                  </w:r>
                </w:p>
              </w:tc>
              <w:tc>
                <w:tcPr>
                  <w:tcW w:w="0" w:type="auto"/>
                  <w:vMerge w:val="restart"/>
                  <w:vAlign w:val="center"/>
                </w:tcPr>
                <w:p>
                  <w:pPr>
                    <w:spacing w:line="240" w:lineRule="auto"/>
                    <w:ind w:firstLine="0" w:firstLineChars="0"/>
                    <w:jc w:val="center"/>
                    <w:rPr>
                      <w:bCs/>
                      <w:color w:val="auto"/>
                      <w:sz w:val="21"/>
                      <w:szCs w:val="21"/>
                    </w:rPr>
                  </w:pPr>
                  <w:r>
                    <w:rPr>
                      <w:bCs/>
                      <w:color w:val="auto"/>
                      <w:sz w:val="21"/>
                      <w:szCs w:val="21"/>
                    </w:rPr>
                    <w:t>声源控制措施</w:t>
                  </w:r>
                </w:p>
              </w:tc>
              <w:tc>
                <w:tcPr>
                  <w:tcW w:w="0" w:type="auto"/>
                  <w:vAlign w:val="center"/>
                </w:tcPr>
                <w:p>
                  <w:pPr>
                    <w:spacing w:line="240" w:lineRule="auto"/>
                    <w:ind w:firstLine="0" w:firstLineChars="0"/>
                    <w:jc w:val="center"/>
                    <w:rPr>
                      <w:bCs/>
                      <w:color w:val="auto"/>
                      <w:sz w:val="21"/>
                      <w:szCs w:val="21"/>
                    </w:rPr>
                  </w:pPr>
                  <w:r>
                    <w:rPr>
                      <w:bCs/>
                      <w:color w:val="auto"/>
                      <w:sz w:val="21"/>
                      <w:szCs w:val="21"/>
                    </w:rPr>
                    <w:t>空间相对位置/m</w:t>
                  </w:r>
                </w:p>
              </w:tc>
              <w:tc>
                <w:tcPr>
                  <w:tcW w:w="0" w:type="auto"/>
                  <w:vAlign w:val="center"/>
                </w:tcPr>
                <w:p>
                  <w:pPr>
                    <w:spacing w:line="240" w:lineRule="auto"/>
                    <w:ind w:firstLine="0" w:firstLineChars="0"/>
                    <w:jc w:val="center"/>
                    <w:rPr>
                      <w:bCs/>
                      <w:color w:val="auto"/>
                      <w:sz w:val="21"/>
                      <w:szCs w:val="21"/>
                    </w:rPr>
                  </w:pPr>
                  <w:r>
                    <w:rPr>
                      <w:bCs/>
                      <w:color w:val="auto"/>
                      <w:sz w:val="21"/>
                      <w:szCs w:val="21"/>
                    </w:rPr>
                    <w:t>距室内边界距离/m</w:t>
                  </w:r>
                </w:p>
              </w:tc>
              <w:tc>
                <w:tcPr>
                  <w:tcW w:w="0" w:type="auto"/>
                  <w:vAlign w:val="center"/>
                </w:tcPr>
                <w:p>
                  <w:pPr>
                    <w:spacing w:line="240" w:lineRule="auto"/>
                    <w:ind w:firstLine="0" w:firstLineChars="0"/>
                    <w:jc w:val="center"/>
                    <w:rPr>
                      <w:bCs/>
                      <w:color w:val="auto"/>
                      <w:sz w:val="21"/>
                      <w:szCs w:val="21"/>
                    </w:rPr>
                  </w:pPr>
                  <w:r>
                    <w:rPr>
                      <w:bCs/>
                      <w:color w:val="auto"/>
                      <w:sz w:val="21"/>
                      <w:szCs w:val="21"/>
                    </w:rPr>
                    <w:t>室内边界声级/dB(A)</w:t>
                  </w:r>
                </w:p>
              </w:tc>
              <w:tc>
                <w:tcPr>
                  <w:tcW w:w="0" w:type="auto"/>
                  <w:vMerge w:val="restart"/>
                  <w:vAlign w:val="center"/>
                </w:tcPr>
                <w:p>
                  <w:pPr>
                    <w:spacing w:line="240" w:lineRule="auto"/>
                    <w:ind w:firstLine="0" w:firstLineChars="0"/>
                    <w:jc w:val="center"/>
                    <w:rPr>
                      <w:bCs/>
                      <w:color w:val="auto"/>
                      <w:sz w:val="21"/>
                      <w:szCs w:val="21"/>
                    </w:rPr>
                  </w:pPr>
                  <w:r>
                    <w:rPr>
                      <w:bCs/>
                      <w:color w:val="auto"/>
                      <w:sz w:val="21"/>
                      <w:szCs w:val="21"/>
                    </w:rPr>
                    <w:t>运行时段</w:t>
                  </w:r>
                </w:p>
              </w:tc>
              <w:tc>
                <w:tcPr>
                  <w:tcW w:w="0" w:type="auto"/>
                  <w:vAlign w:val="center"/>
                </w:tcPr>
                <w:p>
                  <w:pPr>
                    <w:spacing w:line="240" w:lineRule="auto"/>
                    <w:ind w:firstLine="0" w:firstLineChars="0"/>
                    <w:jc w:val="center"/>
                    <w:rPr>
                      <w:bCs/>
                      <w:color w:val="auto"/>
                      <w:sz w:val="21"/>
                      <w:szCs w:val="21"/>
                    </w:rPr>
                  </w:pPr>
                  <w:r>
                    <w:rPr>
                      <w:bCs/>
                      <w:color w:val="auto"/>
                      <w:sz w:val="21"/>
                      <w:szCs w:val="21"/>
                    </w:rPr>
                    <w:t>建筑物插入损失</w:t>
                  </w:r>
                  <w:r>
                    <w:rPr>
                      <w:rFonts w:hint="eastAsia"/>
                      <w:bCs/>
                      <w:color w:val="auto"/>
                      <w:sz w:val="21"/>
                      <w:szCs w:val="21"/>
                    </w:rPr>
                    <w:t>/</w:t>
                  </w:r>
                  <w:r>
                    <w:rPr>
                      <w:bCs/>
                      <w:color w:val="auto"/>
                      <w:sz w:val="21"/>
                      <w:szCs w:val="21"/>
                    </w:rPr>
                    <w:t>dB(A)</w:t>
                  </w:r>
                  <w:bookmarkStart w:id="9" w:name="PT_10"/>
                  <w:bookmarkEnd w:id="9"/>
                </w:p>
              </w:tc>
              <w:tc>
                <w:tcPr>
                  <w:tcW w:w="1267" w:type="dxa"/>
                  <w:gridSpan w:val="3"/>
                  <w:vAlign w:val="center"/>
                </w:tcPr>
                <w:p>
                  <w:pPr>
                    <w:spacing w:line="240" w:lineRule="auto"/>
                    <w:ind w:firstLine="0" w:firstLineChars="0"/>
                    <w:jc w:val="center"/>
                    <w:rPr>
                      <w:bCs/>
                      <w:color w:val="auto"/>
                      <w:sz w:val="21"/>
                      <w:szCs w:val="21"/>
                    </w:rPr>
                  </w:pPr>
                  <w:r>
                    <w:rPr>
                      <w:bCs/>
                      <w:color w:val="auto"/>
                      <w:sz w:val="21"/>
                      <w:szCs w:val="21"/>
                    </w:rPr>
                    <w:t>建筑物外噪声声压级/dB(A)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0" w:type="auto"/>
                  <w:vMerge w:val="continue"/>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c>
                <w:tcPr>
                  <w:tcW w:w="0" w:type="auto"/>
                  <w:vMerge w:val="continue"/>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c>
                <w:tcPr>
                  <w:tcW w:w="0" w:type="auto"/>
                  <w:vMerge w:val="continue"/>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c>
                <w:tcPr>
                  <w:tcW w:w="0" w:type="auto"/>
                  <w:vMerge w:val="continue"/>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声功率级/dB(A)</w:t>
                  </w:r>
                </w:p>
              </w:tc>
              <w:tc>
                <w:tcPr>
                  <w:tcW w:w="0" w:type="auto"/>
                  <w:vMerge w:val="continue"/>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X</w:t>
                  </w:r>
                </w:p>
                <w:p>
                  <w:pPr>
                    <w:spacing w:line="240" w:lineRule="auto"/>
                    <w:ind w:firstLine="0" w:firstLineChars="0"/>
                    <w:jc w:val="center"/>
                    <w:rPr>
                      <w:bCs/>
                      <w:color w:val="auto"/>
                      <w:sz w:val="21"/>
                      <w:szCs w:val="21"/>
                    </w:rPr>
                  </w:pPr>
                  <w:r>
                    <w:rPr>
                      <w:bCs/>
                      <w:color w:val="auto"/>
                      <w:sz w:val="21"/>
                      <w:szCs w:val="21"/>
                    </w:rPr>
                    <w:t>Y</w:t>
                  </w:r>
                </w:p>
                <w:p>
                  <w:pPr>
                    <w:spacing w:line="240" w:lineRule="auto"/>
                    <w:ind w:firstLine="0" w:firstLineChars="0"/>
                    <w:jc w:val="center"/>
                    <w:rPr>
                      <w:bCs/>
                      <w:color w:val="auto"/>
                      <w:sz w:val="21"/>
                      <w:szCs w:val="21"/>
                    </w:rPr>
                  </w:pPr>
                  <w:r>
                    <w:rPr>
                      <w:bCs/>
                      <w:color w:val="auto"/>
                      <w:sz w:val="21"/>
                      <w:szCs w:val="21"/>
                    </w:rPr>
                    <w:t>Z</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东</w:t>
                  </w:r>
                </w:p>
                <w:p>
                  <w:pPr>
                    <w:spacing w:line="240" w:lineRule="auto"/>
                    <w:ind w:firstLine="0" w:firstLineChars="0"/>
                    <w:jc w:val="center"/>
                    <w:rPr>
                      <w:bCs/>
                      <w:color w:val="auto"/>
                      <w:sz w:val="21"/>
                      <w:szCs w:val="21"/>
                    </w:rPr>
                  </w:pPr>
                  <w:r>
                    <w:rPr>
                      <w:bCs/>
                      <w:color w:val="auto"/>
                      <w:sz w:val="21"/>
                      <w:szCs w:val="21"/>
                    </w:rPr>
                    <w:t>南</w:t>
                  </w:r>
                </w:p>
                <w:p>
                  <w:pPr>
                    <w:spacing w:line="240" w:lineRule="auto"/>
                    <w:ind w:firstLine="0" w:firstLineChars="0"/>
                    <w:jc w:val="center"/>
                    <w:rPr>
                      <w:bCs/>
                      <w:color w:val="auto"/>
                      <w:sz w:val="21"/>
                      <w:szCs w:val="21"/>
                    </w:rPr>
                  </w:pPr>
                  <w:r>
                    <w:rPr>
                      <w:bCs/>
                      <w:color w:val="auto"/>
                      <w:sz w:val="21"/>
                      <w:szCs w:val="21"/>
                    </w:rPr>
                    <w:t>西</w:t>
                  </w:r>
                </w:p>
                <w:p>
                  <w:pPr>
                    <w:spacing w:line="240" w:lineRule="auto"/>
                    <w:ind w:firstLine="0" w:firstLineChars="0"/>
                    <w:jc w:val="center"/>
                    <w:rPr>
                      <w:bCs/>
                      <w:color w:val="auto"/>
                      <w:sz w:val="21"/>
                      <w:szCs w:val="21"/>
                    </w:rPr>
                  </w:pPr>
                  <w:r>
                    <w:rPr>
                      <w:bCs/>
                      <w:color w:val="auto"/>
                      <w:sz w:val="21"/>
                      <w:szCs w:val="21"/>
                    </w:rPr>
                    <w:t>北</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东</w:t>
                  </w:r>
                </w:p>
                <w:p>
                  <w:pPr>
                    <w:spacing w:line="240" w:lineRule="auto"/>
                    <w:ind w:firstLine="0" w:firstLineChars="0"/>
                    <w:jc w:val="center"/>
                    <w:rPr>
                      <w:bCs/>
                      <w:color w:val="auto"/>
                      <w:sz w:val="21"/>
                      <w:szCs w:val="21"/>
                    </w:rPr>
                  </w:pPr>
                  <w:r>
                    <w:rPr>
                      <w:bCs/>
                      <w:color w:val="auto"/>
                      <w:sz w:val="21"/>
                      <w:szCs w:val="21"/>
                    </w:rPr>
                    <w:t>南</w:t>
                  </w:r>
                </w:p>
                <w:p>
                  <w:pPr>
                    <w:spacing w:line="240" w:lineRule="auto"/>
                    <w:ind w:firstLine="0" w:firstLineChars="0"/>
                    <w:jc w:val="center"/>
                    <w:rPr>
                      <w:bCs/>
                      <w:color w:val="auto"/>
                      <w:sz w:val="21"/>
                      <w:szCs w:val="21"/>
                    </w:rPr>
                  </w:pPr>
                  <w:r>
                    <w:rPr>
                      <w:bCs/>
                      <w:color w:val="auto"/>
                      <w:sz w:val="21"/>
                      <w:szCs w:val="21"/>
                    </w:rPr>
                    <w:t>西</w:t>
                  </w:r>
                </w:p>
                <w:p>
                  <w:pPr>
                    <w:spacing w:line="240" w:lineRule="auto"/>
                    <w:ind w:firstLine="0" w:firstLineChars="0"/>
                    <w:jc w:val="center"/>
                    <w:rPr>
                      <w:bCs/>
                      <w:color w:val="auto"/>
                      <w:sz w:val="21"/>
                      <w:szCs w:val="21"/>
                    </w:rPr>
                  </w:pPr>
                  <w:r>
                    <w:rPr>
                      <w:bCs/>
                      <w:color w:val="auto"/>
                      <w:sz w:val="21"/>
                      <w:szCs w:val="21"/>
                    </w:rPr>
                    <w:t>北</w:t>
                  </w:r>
                </w:p>
              </w:tc>
              <w:tc>
                <w:tcPr>
                  <w:tcW w:w="0" w:type="auto"/>
                  <w:vMerge w:val="continue"/>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东</w:t>
                  </w:r>
                </w:p>
                <w:p>
                  <w:pPr>
                    <w:spacing w:line="240" w:lineRule="auto"/>
                    <w:ind w:firstLine="0" w:firstLineChars="0"/>
                    <w:jc w:val="center"/>
                    <w:rPr>
                      <w:bCs/>
                      <w:color w:val="auto"/>
                      <w:sz w:val="21"/>
                      <w:szCs w:val="21"/>
                    </w:rPr>
                  </w:pPr>
                  <w:r>
                    <w:rPr>
                      <w:bCs/>
                      <w:color w:val="auto"/>
                      <w:sz w:val="21"/>
                      <w:szCs w:val="21"/>
                    </w:rPr>
                    <w:t>南</w:t>
                  </w:r>
                </w:p>
                <w:p>
                  <w:pPr>
                    <w:spacing w:line="240" w:lineRule="auto"/>
                    <w:ind w:firstLine="0" w:firstLineChars="0"/>
                    <w:jc w:val="center"/>
                    <w:rPr>
                      <w:bCs/>
                      <w:color w:val="auto"/>
                      <w:sz w:val="21"/>
                      <w:szCs w:val="21"/>
                    </w:rPr>
                  </w:pPr>
                  <w:r>
                    <w:rPr>
                      <w:bCs/>
                      <w:color w:val="auto"/>
                      <w:sz w:val="21"/>
                      <w:szCs w:val="21"/>
                    </w:rPr>
                    <w:t>西</w:t>
                  </w:r>
                </w:p>
                <w:p>
                  <w:pPr>
                    <w:spacing w:line="240" w:lineRule="auto"/>
                    <w:ind w:firstLine="0" w:firstLineChars="0"/>
                    <w:jc w:val="center"/>
                    <w:rPr>
                      <w:bCs/>
                      <w:color w:val="auto"/>
                      <w:sz w:val="21"/>
                      <w:szCs w:val="21"/>
                    </w:rPr>
                  </w:pPr>
                  <w:r>
                    <w:rPr>
                      <w:bCs/>
                      <w:color w:val="auto"/>
                      <w:sz w:val="21"/>
                      <w:szCs w:val="21"/>
                    </w:rPr>
                    <w:t>北</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东</w:t>
                  </w:r>
                </w:p>
                <w:p>
                  <w:pPr>
                    <w:spacing w:line="240" w:lineRule="auto"/>
                    <w:ind w:firstLine="0" w:firstLineChars="0"/>
                    <w:jc w:val="center"/>
                    <w:rPr>
                      <w:bCs/>
                      <w:color w:val="auto"/>
                      <w:sz w:val="21"/>
                      <w:szCs w:val="21"/>
                    </w:rPr>
                  </w:pPr>
                  <w:r>
                    <w:rPr>
                      <w:bCs/>
                      <w:color w:val="auto"/>
                      <w:sz w:val="21"/>
                      <w:szCs w:val="21"/>
                    </w:rPr>
                    <w:t>南</w:t>
                  </w:r>
                </w:p>
                <w:p>
                  <w:pPr>
                    <w:spacing w:line="240" w:lineRule="auto"/>
                    <w:ind w:firstLine="0" w:firstLineChars="0"/>
                    <w:jc w:val="center"/>
                    <w:rPr>
                      <w:bCs/>
                      <w:color w:val="auto"/>
                      <w:sz w:val="21"/>
                      <w:szCs w:val="21"/>
                    </w:rPr>
                  </w:pPr>
                  <w:r>
                    <w:rPr>
                      <w:bCs/>
                      <w:color w:val="auto"/>
                      <w:sz w:val="21"/>
                      <w:szCs w:val="21"/>
                    </w:rPr>
                    <w:t>西</w:t>
                  </w:r>
                </w:p>
                <w:p>
                  <w:pPr>
                    <w:spacing w:line="240" w:lineRule="auto"/>
                    <w:ind w:firstLine="0" w:firstLineChars="0"/>
                    <w:jc w:val="center"/>
                    <w:rPr>
                      <w:bCs/>
                      <w:color w:val="auto"/>
                      <w:sz w:val="21"/>
                      <w:szCs w:val="21"/>
                    </w:rPr>
                  </w:pPr>
                  <w:r>
                    <w:rPr>
                      <w:bCs/>
                      <w:color w:val="auto"/>
                      <w:sz w:val="21"/>
                      <w:szCs w:val="21"/>
                    </w:rPr>
                    <w:t>北</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1</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color w:val="auto"/>
                      <w:sz w:val="21"/>
                      <w:szCs w:val="21"/>
                    </w:rPr>
                    <w:t>锅炉房</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rFonts w:hint="eastAsia"/>
                      <w:color w:val="auto"/>
                      <w:sz w:val="21"/>
                      <w:szCs w:val="21"/>
                    </w:rPr>
                    <w:t>沼气</w:t>
                  </w:r>
                  <w:r>
                    <w:rPr>
                      <w:color w:val="auto"/>
                      <w:sz w:val="21"/>
                      <w:szCs w:val="21"/>
                    </w:rPr>
                    <w:t>锅炉</w:t>
                  </w:r>
                  <w:r>
                    <w:rPr>
                      <w:bCs/>
                      <w:color w:val="auto"/>
                      <w:sz w:val="21"/>
                      <w:szCs w:val="21"/>
                    </w:rPr>
                    <w:t>风机</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73</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选用低噪声设备、合理布局、减震、隔声等</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16.1</w:t>
                  </w:r>
                </w:p>
                <w:p>
                  <w:pPr>
                    <w:spacing w:line="240" w:lineRule="auto"/>
                    <w:ind w:firstLine="0" w:firstLineChars="0"/>
                    <w:jc w:val="center"/>
                    <w:rPr>
                      <w:bCs/>
                      <w:color w:val="auto"/>
                      <w:sz w:val="21"/>
                      <w:szCs w:val="21"/>
                    </w:rPr>
                  </w:pPr>
                  <w:r>
                    <w:rPr>
                      <w:bCs/>
                      <w:color w:val="auto"/>
                      <w:sz w:val="21"/>
                      <w:szCs w:val="21"/>
                    </w:rPr>
                    <w:t>-60</w:t>
                  </w:r>
                </w:p>
                <w:p>
                  <w:pPr>
                    <w:spacing w:line="240" w:lineRule="auto"/>
                    <w:ind w:firstLine="0" w:firstLineChars="0"/>
                    <w:jc w:val="center"/>
                    <w:rPr>
                      <w:bCs/>
                      <w:color w:val="auto"/>
                      <w:sz w:val="21"/>
                      <w:szCs w:val="21"/>
                    </w:rPr>
                  </w:pPr>
                  <w:r>
                    <w:rPr>
                      <w:bCs/>
                      <w:color w:val="auto"/>
                      <w:sz w:val="21"/>
                      <w:szCs w:val="21"/>
                    </w:rPr>
                    <w:t>1.2</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14.5</w:t>
                  </w:r>
                </w:p>
                <w:p>
                  <w:pPr>
                    <w:spacing w:line="240" w:lineRule="auto"/>
                    <w:ind w:firstLine="0" w:firstLineChars="0"/>
                    <w:jc w:val="center"/>
                    <w:rPr>
                      <w:bCs/>
                      <w:color w:val="auto"/>
                      <w:sz w:val="21"/>
                      <w:szCs w:val="21"/>
                    </w:rPr>
                  </w:pPr>
                  <w:r>
                    <w:rPr>
                      <w:bCs/>
                      <w:color w:val="auto"/>
                      <w:sz w:val="21"/>
                      <w:szCs w:val="21"/>
                    </w:rPr>
                    <w:t>2.7</w:t>
                  </w:r>
                </w:p>
                <w:p>
                  <w:pPr>
                    <w:spacing w:line="240" w:lineRule="auto"/>
                    <w:ind w:firstLine="0" w:firstLineChars="0"/>
                    <w:jc w:val="center"/>
                    <w:rPr>
                      <w:bCs/>
                      <w:color w:val="auto"/>
                      <w:sz w:val="21"/>
                      <w:szCs w:val="21"/>
                    </w:rPr>
                  </w:pPr>
                  <w:r>
                    <w:rPr>
                      <w:bCs/>
                      <w:color w:val="auto"/>
                      <w:sz w:val="21"/>
                      <w:szCs w:val="21"/>
                    </w:rPr>
                    <w:t>6.8</w:t>
                  </w:r>
                </w:p>
                <w:p>
                  <w:pPr>
                    <w:spacing w:line="240" w:lineRule="auto"/>
                    <w:ind w:firstLine="0" w:firstLineChars="0"/>
                    <w:jc w:val="center"/>
                    <w:rPr>
                      <w:bCs/>
                      <w:color w:val="auto"/>
                      <w:sz w:val="21"/>
                      <w:szCs w:val="21"/>
                    </w:rPr>
                  </w:pPr>
                  <w:r>
                    <w:rPr>
                      <w:bCs/>
                      <w:color w:val="auto"/>
                      <w:sz w:val="21"/>
                      <w:szCs w:val="21"/>
                    </w:rPr>
                    <w:t>10.4</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64.7</w:t>
                  </w:r>
                </w:p>
                <w:p>
                  <w:pPr>
                    <w:spacing w:line="240" w:lineRule="auto"/>
                    <w:ind w:firstLine="0" w:firstLineChars="0"/>
                    <w:jc w:val="center"/>
                    <w:rPr>
                      <w:bCs/>
                      <w:color w:val="auto"/>
                      <w:sz w:val="21"/>
                      <w:szCs w:val="21"/>
                    </w:rPr>
                  </w:pPr>
                  <w:r>
                    <w:rPr>
                      <w:bCs/>
                      <w:color w:val="auto"/>
                      <w:sz w:val="21"/>
                      <w:szCs w:val="21"/>
                    </w:rPr>
                    <w:t>65.0</w:t>
                  </w:r>
                </w:p>
                <w:p>
                  <w:pPr>
                    <w:spacing w:line="240" w:lineRule="auto"/>
                    <w:ind w:firstLine="0" w:firstLineChars="0"/>
                    <w:jc w:val="center"/>
                    <w:rPr>
                      <w:bCs/>
                      <w:color w:val="auto"/>
                      <w:sz w:val="21"/>
                      <w:szCs w:val="21"/>
                    </w:rPr>
                  </w:pPr>
                  <w:r>
                    <w:rPr>
                      <w:bCs/>
                      <w:color w:val="auto"/>
                      <w:sz w:val="21"/>
                      <w:szCs w:val="21"/>
                    </w:rPr>
                    <w:t>64.8</w:t>
                  </w:r>
                </w:p>
                <w:p>
                  <w:pPr>
                    <w:spacing w:line="240" w:lineRule="auto"/>
                    <w:ind w:firstLine="0" w:firstLineChars="0"/>
                    <w:jc w:val="center"/>
                    <w:rPr>
                      <w:bCs/>
                      <w:color w:val="auto"/>
                      <w:sz w:val="21"/>
                      <w:szCs w:val="21"/>
                    </w:rPr>
                  </w:pPr>
                  <w:r>
                    <w:rPr>
                      <w:bCs/>
                      <w:color w:val="auto"/>
                      <w:sz w:val="21"/>
                      <w:szCs w:val="21"/>
                    </w:rPr>
                    <w:t>64.8</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26.0</w:t>
                  </w:r>
                </w:p>
                <w:p>
                  <w:pPr>
                    <w:spacing w:line="240" w:lineRule="auto"/>
                    <w:ind w:firstLine="0" w:firstLineChars="0"/>
                    <w:jc w:val="center"/>
                    <w:rPr>
                      <w:bCs/>
                      <w:color w:val="auto"/>
                      <w:sz w:val="21"/>
                      <w:szCs w:val="21"/>
                    </w:rPr>
                  </w:pPr>
                  <w:r>
                    <w:rPr>
                      <w:bCs/>
                      <w:color w:val="auto"/>
                      <w:sz w:val="21"/>
                      <w:szCs w:val="21"/>
                    </w:rPr>
                    <w:t>26.0</w:t>
                  </w:r>
                </w:p>
                <w:p>
                  <w:pPr>
                    <w:spacing w:line="240" w:lineRule="auto"/>
                    <w:ind w:firstLine="0" w:firstLineChars="0"/>
                    <w:jc w:val="center"/>
                    <w:rPr>
                      <w:bCs/>
                      <w:color w:val="auto"/>
                      <w:sz w:val="21"/>
                      <w:szCs w:val="21"/>
                    </w:rPr>
                  </w:pPr>
                  <w:r>
                    <w:rPr>
                      <w:bCs/>
                      <w:color w:val="auto"/>
                      <w:sz w:val="21"/>
                      <w:szCs w:val="21"/>
                    </w:rPr>
                    <w:t>26.0</w:t>
                  </w:r>
                </w:p>
                <w:p>
                  <w:pPr>
                    <w:spacing w:line="240" w:lineRule="auto"/>
                    <w:ind w:firstLine="0" w:firstLineChars="0"/>
                    <w:jc w:val="center"/>
                    <w:rPr>
                      <w:bCs/>
                      <w:color w:val="auto"/>
                      <w:sz w:val="21"/>
                      <w:szCs w:val="21"/>
                    </w:rPr>
                  </w:pPr>
                  <w:r>
                    <w:rPr>
                      <w:bCs/>
                      <w:color w:val="auto"/>
                      <w:sz w:val="21"/>
                      <w:szCs w:val="21"/>
                    </w:rPr>
                    <w:t>26.0</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38.7</w:t>
                  </w:r>
                </w:p>
                <w:p>
                  <w:pPr>
                    <w:spacing w:line="240" w:lineRule="auto"/>
                    <w:ind w:firstLine="0" w:firstLineChars="0"/>
                    <w:jc w:val="center"/>
                    <w:rPr>
                      <w:bCs/>
                      <w:color w:val="auto"/>
                      <w:sz w:val="21"/>
                      <w:szCs w:val="21"/>
                    </w:rPr>
                  </w:pPr>
                  <w:r>
                    <w:rPr>
                      <w:bCs/>
                      <w:color w:val="auto"/>
                      <w:sz w:val="21"/>
                      <w:szCs w:val="21"/>
                    </w:rPr>
                    <w:t>39.0</w:t>
                  </w:r>
                </w:p>
                <w:p>
                  <w:pPr>
                    <w:spacing w:line="240" w:lineRule="auto"/>
                    <w:ind w:firstLine="0" w:firstLineChars="0"/>
                    <w:jc w:val="center"/>
                    <w:rPr>
                      <w:bCs/>
                      <w:color w:val="auto"/>
                      <w:sz w:val="21"/>
                      <w:szCs w:val="21"/>
                    </w:rPr>
                  </w:pPr>
                  <w:r>
                    <w:rPr>
                      <w:bCs/>
                      <w:color w:val="auto"/>
                      <w:sz w:val="21"/>
                      <w:szCs w:val="21"/>
                    </w:rPr>
                    <w:t>38.8</w:t>
                  </w:r>
                </w:p>
                <w:p>
                  <w:pPr>
                    <w:spacing w:line="240" w:lineRule="auto"/>
                    <w:ind w:firstLine="0" w:firstLineChars="0"/>
                    <w:jc w:val="center"/>
                    <w:rPr>
                      <w:bCs/>
                      <w:color w:val="auto"/>
                      <w:sz w:val="21"/>
                      <w:szCs w:val="21"/>
                    </w:rPr>
                  </w:pPr>
                  <w:r>
                    <w:rPr>
                      <w:bCs/>
                      <w:color w:val="auto"/>
                      <w:sz w:val="21"/>
                      <w:szCs w:val="21"/>
                    </w:rPr>
                    <w:t>38.8</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2</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color w:val="auto"/>
                      <w:sz w:val="21"/>
                      <w:szCs w:val="21"/>
                    </w:rPr>
                    <w:t>锅炉房</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rFonts w:hint="eastAsia"/>
                      <w:color w:val="auto"/>
                      <w:sz w:val="21"/>
                      <w:szCs w:val="21"/>
                    </w:rPr>
                    <w:t>沼气</w:t>
                  </w:r>
                  <w:r>
                    <w:rPr>
                      <w:color w:val="auto"/>
                      <w:sz w:val="21"/>
                      <w:szCs w:val="21"/>
                    </w:rPr>
                    <w:t>锅炉</w:t>
                  </w:r>
                  <w:r>
                    <w:rPr>
                      <w:color w:val="auto"/>
                      <w:sz w:val="21"/>
                      <w:szCs w:val="21"/>
                    </w:rPr>
                    <w:br w:type="textWrapping"/>
                  </w:r>
                  <w:r>
                    <w:rPr>
                      <w:rFonts w:hint="eastAsia"/>
                      <w:color w:val="auto"/>
                      <w:sz w:val="21"/>
                      <w:szCs w:val="21"/>
                    </w:rPr>
                    <w:t>给水泵</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68</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选用低噪声设备、合理布局、减震、隔声等</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10.8</w:t>
                  </w:r>
                </w:p>
                <w:p>
                  <w:pPr>
                    <w:spacing w:line="240" w:lineRule="auto"/>
                    <w:ind w:firstLine="0" w:firstLineChars="0"/>
                    <w:jc w:val="center"/>
                    <w:rPr>
                      <w:bCs/>
                      <w:color w:val="auto"/>
                      <w:sz w:val="21"/>
                      <w:szCs w:val="21"/>
                    </w:rPr>
                  </w:pPr>
                  <w:r>
                    <w:rPr>
                      <w:bCs/>
                      <w:color w:val="auto"/>
                      <w:sz w:val="21"/>
                      <w:szCs w:val="21"/>
                    </w:rPr>
                    <w:t>-55.2</w:t>
                  </w:r>
                </w:p>
                <w:p>
                  <w:pPr>
                    <w:spacing w:line="240" w:lineRule="auto"/>
                    <w:ind w:firstLine="0" w:firstLineChars="0"/>
                    <w:jc w:val="center"/>
                    <w:rPr>
                      <w:bCs/>
                      <w:color w:val="auto"/>
                      <w:sz w:val="21"/>
                      <w:szCs w:val="21"/>
                    </w:rPr>
                  </w:pPr>
                  <w:r>
                    <w:rPr>
                      <w:bCs/>
                      <w:color w:val="auto"/>
                      <w:sz w:val="21"/>
                      <w:szCs w:val="21"/>
                    </w:rPr>
                    <w:t>1.2</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17.0</w:t>
                  </w:r>
                </w:p>
                <w:p>
                  <w:pPr>
                    <w:spacing w:line="240" w:lineRule="auto"/>
                    <w:ind w:firstLine="0" w:firstLineChars="0"/>
                    <w:jc w:val="center"/>
                    <w:rPr>
                      <w:bCs/>
                      <w:color w:val="auto"/>
                      <w:sz w:val="21"/>
                      <w:szCs w:val="21"/>
                    </w:rPr>
                  </w:pPr>
                  <w:r>
                    <w:rPr>
                      <w:bCs/>
                      <w:color w:val="auto"/>
                      <w:sz w:val="21"/>
                      <w:szCs w:val="21"/>
                    </w:rPr>
                    <w:t>9.0</w:t>
                  </w:r>
                </w:p>
                <w:p>
                  <w:pPr>
                    <w:spacing w:line="240" w:lineRule="auto"/>
                    <w:ind w:firstLine="0" w:firstLineChars="0"/>
                    <w:jc w:val="center"/>
                    <w:rPr>
                      <w:bCs/>
                      <w:color w:val="auto"/>
                      <w:sz w:val="21"/>
                      <w:szCs w:val="21"/>
                    </w:rPr>
                  </w:pPr>
                  <w:r>
                    <w:rPr>
                      <w:bCs/>
                      <w:color w:val="auto"/>
                      <w:sz w:val="21"/>
                      <w:szCs w:val="21"/>
                    </w:rPr>
                    <w:t>3.9</w:t>
                  </w:r>
                </w:p>
                <w:p>
                  <w:pPr>
                    <w:spacing w:line="240" w:lineRule="auto"/>
                    <w:ind w:firstLine="0" w:firstLineChars="0"/>
                    <w:jc w:val="center"/>
                    <w:rPr>
                      <w:bCs/>
                      <w:color w:val="auto"/>
                      <w:sz w:val="21"/>
                      <w:szCs w:val="21"/>
                    </w:rPr>
                  </w:pPr>
                  <w:r>
                    <w:rPr>
                      <w:bCs/>
                      <w:color w:val="auto"/>
                      <w:sz w:val="21"/>
                      <w:szCs w:val="21"/>
                    </w:rPr>
                    <w:t>3.5</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59.7</w:t>
                  </w:r>
                </w:p>
                <w:p>
                  <w:pPr>
                    <w:spacing w:line="240" w:lineRule="auto"/>
                    <w:ind w:firstLine="0" w:firstLineChars="0"/>
                    <w:jc w:val="center"/>
                    <w:rPr>
                      <w:bCs/>
                      <w:color w:val="auto"/>
                      <w:sz w:val="21"/>
                      <w:szCs w:val="21"/>
                    </w:rPr>
                  </w:pPr>
                  <w:r>
                    <w:rPr>
                      <w:bCs/>
                      <w:color w:val="auto"/>
                      <w:sz w:val="21"/>
                      <w:szCs w:val="21"/>
                    </w:rPr>
                    <w:t>59.8</w:t>
                  </w:r>
                </w:p>
                <w:p>
                  <w:pPr>
                    <w:spacing w:line="240" w:lineRule="auto"/>
                    <w:ind w:firstLine="0" w:firstLineChars="0"/>
                    <w:jc w:val="center"/>
                    <w:rPr>
                      <w:bCs/>
                      <w:color w:val="auto"/>
                      <w:sz w:val="21"/>
                      <w:szCs w:val="21"/>
                    </w:rPr>
                  </w:pPr>
                  <w:r>
                    <w:rPr>
                      <w:bCs/>
                      <w:color w:val="auto"/>
                      <w:sz w:val="21"/>
                      <w:szCs w:val="21"/>
                    </w:rPr>
                    <w:t>59.9</w:t>
                  </w:r>
                </w:p>
                <w:p>
                  <w:pPr>
                    <w:spacing w:line="240" w:lineRule="auto"/>
                    <w:ind w:firstLine="0" w:firstLineChars="0"/>
                    <w:jc w:val="center"/>
                    <w:rPr>
                      <w:bCs/>
                      <w:color w:val="auto"/>
                      <w:sz w:val="21"/>
                      <w:szCs w:val="21"/>
                    </w:rPr>
                  </w:pPr>
                  <w:r>
                    <w:rPr>
                      <w:bCs/>
                      <w:color w:val="auto"/>
                      <w:sz w:val="21"/>
                      <w:szCs w:val="21"/>
                    </w:rPr>
                    <w:t>59.9</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26.0</w:t>
                  </w:r>
                </w:p>
                <w:p>
                  <w:pPr>
                    <w:spacing w:line="240" w:lineRule="auto"/>
                    <w:ind w:firstLine="0" w:firstLineChars="0"/>
                    <w:jc w:val="center"/>
                    <w:rPr>
                      <w:bCs/>
                      <w:color w:val="auto"/>
                      <w:sz w:val="21"/>
                      <w:szCs w:val="21"/>
                    </w:rPr>
                  </w:pPr>
                  <w:r>
                    <w:rPr>
                      <w:bCs/>
                      <w:color w:val="auto"/>
                      <w:sz w:val="21"/>
                      <w:szCs w:val="21"/>
                    </w:rPr>
                    <w:t>26.0</w:t>
                  </w:r>
                </w:p>
                <w:p>
                  <w:pPr>
                    <w:spacing w:line="240" w:lineRule="auto"/>
                    <w:ind w:firstLine="0" w:firstLineChars="0"/>
                    <w:jc w:val="center"/>
                    <w:rPr>
                      <w:bCs/>
                      <w:color w:val="auto"/>
                      <w:sz w:val="21"/>
                      <w:szCs w:val="21"/>
                    </w:rPr>
                  </w:pPr>
                  <w:r>
                    <w:rPr>
                      <w:bCs/>
                      <w:color w:val="auto"/>
                      <w:sz w:val="21"/>
                      <w:szCs w:val="21"/>
                    </w:rPr>
                    <w:t>26.0</w:t>
                  </w:r>
                </w:p>
                <w:p>
                  <w:pPr>
                    <w:spacing w:line="240" w:lineRule="auto"/>
                    <w:ind w:firstLine="0" w:firstLineChars="0"/>
                    <w:jc w:val="center"/>
                    <w:rPr>
                      <w:bCs/>
                      <w:color w:val="auto"/>
                      <w:sz w:val="21"/>
                      <w:szCs w:val="21"/>
                    </w:rPr>
                  </w:pPr>
                  <w:r>
                    <w:rPr>
                      <w:bCs/>
                      <w:color w:val="auto"/>
                      <w:sz w:val="21"/>
                      <w:szCs w:val="21"/>
                    </w:rPr>
                    <w:t>26.0</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33.7</w:t>
                  </w:r>
                </w:p>
                <w:p>
                  <w:pPr>
                    <w:spacing w:line="240" w:lineRule="auto"/>
                    <w:ind w:firstLine="0" w:firstLineChars="0"/>
                    <w:jc w:val="center"/>
                    <w:rPr>
                      <w:bCs/>
                      <w:color w:val="auto"/>
                      <w:sz w:val="21"/>
                      <w:szCs w:val="21"/>
                    </w:rPr>
                  </w:pPr>
                  <w:r>
                    <w:rPr>
                      <w:bCs/>
                      <w:color w:val="auto"/>
                      <w:sz w:val="21"/>
                      <w:szCs w:val="21"/>
                    </w:rPr>
                    <w:t>33.8</w:t>
                  </w:r>
                </w:p>
                <w:p>
                  <w:pPr>
                    <w:spacing w:line="240" w:lineRule="auto"/>
                    <w:ind w:firstLine="0" w:firstLineChars="0"/>
                    <w:jc w:val="center"/>
                    <w:rPr>
                      <w:bCs/>
                      <w:color w:val="auto"/>
                      <w:sz w:val="21"/>
                      <w:szCs w:val="21"/>
                    </w:rPr>
                  </w:pPr>
                  <w:r>
                    <w:rPr>
                      <w:bCs/>
                      <w:color w:val="auto"/>
                      <w:sz w:val="21"/>
                      <w:szCs w:val="21"/>
                    </w:rPr>
                    <w:t>33.9</w:t>
                  </w:r>
                </w:p>
                <w:p>
                  <w:pPr>
                    <w:spacing w:line="240" w:lineRule="auto"/>
                    <w:ind w:firstLine="0" w:firstLineChars="0"/>
                    <w:jc w:val="center"/>
                    <w:rPr>
                      <w:bCs/>
                      <w:color w:val="auto"/>
                      <w:sz w:val="21"/>
                      <w:szCs w:val="21"/>
                    </w:rPr>
                  </w:pPr>
                  <w:r>
                    <w:rPr>
                      <w:bCs/>
                      <w:color w:val="auto"/>
                      <w:sz w:val="21"/>
                      <w:szCs w:val="21"/>
                    </w:rPr>
                    <w:t>33.9</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3</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color w:val="auto"/>
                      <w:sz w:val="21"/>
                      <w:szCs w:val="21"/>
                    </w:rPr>
                    <w:t>锅炉房</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rFonts w:hint="eastAsia"/>
                      <w:color w:val="auto"/>
                      <w:sz w:val="21"/>
                      <w:szCs w:val="21"/>
                    </w:rPr>
                    <w:t>沼气</w:t>
                  </w:r>
                  <w:r>
                    <w:rPr>
                      <w:color w:val="auto"/>
                      <w:sz w:val="21"/>
                      <w:szCs w:val="21"/>
                    </w:rPr>
                    <w:t>锅炉</w:t>
                  </w:r>
                  <w:r>
                    <w:rPr>
                      <w:rFonts w:hint="eastAsia"/>
                      <w:bCs/>
                      <w:color w:val="auto"/>
                      <w:sz w:val="21"/>
                      <w:szCs w:val="21"/>
                    </w:rPr>
                    <w:t>燃烧</w:t>
                  </w:r>
                  <w:r>
                    <w:rPr>
                      <w:bCs/>
                      <w:color w:val="auto"/>
                      <w:sz w:val="21"/>
                      <w:szCs w:val="21"/>
                    </w:rPr>
                    <w:t>机</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70</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选用低噪声设备、合理布局、减震、隔声等</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19.9</w:t>
                  </w:r>
                </w:p>
                <w:p>
                  <w:pPr>
                    <w:spacing w:line="240" w:lineRule="auto"/>
                    <w:ind w:firstLine="0" w:firstLineChars="0"/>
                    <w:jc w:val="center"/>
                    <w:rPr>
                      <w:bCs/>
                      <w:color w:val="auto"/>
                      <w:sz w:val="21"/>
                      <w:szCs w:val="21"/>
                    </w:rPr>
                  </w:pPr>
                  <w:r>
                    <w:rPr>
                      <w:bCs/>
                      <w:color w:val="auto"/>
                      <w:sz w:val="21"/>
                      <w:szCs w:val="21"/>
                    </w:rPr>
                    <w:t>-49.4</w:t>
                  </w:r>
                </w:p>
                <w:p>
                  <w:pPr>
                    <w:spacing w:line="240" w:lineRule="auto"/>
                    <w:ind w:firstLine="0" w:firstLineChars="0"/>
                    <w:jc w:val="center"/>
                    <w:rPr>
                      <w:bCs/>
                      <w:color w:val="auto"/>
                      <w:sz w:val="21"/>
                      <w:szCs w:val="21"/>
                    </w:rPr>
                  </w:pPr>
                  <w:r>
                    <w:rPr>
                      <w:bCs/>
                      <w:color w:val="auto"/>
                      <w:sz w:val="21"/>
                      <w:szCs w:val="21"/>
                    </w:rPr>
                    <w:t>1.2</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6.2</w:t>
                  </w:r>
                </w:p>
                <w:p>
                  <w:pPr>
                    <w:spacing w:line="240" w:lineRule="auto"/>
                    <w:ind w:firstLine="0" w:firstLineChars="0"/>
                    <w:jc w:val="center"/>
                    <w:rPr>
                      <w:bCs/>
                      <w:color w:val="auto"/>
                      <w:sz w:val="21"/>
                      <w:szCs w:val="21"/>
                    </w:rPr>
                  </w:pPr>
                  <w:r>
                    <w:rPr>
                      <w:bCs/>
                      <w:color w:val="auto"/>
                      <w:sz w:val="21"/>
                      <w:szCs w:val="21"/>
                    </w:rPr>
                    <w:t>11.3</w:t>
                  </w:r>
                </w:p>
                <w:p>
                  <w:pPr>
                    <w:spacing w:line="240" w:lineRule="auto"/>
                    <w:ind w:firstLine="0" w:firstLineChars="0"/>
                    <w:jc w:val="center"/>
                    <w:rPr>
                      <w:bCs/>
                      <w:color w:val="auto"/>
                      <w:sz w:val="21"/>
                      <w:szCs w:val="21"/>
                    </w:rPr>
                  </w:pPr>
                  <w:r>
                    <w:rPr>
                      <w:bCs/>
                      <w:color w:val="auto"/>
                      <w:sz w:val="21"/>
                      <w:szCs w:val="21"/>
                    </w:rPr>
                    <w:t>14.6</w:t>
                  </w:r>
                </w:p>
                <w:p>
                  <w:pPr>
                    <w:spacing w:line="240" w:lineRule="auto"/>
                    <w:ind w:firstLine="0" w:firstLineChars="0"/>
                    <w:jc w:val="center"/>
                    <w:rPr>
                      <w:bCs/>
                      <w:color w:val="auto"/>
                      <w:sz w:val="21"/>
                      <w:szCs w:val="21"/>
                    </w:rPr>
                  </w:pPr>
                  <w:r>
                    <w:rPr>
                      <w:bCs/>
                      <w:color w:val="auto"/>
                      <w:sz w:val="21"/>
                      <w:szCs w:val="21"/>
                    </w:rPr>
                    <w:t>3.4</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61.8</w:t>
                  </w:r>
                </w:p>
                <w:p>
                  <w:pPr>
                    <w:spacing w:line="240" w:lineRule="auto"/>
                    <w:ind w:firstLine="0" w:firstLineChars="0"/>
                    <w:jc w:val="center"/>
                    <w:rPr>
                      <w:bCs/>
                      <w:color w:val="auto"/>
                      <w:sz w:val="21"/>
                      <w:szCs w:val="21"/>
                    </w:rPr>
                  </w:pPr>
                  <w:r>
                    <w:rPr>
                      <w:bCs/>
                      <w:color w:val="auto"/>
                      <w:sz w:val="21"/>
                      <w:szCs w:val="21"/>
                    </w:rPr>
                    <w:t>61.7</w:t>
                  </w:r>
                </w:p>
                <w:p>
                  <w:pPr>
                    <w:spacing w:line="240" w:lineRule="auto"/>
                    <w:ind w:firstLine="0" w:firstLineChars="0"/>
                    <w:jc w:val="center"/>
                    <w:rPr>
                      <w:bCs/>
                      <w:color w:val="auto"/>
                      <w:sz w:val="21"/>
                      <w:szCs w:val="21"/>
                    </w:rPr>
                  </w:pPr>
                  <w:r>
                    <w:rPr>
                      <w:bCs/>
                      <w:color w:val="auto"/>
                      <w:sz w:val="21"/>
                      <w:szCs w:val="21"/>
                    </w:rPr>
                    <w:t>61.7</w:t>
                  </w:r>
                </w:p>
                <w:p>
                  <w:pPr>
                    <w:spacing w:line="240" w:lineRule="auto"/>
                    <w:ind w:firstLine="0" w:firstLineChars="0"/>
                    <w:jc w:val="center"/>
                    <w:rPr>
                      <w:bCs/>
                      <w:color w:val="auto"/>
                      <w:sz w:val="21"/>
                      <w:szCs w:val="21"/>
                    </w:rPr>
                  </w:pPr>
                  <w:r>
                    <w:rPr>
                      <w:bCs/>
                      <w:color w:val="auto"/>
                      <w:sz w:val="21"/>
                      <w:szCs w:val="21"/>
                    </w:rPr>
                    <w:t>61.9</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rFonts w:hint="eastAsia"/>
                      <w:bCs/>
                      <w:color w:val="auto"/>
                      <w:sz w:val="21"/>
                      <w:szCs w:val="21"/>
                    </w:rPr>
                    <w:t>/</w:t>
                  </w:r>
                </w:p>
              </w:tc>
              <w:tc>
                <w:tcPr>
                  <w:tcW w:w="0" w:type="auto"/>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26.0</w:t>
                  </w:r>
                </w:p>
                <w:p>
                  <w:pPr>
                    <w:spacing w:line="240" w:lineRule="auto"/>
                    <w:ind w:firstLine="0" w:firstLineChars="0"/>
                    <w:jc w:val="center"/>
                    <w:rPr>
                      <w:bCs/>
                      <w:color w:val="auto"/>
                      <w:sz w:val="21"/>
                      <w:szCs w:val="21"/>
                    </w:rPr>
                  </w:pPr>
                  <w:r>
                    <w:rPr>
                      <w:bCs/>
                      <w:color w:val="auto"/>
                      <w:sz w:val="21"/>
                      <w:szCs w:val="21"/>
                    </w:rPr>
                    <w:t>26.0</w:t>
                  </w:r>
                </w:p>
                <w:p>
                  <w:pPr>
                    <w:spacing w:line="240" w:lineRule="auto"/>
                    <w:ind w:firstLine="0" w:firstLineChars="0"/>
                    <w:jc w:val="center"/>
                    <w:rPr>
                      <w:bCs/>
                      <w:color w:val="auto"/>
                      <w:sz w:val="21"/>
                      <w:szCs w:val="21"/>
                    </w:rPr>
                  </w:pPr>
                  <w:r>
                    <w:rPr>
                      <w:bCs/>
                      <w:color w:val="auto"/>
                      <w:sz w:val="21"/>
                      <w:szCs w:val="21"/>
                    </w:rPr>
                    <w:t>26.0</w:t>
                  </w:r>
                </w:p>
                <w:p>
                  <w:pPr>
                    <w:spacing w:line="240" w:lineRule="auto"/>
                    <w:ind w:firstLine="0" w:firstLineChars="0"/>
                    <w:jc w:val="center"/>
                    <w:rPr>
                      <w:bCs/>
                      <w:color w:val="auto"/>
                      <w:sz w:val="21"/>
                      <w:szCs w:val="21"/>
                    </w:rPr>
                  </w:pPr>
                  <w:r>
                    <w:rPr>
                      <w:bCs/>
                      <w:color w:val="auto"/>
                      <w:sz w:val="21"/>
                      <w:szCs w:val="21"/>
                    </w:rPr>
                    <w:t>26.0</w:t>
                  </w:r>
                </w:p>
              </w:tc>
              <w:tc>
                <w:tcPr>
                  <w:tcW w:w="881" w:type="dxa"/>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r>
                    <w:rPr>
                      <w:bCs/>
                      <w:color w:val="auto"/>
                      <w:sz w:val="21"/>
                      <w:szCs w:val="21"/>
                    </w:rPr>
                    <w:t>35.8</w:t>
                  </w:r>
                </w:p>
                <w:p>
                  <w:pPr>
                    <w:spacing w:line="240" w:lineRule="auto"/>
                    <w:ind w:firstLine="0" w:firstLineChars="0"/>
                    <w:jc w:val="center"/>
                    <w:rPr>
                      <w:bCs/>
                      <w:color w:val="auto"/>
                      <w:sz w:val="21"/>
                      <w:szCs w:val="21"/>
                    </w:rPr>
                  </w:pPr>
                  <w:r>
                    <w:rPr>
                      <w:bCs/>
                      <w:color w:val="auto"/>
                      <w:sz w:val="21"/>
                      <w:szCs w:val="21"/>
                    </w:rPr>
                    <w:t>35.7</w:t>
                  </w:r>
                </w:p>
                <w:p>
                  <w:pPr>
                    <w:spacing w:line="240" w:lineRule="auto"/>
                    <w:ind w:firstLine="0" w:firstLineChars="0"/>
                    <w:jc w:val="center"/>
                    <w:rPr>
                      <w:bCs/>
                      <w:color w:val="auto"/>
                      <w:sz w:val="21"/>
                      <w:szCs w:val="21"/>
                    </w:rPr>
                  </w:pPr>
                  <w:r>
                    <w:rPr>
                      <w:bCs/>
                      <w:color w:val="auto"/>
                      <w:sz w:val="21"/>
                      <w:szCs w:val="21"/>
                    </w:rPr>
                    <w:t>35.7</w:t>
                  </w:r>
                </w:p>
                <w:p>
                  <w:pPr>
                    <w:spacing w:line="240" w:lineRule="auto"/>
                    <w:ind w:firstLine="0" w:firstLineChars="0"/>
                    <w:jc w:val="center"/>
                    <w:rPr>
                      <w:bCs/>
                      <w:color w:val="auto"/>
                      <w:sz w:val="21"/>
                      <w:szCs w:val="21"/>
                    </w:rPr>
                  </w:pPr>
                  <w:r>
                    <w:rPr>
                      <w:bCs/>
                      <w:color w:val="auto"/>
                      <w:sz w:val="21"/>
                      <w:szCs w:val="21"/>
                    </w:rPr>
                    <w:t>35.9</w:t>
                  </w:r>
                </w:p>
                <w:p>
                  <w:pPr>
                    <w:spacing w:line="240" w:lineRule="auto"/>
                    <w:ind w:firstLine="0" w:firstLineChars="0"/>
                    <w:jc w:val="center"/>
                    <w:rPr>
                      <w:bCs/>
                      <w:color w:val="auto"/>
                      <w:sz w:val="21"/>
                      <w:szCs w:val="21"/>
                    </w:rPr>
                  </w:pPr>
                  <w:r>
                    <w:rPr>
                      <w:bCs/>
                      <w:color w:val="auto"/>
                      <w:sz w:val="21"/>
                      <w:szCs w:val="21"/>
                    </w:rPr>
                    <w:t>1</w:t>
                  </w:r>
                </w:p>
              </w:tc>
              <w:tc>
                <w:tcPr>
                  <w:tcW w:w="386" w:type="dxa"/>
                  <w:gridSpan w:val="2"/>
                  <w:shd w:val="clear" w:color="auto" w:fill="FFFFFF"/>
                  <w:tcMar>
                    <w:top w:w="0" w:type="dxa"/>
                    <w:left w:w="0" w:type="dxa"/>
                    <w:bottom w:w="0" w:type="dxa"/>
                    <w:right w:w="0" w:type="dxa"/>
                  </w:tcMar>
                  <w:vAlign w:val="center"/>
                </w:tcPr>
                <w:p>
                  <w:pPr>
                    <w:spacing w:line="240" w:lineRule="auto"/>
                    <w:ind w:firstLine="0" w:firstLineChars="0"/>
                    <w:jc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7840" w:type="dxa"/>
                  <w:gridSpan w:val="14"/>
                  <w:shd w:val="clear" w:color="auto" w:fill="FFFFFF"/>
                  <w:tcMar>
                    <w:top w:w="0" w:type="dxa"/>
                    <w:left w:w="0" w:type="dxa"/>
                    <w:bottom w:w="0" w:type="dxa"/>
                    <w:right w:w="0" w:type="dxa"/>
                  </w:tcMar>
                  <w:vAlign w:val="center"/>
                </w:tcPr>
                <w:p>
                  <w:pPr>
                    <w:widowControl/>
                    <w:spacing w:line="240" w:lineRule="auto"/>
                    <w:ind w:firstLine="0" w:firstLineChars="0"/>
                    <w:jc w:val="left"/>
                    <w:rPr>
                      <w:bCs/>
                      <w:color w:val="auto"/>
                      <w:sz w:val="21"/>
                      <w:szCs w:val="21"/>
                    </w:rPr>
                  </w:pPr>
                  <w:r>
                    <w:rPr>
                      <w:color w:val="auto"/>
                      <w:kern w:val="0"/>
                      <w:sz w:val="21"/>
                      <w:szCs w:val="21"/>
                      <w:lang w:bidi="ar"/>
                    </w:rPr>
                    <w:t>注：相对位置坐标以厂界西南角为原点，东西方向为x轴，南北方向为y轴。</w:t>
                  </w:r>
                </w:p>
              </w:tc>
            </w:tr>
            <w:bookmarkEnd w:id="8"/>
          </w:tbl>
          <w:p>
            <w:pPr>
              <w:adjustRightInd w:val="0"/>
              <w:snapToGrid w:val="0"/>
              <w:ind w:firstLine="440"/>
              <w:rPr>
                <w:bCs/>
                <w:color w:val="auto"/>
                <w:spacing w:val="-10"/>
                <w:szCs w:val="21"/>
              </w:rPr>
            </w:pPr>
            <w:r>
              <w:rPr>
                <w:rFonts w:hint="eastAsia"/>
                <w:bCs/>
                <w:color w:val="auto"/>
                <w:spacing w:val="-10"/>
                <w:szCs w:val="21"/>
              </w:rPr>
              <w:t>（2）降噪措施</w:t>
            </w:r>
          </w:p>
          <w:p>
            <w:pPr>
              <w:adjustRightInd w:val="0"/>
              <w:snapToGrid w:val="0"/>
              <w:ind w:firstLine="440"/>
              <w:rPr>
                <w:bCs/>
                <w:color w:val="auto"/>
                <w:spacing w:val="-10"/>
                <w:szCs w:val="21"/>
              </w:rPr>
            </w:pPr>
            <w:r>
              <w:rPr>
                <w:bCs/>
                <w:color w:val="auto"/>
                <w:spacing w:val="-10"/>
                <w:szCs w:val="21"/>
              </w:rPr>
              <w:t>本项目拟采取的降噪措施如下</w:t>
            </w:r>
            <w:r>
              <w:rPr>
                <w:rFonts w:hint="eastAsia"/>
                <w:bCs/>
                <w:color w:val="auto"/>
                <w:spacing w:val="-10"/>
                <w:szCs w:val="21"/>
              </w:rPr>
              <w:t>：</w:t>
            </w:r>
          </w:p>
          <w:p>
            <w:pPr>
              <w:adjustRightInd w:val="0"/>
              <w:snapToGrid w:val="0"/>
              <w:ind w:firstLine="440"/>
              <w:rPr>
                <w:bCs/>
                <w:color w:val="auto"/>
                <w:spacing w:val="-10"/>
                <w:szCs w:val="21"/>
              </w:rPr>
            </w:pPr>
            <w:r>
              <w:rPr>
                <w:rFonts w:hint="eastAsia" w:ascii="宋体" w:hAnsi="宋体" w:cs="宋体"/>
                <w:bCs/>
                <w:color w:val="auto"/>
                <w:spacing w:val="-10"/>
                <w:szCs w:val="21"/>
              </w:rPr>
              <w:t>①</w:t>
            </w:r>
            <w:r>
              <w:rPr>
                <w:bCs/>
                <w:color w:val="auto"/>
                <w:spacing w:val="-10"/>
                <w:szCs w:val="21"/>
              </w:rPr>
              <w:t>合理布局</w:t>
            </w:r>
            <w:r>
              <w:rPr>
                <w:rFonts w:hint="eastAsia"/>
                <w:bCs/>
                <w:color w:val="auto"/>
                <w:spacing w:val="-10"/>
                <w:szCs w:val="21"/>
              </w:rPr>
              <w:t>：将高噪声设备集中布置锅炉房厂房内，并尽量远离厂界；在管道布置、设计及支吊架选择上注意防震、防冲击，以减少噪声对环境的影响。</w:t>
            </w:r>
          </w:p>
          <w:p>
            <w:pPr>
              <w:adjustRightInd w:val="0"/>
              <w:snapToGrid w:val="0"/>
              <w:ind w:firstLine="440"/>
              <w:rPr>
                <w:bCs/>
                <w:color w:val="auto"/>
                <w:spacing w:val="-10"/>
                <w:szCs w:val="21"/>
              </w:rPr>
            </w:pPr>
            <w:r>
              <w:rPr>
                <w:rFonts w:hint="eastAsia" w:ascii="宋体" w:hAnsi="宋体" w:cs="宋体"/>
                <w:bCs/>
                <w:color w:val="auto"/>
                <w:spacing w:val="-10"/>
                <w:szCs w:val="21"/>
              </w:rPr>
              <w:t>②</w:t>
            </w:r>
            <w:r>
              <w:rPr>
                <w:bCs/>
                <w:color w:val="auto"/>
                <w:spacing w:val="-10"/>
                <w:szCs w:val="21"/>
              </w:rPr>
              <w:t>选用低噪声设备</w:t>
            </w:r>
            <w:r>
              <w:rPr>
                <w:rFonts w:hint="eastAsia"/>
                <w:bCs/>
                <w:color w:val="auto"/>
                <w:spacing w:val="-10"/>
                <w:szCs w:val="21"/>
              </w:rPr>
              <w:t>：</w:t>
            </w:r>
            <w:r>
              <w:rPr>
                <w:bCs/>
                <w:color w:val="auto"/>
                <w:spacing w:val="-10"/>
                <w:szCs w:val="21"/>
              </w:rPr>
              <w:t>充分选用先进的低噪设备，以从声源上降低设备噪声</w:t>
            </w:r>
            <w:r>
              <w:rPr>
                <w:rFonts w:hint="eastAsia"/>
                <w:bCs/>
                <w:color w:val="auto"/>
                <w:spacing w:val="-10"/>
                <w:szCs w:val="21"/>
              </w:rPr>
              <w:t>；</w:t>
            </w:r>
          </w:p>
          <w:p>
            <w:pPr>
              <w:adjustRightInd w:val="0"/>
              <w:snapToGrid w:val="0"/>
              <w:ind w:firstLine="440"/>
              <w:rPr>
                <w:bCs/>
                <w:color w:val="auto"/>
                <w:spacing w:val="-10"/>
                <w:szCs w:val="21"/>
              </w:rPr>
            </w:pPr>
            <w:r>
              <w:rPr>
                <w:rFonts w:hint="eastAsia" w:ascii="宋体" w:hAnsi="宋体" w:cs="宋体"/>
                <w:bCs/>
                <w:color w:val="auto"/>
                <w:spacing w:val="-10"/>
                <w:szCs w:val="21"/>
              </w:rPr>
              <w:t>③</w:t>
            </w:r>
            <w:r>
              <w:rPr>
                <w:bCs/>
                <w:color w:val="auto"/>
                <w:spacing w:val="-10"/>
                <w:szCs w:val="21"/>
              </w:rPr>
              <w:t>对高产噪设备进行基础减震</w:t>
            </w:r>
            <w:r>
              <w:rPr>
                <w:rFonts w:hint="eastAsia"/>
                <w:bCs/>
                <w:color w:val="auto"/>
                <w:spacing w:val="-10"/>
                <w:szCs w:val="21"/>
              </w:rPr>
              <w:t>；</w:t>
            </w:r>
          </w:p>
          <w:p>
            <w:pPr>
              <w:adjustRightInd w:val="0"/>
              <w:snapToGrid w:val="0"/>
              <w:ind w:firstLine="440"/>
              <w:rPr>
                <w:bCs/>
                <w:color w:val="auto"/>
                <w:spacing w:val="-10"/>
                <w:szCs w:val="21"/>
              </w:rPr>
            </w:pPr>
            <w:r>
              <w:rPr>
                <w:rFonts w:hint="eastAsia" w:ascii="宋体" w:hAnsi="宋体" w:cs="宋体"/>
                <w:bCs/>
                <w:color w:val="auto"/>
                <w:spacing w:val="-10"/>
                <w:szCs w:val="21"/>
              </w:rPr>
              <w:t>④</w:t>
            </w:r>
            <w:r>
              <w:rPr>
                <w:bCs/>
                <w:color w:val="auto"/>
                <w:spacing w:val="-10"/>
                <w:szCs w:val="21"/>
              </w:rPr>
              <w:t>加强设备的维护，确保设备处于良好的运转状态，杜绝因设备不正常运转时产生的高噪声排放现象</w:t>
            </w:r>
            <w:r>
              <w:rPr>
                <w:rFonts w:hint="eastAsia"/>
                <w:bCs/>
                <w:color w:val="auto"/>
                <w:spacing w:val="-10"/>
                <w:szCs w:val="21"/>
              </w:rPr>
              <w:t>；</w:t>
            </w:r>
          </w:p>
          <w:p>
            <w:pPr>
              <w:adjustRightInd w:val="0"/>
              <w:snapToGrid w:val="0"/>
              <w:ind w:firstLine="440"/>
              <w:rPr>
                <w:bCs/>
                <w:color w:val="auto"/>
                <w:spacing w:val="-10"/>
                <w:szCs w:val="21"/>
              </w:rPr>
            </w:pPr>
            <w:r>
              <w:rPr>
                <w:rFonts w:hint="eastAsia"/>
                <w:bCs/>
                <w:color w:val="auto"/>
                <w:spacing w:val="-10"/>
                <w:szCs w:val="21"/>
              </w:rPr>
              <w:t>⑤加强教育、管理，使人工文明操作，装卸物品时轻拿轻放，避免因野蛮操作产生的突发性噪声。</w:t>
            </w:r>
          </w:p>
          <w:p>
            <w:pPr>
              <w:ind w:firstLine="480"/>
              <w:rPr>
                <w:color w:val="auto"/>
              </w:rPr>
            </w:pPr>
            <w:r>
              <w:rPr>
                <w:rFonts w:hint="eastAsia"/>
                <w:color w:val="auto"/>
              </w:rPr>
              <w:t>（3）噪声达标分析</w:t>
            </w:r>
          </w:p>
          <w:p>
            <w:pPr>
              <w:adjustRightInd w:val="0"/>
              <w:snapToGrid w:val="0"/>
              <w:ind w:firstLine="440"/>
              <w:rPr>
                <w:bCs/>
                <w:color w:val="auto"/>
                <w:spacing w:val="-10"/>
              </w:rPr>
            </w:pPr>
            <w:r>
              <w:rPr>
                <w:bCs/>
                <w:color w:val="auto"/>
                <w:spacing w:val="-10"/>
              </w:rPr>
              <w:t>根据项目建设内容及《环境影响评价技术导则 声环境》（HJ 2.4-2021）的要求，项目环评采用的模型为《环境影响评价技术导则 声环境》（HJ 2.4-2021）附录A（规范性附录）户外声传播的衰减和附录B（规范性附录）中</w:t>
            </w:r>
            <w:r>
              <w:rPr>
                <w:rFonts w:hint="eastAsia" w:ascii="宋体" w:hAnsi="宋体" w:cs="宋体"/>
                <w:bCs/>
                <w:color w:val="auto"/>
                <w:spacing w:val="-10"/>
              </w:rPr>
              <w:t>“</w:t>
            </w:r>
            <w:r>
              <w:rPr>
                <w:bCs/>
                <w:color w:val="auto"/>
                <w:spacing w:val="-10"/>
              </w:rPr>
              <w:t>B.1 工业噪声预测计算模型</w:t>
            </w:r>
            <w:r>
              <w:rPr>
                <w:rFonts w:hint="eastAsia" w:ascii="宋体" w:hAnsi="宋体" w:cs="宋体"/>
                <w:bCs/>
                <w:color w:val="auto"/>
                <w:spacing w:val="-10"/>
              </w:rPr>
              <w:t>”</w:t>
            </w:r>
            <w:r>
              <w:rPr>
                <w:bCs/>
                <w:color w:val="auto"/>
                <w:spacing w:val="-10"/>
              </w:rPr>
              <w:t>。</w:t>
            </w:r>
          </w:p>
          <w:p>
            <w:pPr>
              <w:adjustRightInd w:val="0"/>
              <w:snapToGrid w:val="0"/>
              <w:ind w:firstLine="440"/>
              <w:rPr>
                <w:bCs/>
                <w:color w:val="auto"/>
                <w:spacing w:val="-10"/>
              </w:rPr>
            </w:pPr>
            <w:r>
              <w:rPr>
                <w:bCs/>
                <w:color w:val="auto"/>
                <w:spacing w:val="-10"/>
              </w:rPr>
              <w:t>本次环评采用点声源衰减模式，预测各类设备在隔声减震后不同距离处的噪声值。其衰减模式为：</w:t>
            </w:r>
          </w:p>
          <w:p>
            <w:pPr>
              <w:adjustRightInd w:val="0"/>
              <w:snapToGrid w:val="0"/>
              <w:ind w:firstLine="480"/>
              <w:jc w:val="center"/>
              <w:rPr>
                <w:bCs/>
                <w:color w:val="auto"/>
                <w:spacing w:val="-10"/>
              </w:rPr>
            </w:pPr>
            <w:r>
              <w:rPr>
                <w:color w:val="auto"/>
                <w:szCs w:val="32"/>
              </w:rPr>
              <w:drawing>
                <wp:inline distT="0" distB="0" distL="114300" distR="114300">
                  <wp:extent cx="1418590" cy="334645"/>
                  <wp:effectExtent l="0" t="0" r="10160" b="825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7"/>
                          <a:stretch>
                            <a:fillRect/>
                          </a:stretch>
                        </pic:blipFill>
                        <pic:spPr>
                          <a:xfrm>
                            <a:off x="0" y="0"/>
                            <a:ext cx="1418590" cy="334645"/>
                          </a:xfrm>
                          <a:prstGeom prst="rect">
                            <a:avLst/>
                          </a:prstGeom>
                          <a:noFill/>
                          <a:ln>
                            <a:noFill/>
                          </a:ln>
                        </pic:spPr>
                      </pic:pic>
                    </a:graphicData>
                  </a:graphic>
                </wp:inline>
              </w:drawing>
            </w:r>
          </w:p>
          <w:p>
            <w:pPr>
              <w:adjustRightInd w:val="0"/>
              <w:snapToGrid w:val="0"/>
              <w:ind w:firstLine="440"/>
              <w:rPr>
                <w:bCs/>
                <w:color w:val="auto"/>
                <w:spacing w:val="-10"/>
              </w:rPr>
            </w:pPr>
            <w:r>
              <w:rPr>
                <w:bCs/>
                <w:color w:val="auto"/>
                <w:spacing w:val="-10"/>
              </w:rPr>
              <w:t>式中：Lr-</w:t>
            </w:r>
            <w:r>
              <w:rPr>
                <w:rFonts w:hint="eastAsia"/>
                <w:bCs/>
                <w:color w:val="auto"/>
                <w:spacing w:val="-10"/>
              </w:rPr>
              <w:t>－</w:t>
            </w:r>
            <w:r>
              <w:rPr>
                <w:bCs/>
                <w:color w:val="auto"/>
                <w:spacing w:val="-10"/>
              </w:rPr>
              <w:t>测点的声级（可以是倍频带声压级或A声级）；</w:t>
            </w:r>
          </w:p>
          <w:p>
            <w:pPr>
              <w:adjustRightInd w:val="0"/>
              <w:snapToGrid w:val="0"/>
              <w:ind w:firstLine="1100" w:firstLineChars="500"/>
              <w:rPr>
                <w:bCs/>
                <w:color w:val="auto"/>
                <w:spacing w:val="-10"/>
              </w:rPr>
            </w:pPr>
            <w:r>
              <w:rPr>
                <w:bCs/>
                <w:color w:val="auto"/>
                <w:spacing w:val="-10"/>
              </w:rPr>
              <w:t>Lr0-</w:t>
            </w:r>
            <w:r>
              <w:rPr>
                <w:rFonts w:hint="eastAsia"/>
                <w:bCs/>
                <w:color w:val="auto"/>
                <w:spacing w:val="-10"/>
              </w:rPr>
              <w:t>－</w:t>
            </w:r>
            <w:r>
              <w:rPr>
                <w:bCs/>
                <w:color w:val="auto"/>
                <w:spacing w:val="-10"/>
              </w:rPr>
              <w:t>参考位置r0处的声级（可以是倍频带声压级或A声级）；</w:t>
            </w:r>
          </w:p>
          <w:p>
            <w:pPr>
              <w:adjustRightInd w:val="0"/>
              <w:snapToGrid w:val="0"/>
              <w:ind w:firstLine="1100" w:firstLineChars="500"/>
              <w:rPr>
                <w:bCs/>
                <w:color w:val="auto"/>
                <w:spacing w:val="-10"/>
              </w:rPr>
            </w:pPr>
            <w:r>
              <w:rPr>
                <w:bCs/>
                <w:color w:val="auto"/>
                <w:spacing w:val="-10"/>
              </w:rPr>
              <w:t>r-</w:t>
            </w:r>
            <w:r>
              <w:rPr>
                <w:rFonts w:hint="eastAsia"/>
                <w:bCs/>
                <w:color w:val="auto"/>
                <w:spacing w:val="-10"/>
              </w:rPr>
              <w:t>－</w:t>
            </w:r>
            <w:r>
              <w:rPr>
                <w:bCs/>
                <w:color w:val="auto"/>
                <w:spacing w:val="-10"/>
              </w:rPr>
              <w:t>预测点与点声源之间的距离，m；</w:t>
            </w:r>
          </w:p>
          <w:p>
            <w:pPr>
              <w:adjustRightInd w:val="0"/>
              <w:snapToGrid w:val="0"/>
              <w:ind w:firstLine="1100" w:firstLineChars="500"/>
              <w:rPr>
                <w:bCs/>
                <w:color w:val="auto"/>
                <w:spacing w:val="-10"/>
              </w:rPr>
            </w:pPr>
            <w:r>
              <w:rPr>
                <w:bCs/>
                <w:color w:val="auto"/>
                <w:spacing w:val="-10"/>
              </w:rPr>
              <w:t>r0-</w:t>
            </w:r>
            <w:r>
              <w:rPr>
                <w:rFonts w:hint="eastAsia"/>
                <w:bCs/>
                <w:color w:val="auto"/>
                <w:spacing w:val="-10"/>
              </w:rPr>
              <w:t>－</w:t>
            </w:r>
            <w:r>
              <w:rPr>
                <w:bCs/>
                <w:color w:val="auto"/>
                <w:spacing w:val="-10"/>
              </w:rPr>
              <w:t>测量参考声级处与点声源之间的距离，m；</w:t>
            </w:r>
          </w:p>
          <w:p>
            <w:pPr>
              <w:adjustRightInd w:val="0"/>
              <w:snapToGrid w:val="0"/>
              <w:ind w:firstLine="1100" w:firstLineChars="500"/>
              <w:rPr>
                <w:bCs/>
                <w:color w:val="auto"/>
                <w:spacing w:val="-10"/>
              </w:rPr>
            </w:pPr>
            <w:r>
              <w:rPr>
                <w:bCs/>
                <w:color w:val="auto"/>
                <w:spacing w:val="-10"/>
              </w:rPr>
              <w:t>ΔL-</w:t>
            </w:r>
            <w:r>
              <w:rPr>
                <w:rFonts w:hint="eastAsia"/>
                <w:bCs/>
                <w:color w:val="auto"/>
                <w:spacing w:val="-10"/>
              </w:rPr>
              <w:t>－</w:t>
            </w:r>
            <w:r>
              <w:rPr>
                <w:bCs/>
                <w:color w:val="auto"/>
                <w:spacing w:val="-10"/>
              </w:rPr>
              <w:t>各种衰减量，包括空气吸收、声屏障或遮挡物、地面效应等引起的衰减量。根据工程特点，主要考虑生产设备选用低噪声设备增设减振垫以及生产车间隔声影响，一般可降低噪声15-25 dB（A）。</w:t>
            </w:r>
          </w:p>
          <w:p>
            <w:pPr>
              <w:adjustRightInd w:val="0"/>
              <w:snapToGrid w:val="0"/>
              <w:ind w:firstLine="440"/>
              <w:rPr>
                <w:bCs/>
                <w:color w:val="auto"/>
                <w:spacing w:val="-10"/>
              </w:rPr>
            </w:pPr>
            <w:r>
              <w:rPr>
                <w:bCs/>
                <w:color w:val="auto"/>
                <w:spacing w:val="-10"/>
              </w:rPr>
              <w:t>噪声叠加公式：</w:t>
            </w:r>
          </w:p>
          <w:p>
            <w:pPr>
              <w:adjustRightInd w:val="0"/>
              <w:snapToGrid w:val="0"/>
              <w:ind w:firstLine="480"/>
              <w:jc w:val="center"/>
              <w:rPr>
                <w:bCs/>
                <w:color w:val="auto"/>
                <w:spacing w:val="-10"/>
              </w:rPr>
            </w:pPr>
            <w:r>
              <w:rPr>
                <w:color w:val="auto"/>
                <w:szCs w:val="32"/>
              </w:rPr>
              <w:drawing>
                <wp:inline distT="0" distB="0" distL="114300" distR="114300">
                  <wp:extent cx="1111250" cy="394335"/>
                  <wp:effectExtent l="0" t="0" r="12700" b="571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8"/>
                          <a:stretch>
                            <a:fillRect/>
                          </a:stretch>
                        </pic:blipFill>
                        <pic:spPr>
                          <a:xfrm>
                            <a:off x="0" y="0"/>
                            <a:ext cx="1111250" cy="394335"/>
                          </a:xfrm>
                          <a:prstGeom prst="rect">
                            <a:avLst/>
                          </a:prstGeom>
                          <a:noFill/>
                          <a:ln>
                            <a:noFill/>
                          </a:ln>
                        </pic:spPr>
                      </pic:pic>
                    </a:graphicData>
                  </a:graphic>
                </wp:inline>
              </w:drawing>
            </w:r>
          </w:p>
          <w:p>
            <w:pPr>
              <w:adjustRightInd w:val="0"/>
              <w:snapToGrid w:val="0"/>
              <w:ind w:firstLine="440"/>
              <w:rPr>
                <w:bCs/>
                <w:color w:val="auto"/>
                <w:spacing w:val="-10"/>
              </w:rPr>
            </w:pPr>
            <w:r>
              <w:rPr>
                <w:bCs/>
                <w:color w:val="auto"/>
                <w:spacing w:val="-10"/>
              </w:rPr>
              <w:t>式中：L—某点噪声总叠加值，dB（A）；</w:t>
            </w:r>
          </w:p>
          <w:p>
            <w:pPr>
              <w:adjustRightInd w:val="0"/>
              <w:snapToGrid w:val="0"/>
              <w:ind w:firstLine="1100" w:firstLineChars="500"/>
              <w:rPr>
                <w:bCs/>
                <w:color w:val="auto"/>
                <w:spacing w:val="-10"/>
              </w:rPr>
            </w:pPr>
            <w:r>
              <w:rPr>
                <w:bCs/>
                <w:color w:val="auto"/>
                <w:spacing w:val="-10"/>
              </w:rPr>
              <w:t>Li—第i个声源在预测点产生的A声级；晚间则是第i个声源在预测点产生的A声级加上10；</w:t>
            </w:r>
          </w:p>
          <w:p>
            <w:pPr>
              <w:adjustRightInd w:val="0"/>
              <w:snapToGrid w:val="0"/>
              <w:ind w:firstLine="1100" w:firstLineChars="500"/>
              <w:rPr>
                <w:bCs/>
                <w:color w:val="auto"/>
                <w:spacing w:val="-10"/>
              </w:rPr>
            </w:pPr>
            <w:r>
              <w:rPr>
                <w:bCs/>
                <w:color w:val="auto"/>
                <w:spacing w:val="-10"/>
              </w:rPr>
              <w:t>n—为噪声源的个数。</w:t>
            </w:r>
          </w:p>
          <w:p>
            <w:pPr>
              <w:adjustRightInd w:val="0"/>
              <w:snapToGrid w:val="0"/>
              <w:ind w:firstLine="440"/>
              <w:rPr>
                <w:bCs/>
                <w:color w:val="auto"/>
                <w:spacing w:val="-10"/>
              </w:rPr>
            </w:pPr>
            <w:r>
              <w:rPr>
                <w:bCs/>
                <w:color w:val="auto"/>
                <w:spacing w:val="-10"/>
              </w:rPr>
              <w:t>（4）噪声影响结果</w:t>
            </w:r>
          </w:p>
          <w:p>
            <w:pPr>
              <w:adjustRightInd w:val="0"/>
              <w:snapToGrid w:val="0"/>
              <w:ind w:firstLine="440"/>
              <w:rPr>
                <w:bCs/>
                <w:color w:val="auto"/>
                <w:spacing w:val="-10"/>
              </w:rPr>
            </w:pPr>
            <w:r>
              <w:rPr>
                <w:bCs/>
                <w:color w:val="auto"/>
                <w:spacing w:val="-10"/>
              </w:rPr>
              <w:t>噪声影响预测结果见下表：</w:t>
            </w:r>
          </w:p>
          <w:p>
            <w:pPr>
              <w:adjustRightInd w:val="0"/>
              <w:snapToGrid w:val="0"/>
              <w:ind w:firstLine="440"/>
              <w:rPr>
                <w:bCs/>
                <w:color w:val="auto"/>
                <w:spacing w:val="-10"/>
              </w:rPr>
            </w:pPr>
          </w:p>
          <w:p>
            <w:pPr>
              <w:adjustRightInd w:val="0"/>
              <w:snapToGrid w:val="0"/>
              <w:ind w:firstLine="440"/>
              <w:rPr>
                <w:bCs/>
                <w:color w:val="auto"/>
                <w:spacing w:val="-10"/>
              </w:rPr>
            </w:pPr>
          </w:p>
          <w:p>
            <w:pPr>
              <w:adjustRightInd w:val="0"/>
              <w:snapToGrid w:val="0"/>
              <w:ind w:firstLine="440"/>
              <w:rPr>
                <w:rFonts w:hint="eastAsia"/>
                <w:bCs/>
                <w:color w:val="auto"/>
                <w:spacing w:val="-10"/>
              </w:rPr>
            </w:pPr>
          </w:p>
          <w:p>
            <w:pPr>
              <w:pStyle w:val="32"/>
              <w:rPr>
                <w:color w:val="auto"/>
              </w:rPr>
            </w:pPr>
            <w:r>
              <w:rPr>
                <w:rFonts w:hint="eastAsia"/>
                <w:color w:val="auto"/>
              </w:rPr>
              <w:t>表4-</w:t>
            </w:r>
            <w:r>
              <w:rPr>
                <w:color w:val="auto"/>
              </w:rPr>
              <w:fldChar w:fldCharType="begin"/>
            </w:r>
            <w:r>
              <w:rPr>
                <w:color w:val="auto"/>
              </w:rPr>
              <w:instrText xml:space="preserve"> SEQ 表4- </w:instrText>
            </w:r>
            <w:r>
              <w:rPr>
                <w:color w:val="auto"/>
              </w:rPr>
              <w:fldChar w:fldCharType="separate"/>
            </w:r>
            <w:r>
              <w:rPr>
                <w:color w:val="auto"/>
              </w:rPr>
              <w:t>1</w:t>
            </w:r>
            <w:r>
              <w:rPr>
                <w:rFonts w:hint="eastAsia"/>
                <w:color w:val="auto"/>
              </w:rPr>
              <w:t>2</w:t>
            </w:r>
            <w:r>
              <w:rPr>
                <w:color w:val="auto"/>
              </w:rPr>
              <w:fldChar w:fldCharType="end"/>
            </w:r>
            <w:r>
              <w:rPr>
                <w:rFonts w:hint="eastAsia"/>
                <w:color w:val="auto"/>
              </w:rPr>
              <w:t xml:space="preserve">  项目厂界噪声预测结果与达标分析表 单位：dB(A)</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759"/>
              <w:gridCol w:w="771"/>
              <w:gridCol w:w="733"/>
              <w:gridCol w:w="870"/>
              <w:gridCol w:w="1364"/>
              <w:gridCol w:w="1365"/>
              <w:gridCol w:w="10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exact"/>
                <w:jc w:val="center"/>
              </w:trPr>
              <w:tc>
                <w:tcPr>
                  <w:tcW w:w="1101" w:type="dxa"/>
                  <w:vMerge w:val="restart"/>
                  <w:vAlign w:val="center"/>
                </w:tcPr>
                <w:p>
                  <w:pPr>
                    <w:spacing w:line="240" w:lineRule="auto"/>
                    <w:ind w:firstLine="0" w:firstLineChars="0"/>
                    <w:jc w:val="center"/>
                    <w:rPr>
                      <w:bCs/>
                      <w:color w:val="auto"/>
                      <w:sz w:val="21"/>
                      <w:szCs w:val="21"/>
                    </w:rPr>
                  </w:pPr>
                  <w:r>
                    <w:rPr>
                      <w:bCs/>
                      <w:color w:val="auto"/>
                      <w:sz w:val="21"/>
                      <w:szCs w:val="21"/>
                    </w:rPr>
                    <w:t>预测方位</w:t>
                  </w:r>
                </w:p>
              </w:tc>
              <w:tc>
                <w:tcPr>
                  <w:tcW w:w="2409" w:type="dxa"/>
                  <w:gridSpan w:val="3"/>
                  <w:vAlign w:val="center"/>
                </w:tcPr>
                <w:p>
                  <w:pPr>
                    <w:spacing w:line="240" w:lineRule="auto"/>
                    <w:ind w:firstLine="0" w:firstLineChars="0"/>
                    <w:jc w:val="center"/>
                    <w:rPr>
                      <w:bCs/>
                      <w:color w:val="auto"/>
                      <w:sz w:val="21"/>
                      <w:szCs w:val="21"/>
                    </w:rPr>
                  </w:pPr>
                  <w:r>
                    <w:rPr>
                      <w:bCs/>
                      <w:color w:val="auto"/>
                      <w:sz w:val="21"/>
                      <w:szCs w:val="21"/>
                    </w:rPr>
                    <w:t>空间相对位置/m</w:t>
                  </w:r>
                </w:p>
              </w:tc>
              <w:tc>
                <w:tcPr>
                  <w:tcW w:w="993" w:type="dxa"/>
                  <w:vMerge w:val="restart"/>
                  <w:vAlign w:val="center"/>
                </w:tcPr>
                <w:p>
                  <w:pPr>
                    <w:spacing w:line="240" w:lineRule="auto"/>
                    <w:ind w:firstLine="0" w:firstLineChars="0"/>
                    <w:jc w:val="center"/>
                    <w:rPr>
                      <w:bCs/>
                      <w:color w:val="auto"/>
                      <w:sz w:val="21"/>
                      <w:szCs w:val="21"/>
                    </w:rPr>
                  </w:pPr>
                  <w:r>
                    <w:rPr>
                      <w:bCs/>
                      <w:color w:val="auto"/>
                      <w:sz w:val="21"/>
                      <w:szCs w:val="21"/>
                    </w:rPr>
                    <w:t>时段</w:t>
                  </w:r>
                </w:p>
              </w:tc>
              <w:tc>
                <w:tcPr>
                  <w:tcW w:w="1417" w:type="dxa"/>
                  <w:vMerge w:val="restart"/>
                  <w:vAlign w:val="center"/>
                </w:tcPr>
                <w:p>
                  <w:pPr>
                    <w:spacing w:line="240" w:lineRule="auto"/>
                    <w:ind w:firstLine="0" w:firstLineChars="0"/>
                    <w:jc w:val="center"/>
                    <w:rPr>
                      <w:bCs/>
                      <w:color w:val="auto"/>
                      <w:sz w:val="21"/>
                      <w:szCs w:val="21"/>
                    </w:rPr>
                  </w:pPr>
                  <w:r>
                    <w:rPr>
                      <w:bCs/>
                      <w:color w:val="auto"/>
                      <w:sz w:val="21"/>
                      <w:szCs w:val="21"/>
                    </w:rPr>
                    <w:t>贡献值（dB(A)）</w:t>
                  </w:r>
                </w:p>
              </w:tc>
              <w:tc>
                <w:tcPr>
                  <w:tcW w:w="1418" w:type="dxa"/>
                  <w:vMerge w:val="restart"/>
                  <w:vAlign w:val="center"/>
                </w:tcPr>
                <w:p>
                  <w:pPr>
                    <w:spacing w:line="240" w:lineRule="auto"/>
                    <w:ind w:firstLine="0" w:firstLineChars="0"/>
                    <w:jc w:val="center"/>
                    <w:rPr>
                      <w:bCs/>
                      <w:color w:val="auto"/>
                      <w:sz w:val="21"/>
                      <w:szCs w:val="21"/>
                    </w:rPr>
                  </w:pPr>
                  <w:r>
                    <w:rPr>
                      <w:bCs/>
                      <w:color w:val="auto"/>
                      <w:sz w:val="21"/>
                      <w:szCs w:val="21"/>
                    </w:rPr>
                    <w:t>标准限值（dB(A)）</w:t>
                  </w:r>
                </w:p>
              </w:tc>
              <w:tc>
                <w:tcPr>
                  <w:tcW w:w="1188" w:type="dxa"/>
                  <w:vMerge w:val="restart"/>
                  <w:vAlign w:val="center"/>
                </w:tcPr>
                <w:p>
                  <w:pPr>
                    <w:spacing w:line="240" w:lineRule="auto"/>
                    <w:ind w:firstLine="0" w:firstLineChars="0"/>
                    <w:jc w:val="center"/>
                    <w:rPr>
                      <w:bCs/>
                      <w:color w:val="auto"/>
                      <w:sz w:val="21"/>
                      <w:szCs w:val="21"/>
                    </w:rPr>
                  </w:pPr>
                  <w:r>
                    <w:rPr>
                      <w:bCs/>
                      <w:color w:val="auto"/>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101" w:type="dxa"/>
                  <w:vMerge w:val="continue"/>
                  <w:shd w:val="clear" w:color="auto" w:fill="FFFFFF"/>
                  <w:vAlign w:val="center"/>
                </w:tcPr>
                <w:p>
                  <w:pPr>
                    <w:spacing w:line="240" w:lineRule="auto"/>
                    <w:ind w:firstLine="0" w:firstLineChars="0"/>
                    <w:jc w:val="center"/>
                    <w:rPr>
                      <w:bCs/>
                      <w:color w:val="auto"/>
                      <w:sz w:val="21"/>
                      <w:szCs w:val="21"/>
                    </w:rPr>
                  </w:pP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X</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Y</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Z</w:t>
                  </w:r>
                </w:p>
              </w:tc>
              <w:tc>
                <w:tcPr>
                  <w:tcW w:w="993" w:type="dxa"/>
                  <w:vMerge w:val="continue"/>
                  <w:shd w:val="clear" w:color="auto" w:fill="FFFFFF"/>
                  <w:vAlign w:val="center"/>
                </w:tcPr>
                <w:p>
                  <w:pPr>
                    <w:spacing w:line="240" w:lineRule="auto"/>
                    <w:ind w:firstLine="0" w:firstLineChars="0"/>
                    <w:jc w:val="center"/>
                    <w:rPr>
                      <w:bCs/>
                      <w:color w:val="auto"/>
                      <w:sz w:val="21"/>
                      <w:szCs w:val="21"/>
                    </w:rPr>
                  </w:pPr>
                </w:p>
              </w:tc>
              <w:tc>
                <w:tcPr>
                  <w:tcW w:w="1417" w:type="dxa"/>
                  <w:vMerge w:val="continue"/>
                  <w:shd w:val="clear" w:color="auto" w:fill="FFFFFF"/>
                  <w:vAlign w:val="center"/>
                </w:tcPr>
                <w:p>
                  <w:pPr>
                    <w:spacing w:line="240" w:lineRule="auto"/>
                    <w:ind w:firstLine="0" w:firstLineChars="0"/>
                    <w:jc w:val="center"/>
                    <w:rPr>
                      <w:bCs/>
                      <w:color w:val="auto"/>
                      <w:sz w:val="21"/>
                      <w:szCs w:val="21"/>
                    </w:rPr>
                  </w:pPr>
                </w:p>
              </w:tc>
              <w:tc>
                <w:tcPr>
                  <w:tcW w:w="1418" w:type="dxa"/>
                  <w:vMerge w:val="continue"/>
                  <w:shd w:val="clear" w:color="auto" w:fill="FFFFFF"/>
                  <w:vAlign w:val="center"/>
                </w:tcPr>
                <w:p>
                  <w:pPr>
                    <w:spacing w:line="240" w:lineRule="auto"/>
                    <w:ind w:firstLine="0" w:firstLineChars="0"/>
                    <w:jc w:val="center"/>
                    <w:rPr>
                      <w:bCs/>
                      <w:color w:val="auto"/>
                      <w:sz w:val="21"/>
                      <w:szCs w:val="21"/>
                    </w:rPr>
                  </w:pPr>
                </w:p>
              </w:tc>
              <w:tc>
                <w:tcPr>
                  <w:tcW w:w="1188" w:type="dxa"/>
                  <w:vMerge w:val="continue"/>
                  <w:shd w:val="clear" w:color="auto" w:fill="FFFFFF"/>
                  <w:vAlign w:val="center"/>
                </w:tcPr>
                <w:p>
                  <w:pPr>
                    <w:spacing w:line="240" w:lineRule="auto"/>
                    <w:ind w:firstLine="0" w:firstLineChars="0"/>
                    <w:jc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restart"/>
                  <w:shd w:val="clear" w:color="auto" w:fill="FFFFFF"/>
                  <w:vAlign w:val="center"/>
                </w:tcPr>
                <w:p>
                  <w:pPr>
                    <w:spacing w:line="240" w:lineRule="auto"/>
                    <w:ind w:firstLine="0" w:firstLineChars="0"/>
                    <w:jc w:val="center"/>
                    <w:rPr>
                      <w:bCs/>
                      <w:color w:val="auto"/>
                      <w:sz w:val="21"/>
                      <w:szCs w:val="21"/>
                    </w:rPr>
                  </w:pPr>
                  <w:r>
                    <w:rPr>
                      <w:bCs/>
                      <w:color w:val="auto"/>
                      <w:sz w:val="21"/>
                      <w:szCs w:val="21"/>
                    </w:rPr>
                    <w:t>东侧</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67.7</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-39.5</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w:t>
                  </w:r>
                </w:p>
              </w:tc>
              <w:tc>
                <w:tcPr>
                  <w:tcW w:w="99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昼间</w:t>
                  </w:r>
                </w:p>
              </w:tc>
              <w:tc>
                <w:tcPr>
                  <w:tcW w:w="1417"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21.1</w:t>
                  </w:r>
                </w:p>
              </w:tc>
              <w:tc>
                <w:tcPr>
                  <w:tcW w:w="141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60</w:t>
                  </w:r>
                </w:p>
              </w:tc>
              <w:tc>
                <w:tcPr>
                  <w:tcW w:w="118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continue"/>
                  <w:shd w:val="clear" w:color="auto" w:fill="FFFFFF"/>
                  <w:vAlign w:val="center"/>
                </w:tcPr>
                <w:p>
                  <w:pPr>
                    <w:spacing w:line="240" w:lineRule="auto"/>
                    <w:ind w:firstLine="0" w:firstLineChars="0"/>
                    <w:jc w:val="center"/>
                    <w:rPr>
                      <w:bCs/>
                      <w:color w:val="auto"/>
                      <w:sz w:val="21"/>
                      <w:szCs w:val="21"/>
                    </w:rPr>
                  </w:pP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67.7</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-39.5</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w:t>
                  </w:r>
                </w:p>
              </w:tc>
              <w:tc>
                <w:tcPr>
                  <w:tcW w:w="99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夜间</w:t>
                  </w:r>
                </w:p>
              </w:tc>
              <w:tc>
                <w:tcPr>
                  <w:tcW w:w="1417"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21.1</w:t>
                  </w:r>
                </w:p>
              </w:tc>
              <w:tc>
                <w:tcPr>
                  <w:tcW w:w="141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50</w:t>
                  </w:r>
                </w:p>
              </w:tc>
              <w:tc>
                <w:tcPr>
                  <w:tcW w:w="118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restart"/>
                  <w:shd w:val="clear" w:color="auto" w:fill="FFFFFF"/>
                  <w:vAlign w:val="center"/>
                </w:tcPr>
                <w:p>
                  <w:pPr>
                    <w:spacing w:line="240" w:lineRule="auto"/>
                    <w:ind w:firstLine="0" w:firstLineChars="0"/>
                    <w:jc w:val="center"/>
                    <w:rPr>
                      <w:bCs/>
                      <w:color w:val="auto"/>
                      <w:sz w:val="21"/>
                      <w:szCs w:val="21"/>
                    </w:rPr>
                  </w:pPr>
                  <w:r>
                    <w:rPr>
                      <w:bCs/>
                      <w:color w:val="auto"/>
                      <w:sz w:val="21"/>
                      <w:szCs w:val="21"/>
                    </w:rPr>
                    <w:t>南侧</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25.1</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-68.1</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w:t>
                  </w:r>
                </w:p>
              </w:tc>
              <w:tc>
                <w:tcPr>
                  <w:tcW w:w="99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昼间</w:t>
                  </w:r>
                </w:p>
              </w:tc>
              <w:tc>
                <w:tcPr>
                  <w:tcW w:w="1417"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36.1</w:t>
                  </w:r>
                </w:p>
              </w:tc>
              <w:tc>
                <w:tcPr>
                  <w:tcW w:w="141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60</w:t>
                  </w:r>
                </w:p>
              </w:tc>
              <w:tc>
                <w:tcPr>
                  <w:tcW w:w="118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continue"/>
                  <w:shd w:val="clear" w:color="auto" w:fill="FFFFFF"/>
                  <w:vAlign w:val="center"/>
                </w:tcPr>
                <w:p>
                  <w:pPr>
                    <w:spacing w:line="240" w:lineRule="auto"/>
                    <w:ind w:firstLine="0" w:firstLineChars="0"/>
                    <w:jc w:val="center"/>
                    <w:rPr>
                      <w:bCs/>
                      <w:color w:val="auto"/>
                      <w:sz w:val="21"/>
                      <w:szCs w:val="21"/>
                    </w:rPr>
                  </w:pP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25.1</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-68.1</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w:t>
                  </w:r>
                </w:p>
              </w:tc>
              <w:tc>
                <w:tcPr>
                  <w:tcW w:w="99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夜间</w:t>
                  </w:r>
                </w:p>
              </w:tc>
              <w:tc>
                <w:tcPr>
                  <w:tcW w:w="1417"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36.1</w:t>
                  </w:r>
                </w:p>
              </w:tc>
              <w:tc>
                <w:tcPr>
                  <w:tcW w:w="141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50</w:t>
                  </w:r>
                </w:p>
              </w:tc>
              <w:tc>
                <w:tcPr>
                  <w:tcW w:w="118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restart"/>
                  <w:shd w:val="clear" w:color="auto" w:fill="FFFFFF"/>
                  <w:vAlign w:val="center"/>
                </w:tcPr>
                <w:p>
                  <w:pPr>
                    <w:spacing w:line="240" w:lineRule="auto"/>
                    <w:ind w:firstLine="0" w:firstLineChars="0"/>
                    <w:jc w:val="center"/>
                    <w:rPr>
                      <w:bCs/>
                      <w:color w:val="auto"/>
                      <w:sz w:val="21"/>
                      <w:szCs w:val="21"/>
                    </w:rPr>
                  </w:pPr>
                  <w:r>
                    <w:rPr>
                      <w:bCs/>
                      <w:color w:val="auto"/>
                      <w:sz w:val="21"/>
                      <w:szCs w:val="21"/>
                    </w:rPr>
                    <w:t>西侧</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-108</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-58.7</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w:t>
                  </w:r>
                </w:p>
              </w:tc>
              <w:tc>
                <w:tcPr>
                  <w:tcW w:w="99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昼间</w:t>
                  </w:r>
                </w:p>
              </w:tc>
              <w:tc>
                <w:tcPr>
                  <w:tcW w:w="1417"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12.6</w:t>
                  </w:r>
                </w:p>
              </w:tc>
              <w:tc>
                <w:tcPr>
                  <w:tcW w:w="141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60</w:t>
                  </w:r>
                </w:p>
              </w:tc>
              <w:tc>
                <w:tcPr>
                  <w:tcW w:w="118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continue"/>
                  <w:shd w:val="clear" w:color="auto" w:fill="FFFFFF"/>
                  <w:vAlign w:val="center"/>
                </w:tcPr>
                <w:p>
                  <w:pPr>
                    <w:spacing w:line="240" w:lineRule="auto"/>
                    <w:ind w:firstLine="0" w:firstLineChars="0"/>
                    <w:jc w:val="center"/>
                    <w:rPr>
                      <w:bCs/>
                      <w:color w:val="auto"/>
                      <w:sz w:val="21"/>
                      <w:szCs w:val="21"/>
                    </w:rPr>
                  </w:pP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-108</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-58.7</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w:t>
                  </w:r>
                </w:p>
              </w:tc>
              <w:tc>
                <w:tcPr>
                  <w:tcW w:w="99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夜间</w:t>
                  </w:r>
                </w:p>
              </w:tc>
              <w:tc>
                <w:tcPr>
                  <w:tcW w:w="1417"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12.6</w:t>
                  </w:r>
                </w:p>
              </w:tc>
              <w:tc>
                <w:tcPr>
                  <w:tcW w:w="141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50</w:t>
                  </w:r>
                </w:p>
              </w:tc>
              <w:tc>
                <w:tcPr>
                  <w:tcW w:w="118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restart"/>
                  <w:shd w:val="clear" w:color="auto" w:fill="FFFFFF"/>
                  <w:vAlign w:val="center"/>
                </w:tcPr>
                <w:p>
                  <w:pPr>
                    <w:spacing w:line="240" w:lineRule="auto"/>
                    <w:ind w:firstLine="0" w:firstLineChars="0"/>
                    <w:jc w:val="center"/>
                    <w:rPr>
                      <w:bCs/>
                      <w:color w:val="auto"/>
                      <w:sz w:val="21"/>
                      <w:szCs w:val="21"/>
                    </w:rPr>
                  </w:pPr>
                  <w:r>
                    <w:rPr>
                      <w:bCs/>
                      <w:color w:val="auto"/>
                      <w:sz w:val="21"/>
                      <w:szCs w:val="21"/>
                    </w:rPr>
                    <w:t>北侧</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-3.5</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74.1</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w:t>
                  </w:r>
                </w:p>
              </w:tc>
              <w:tc>
                <w:tcPr>
                  <w:tcW w:w="99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昼间</w:t>
                  </w:r>
                </w:p>
              </w:tc>
              <w:tc>
                <w:tcPr>
                  <w:tcW w:w="1417"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12.8</w:t>
                  </w:r>
                </w:p>
              </w:tc>
              <w:tc>
                <w:tcPr>
                  <w:tcW w:w="141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60</w:t>
                  </w:r>
                </w:p>
              </w:tc>
              <w:tc>
                <w:tcPr>
                  <w:tcW w:w="118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08" w:hRule="exact"/>
                <w:jc w:val="center"/>
              </w:trPr>
              <w:tc>
                <w:tcPr>
                  <w:tcW w:w="1101" w:type="dxa"/>
                  <w:vMerge w:val="continue"/>
                  <w:shd w:val="clear" w:color="auto" w:fill="FFFFFF"/>
                  <w:vAlign w:val="center"/>
                </w:tcPr>
                <w:p>
                  <w:pPr>
                    <w:spacing w:line="240" w:lineRule="auto"/>
                    <w:ind w:firstLine="0" w:firstLineChars="0"/>
                    <w:jc w:val="center"/>
                    <w:rPr>
                      <w:bCs/>
                      <w:color w:val="auto"/>
                      <w:sz w:val="21"/>
                      <w:szCs w:val="21"/>
                    </w:rPr>
                  </w:pP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-3.5</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74.1</w:t>
                  </w:r>
                </w:p>
              </w:tc>
              <w:tc>
                <w:tcPr>
                  <w:tcW w:w="80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w:t>
                  </w:r>
                </w:p>
              </w:tc>
              <w:tc>
                <w:tcPr>
                  <w:tcW w:w="993"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夜间</w:t>
                  </w:r>
                </w:p>
              </w:tc>
              <w:tc>
                <w:tcPr>
                  <w:tcW w:w="1417"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12.8</w:t>
                  </w:r>
                </w:p>
              </w:tc>
              <w:tc>
                <w:tcPr>
                  <w:tcW w:w="141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50</w:t>
                  </w:r>
                </w:p>
              </w:tc>
              <w:tc>
                <w:tcPr>
                  <w:tcW w:w="1188" w:type="dxa"/>
                  <w:shd w:val="clear" w:color="auto" w:fill="FFFFFF"/>
                  <w:vAlign w:val="center"/>
                </w:tcPr>
                <w:p>
                  <w:pPr>
                    <w:spacing w:line="240" w:lineRule="auto"/>
                    <w:ind w:firstLine="0" w:firstLineChars="0"/>
                    <w:jc w:val="center"/>
                    <w:rPr>
                      <w:bCs/>
                      <w:color w:val="auto"/>
                      <w:sz w:val="21"/>
                      <w:szCs w:val="21"/>
                    </w:rPr>
                  </w:pPr>
                  <w:r>
                    <w:rPr>
                      <w:bCs/>
                      <w:color w:val="auto"/>
                      <w:sz w:val="21"/>
                      <w:szCs w:val="21"/>
                    </w:rPr>
                    <w:t>达标</w:t>
                  </w:r>
                </w:p>
              </w:tc>
            </w:tr>
          </w:tbl>
          <w:p>
            <w:pPr>
              <w:adjustRightInd w:val="0"/>
              <w:snapToGrid w:val="0"/>
              <w:ind w:firstLine="440"/>
              <w:rPr>
                <w:bCs/>
                <w:color w:val="auto"/>
                <w:spacing w:val="-10"/>
                <w:szCs w:val="21"/>
              </w:rPr>
            </w:pPr>
            <w:r>
              <w:rPr>
                <w:bCs/>
                <w:color w:val="auto"/>
                <w:spacing w:val="-10"/>
              </w:rPr>
              <w:t>由预测结果可知，</w:t>
            </w:r>
            <w:r>
              <w:rPr>
                <w:rFonts w:hint="eastAsia"/>
                <w:bCs/>
                <w:color w:val="auto"/>
                <w:spacing w:val="-10"/>
                <w:szCs w:val="21"/>
              </w:rPr>
              <w:t>改扩建完成后在采取降噪措施后可确保厂界处昼间及夜间噪声贡献值满足《工业企业厂界环境噪声排放标准》（GB</w:t>
            </w:r>
            <w:r>
              <w:rPr>
                <w:bCs/>
                <w:color w:val="auto"/>
                <w:spacing w:val="-10"/>
                <w:szCs w:val="21"/>
              </w:rPr>
              <w:t xml:space="preserve"> </w:t>
            </w:r>
            <w:r>
              <w:rPr>
                <w:rFonts w:hint="eastAsia"/>
                <w:bCs/>
                <w:color w:val="auto"/>
                <w:spacing w:val="-10"/>
                <w:szCs w:val="21"/>
              </w:rPr>
              <w:t>12348-2008）中2类标准要求。</w:t>
            </w:r>
          </w:p>
          <w:p>
            <w:pPr>
              <w:widowControl/>
              <w:ind w:firstLine="480"/>
              <w:jc w:val="left"/>
              <w:rPr>
                <w:bCs/>
                <w:color w:val="auto"/>
                <w:spacing w:val="-10"/>
              </w:rPr>
            </w:pPr>
            <w:r>
              <w:rPr>
                <w:rFonts w:hint="eastAsia" w:ascii="宋体" w:hAnsi="宋体" w:cs="宋体"/>
                <w:color w:val="auto"/>
                <w:kern w:val="0"/>
                <w:lang w:bidi="ar"/>
              </w:rPr>
              <w:t>环境影响预测评价的目的即评价项目建成后对周围环境及厂界噪声影响的程度。项目周边</w:t>
            </w:r>
            <w:r>
              <w:rPr>
                <w:color w:val="auto"/>
                <w:kern w:val="0"/>
                <w:lang w:bidi="ar"/>
              </w:rPr>
              <w:t>50m</w:t>
            </w:r>
            <w:r>
              <w:rPr>
                <w:rFonts w:hint="eastAsia" w:ascii="宋体" w:hAnsi="宋体" w:cs="宋体"/>
                <w:color w:val="auto"/>
                <w:kern w:val="0"/>
                <w:lang w:bidi="ar"/>
              </w:rPr>
              <w:t>范围内无声环境敏感目标，本次仅预测厂界噪声。</w:t>
            </w:r>
          </w:p>
          <w:p>
            <w:pPr>
              <w:ind w:firstLine="480"/>
              <w:rPr>
                <w:color w:val="auto"/>
              </w:rPr>
            </w:pPr>
            <w:r>
              <w:rPr>
                <w:rFonts w:hint="eastAsia"/>
                <w:color w:val="auto"/>
              </w:rPr>
              <w:t>（5）</w:t>
            </w:r>
            <w:r>
              <w:rPr>
                <w:color w:val="auto"/>
              </w:rPr>
              <w:t>噪声自行监测要求</w:t>
            </w:r>
          </w:p>
          <w:p>
            <w:pPr>
              <w:widowControl/>
              <w:ind w:firstLine="480"/>
              <w:jc w:val="left"/>
              <w:rPr>
                <w:rFonts w:ascii="宋体" w:hAnsi="宋体" w:cs="宋体"/>
                <w:color w:val="auto"/>
                <w:kern w:val="0"/>
                <w:lang w:bidi="ar"/>
              </w:rPr>
            </w:pPr>
            <w:r>
              <w:rPr>
                <w:rFonts w:hint="eastAsia" w:ascii="宋体" w:hAnsi="宋体" w:cs="宋体"/>
                <w:color w:val="auto"/>
                <w:kern w:val="0"/>
                <w:lang w:bidi="ar"/>
              </w:rPr>
              <w:t>据《排污单位自行监测技术指南总则》（</w:t>
            </w:r>
            <w:r>
              <w:rPr>
                <w:color w:val="auto"/>
                <w:kern w:val="0"/>
                <w:lang w:bidi="ar"/>
              </w:rPr>
              <w:t>HJ819-2017</w:t>
            </w:r>
            <w:r>
              <w:rPr>
                <w:rFonts w:hint="eastAsia" w:ascii="宋体" w:hAnsi="宋体" w:cs="宋体"/>
                <w:color w:val="auto"/>
                <w:kern w:val="0"/>
                <w:lang w:bidi="ar"/>
              </w:rPr>
              <w:t>）及《排污许可证申请与核发技术规范 工业噪声》（</w:t>
            </w:r>
            <w:r>
              <w:rPr>
                <w:color w:val="auto"/>
                <w:kern w:val="0"/>
                <w:lang w:bidi="ar"/>
              </w:rPr>
              <w:t>HJ 1301</w:t>
            </w:r>
            <w:r>
              <w:rPr>
                <w:rFonts w:hint="eastAsia" w:ascii="宋体" w:hAnsi="宋体" w:cs="宋体"/>
                <w:color w:val="auto"/>
                <w:kern w:val="0"/>
                <w:lang w:bidi="ar"/>
              </w:rPr>
              <w:t>—</w:t>
            </w:r>
            <w:r>
              <w:rPr>
                <w:color w:val="auto"/>
                <w:kern w:val="0"/>
                <w:lang w:bidi="ar"/>
              </w:rPr>
              <w:t>2023</w:t>
            </w:r>
            <w:r>
              <w:rPr>
                <w:rFonts w:hint="eastAsia" w:ascii="宋体" w:hAnsi="宋体" w:cs="宋体"/>
                <w:color w:val="auto"/>
                <w:kern w:val="0"/>
                <w:lang w:bidi="ar"/>
              </w:rPr>
              <w:t>）项目监测点位位置、监测频次及最低监测频次按下表执行。</w:t>
            </w:r>
          </w:p>
          <w:p>
            <w:pPr>
              <w:spacing w:line="240" w:lineRule="auto"/>
              <w:ind w:firstLine="0" w:firstLineChars="0"/>
              <w:jc w:val="center"/>
              <w:rPr>
                <w:rFonts w:hint="eastAsia"/>
                <w:b/>
                <w:bCs/>
                <w:color w:val="auto"/>
                <w:sz w:val="21"/>
                <w:szCs w:val="21"/>
              </w:rPr>
            </w:pPr>
            <w:r>
              <w:rPr>
                <w:rFonts w:hint="eastAsia"/>
                <w:b/>
                <w:bCs/>
                <w:color w:val="auto"/>
                <w:sz w:val="21"/>
                <w:szCs w:val="21"/>
              </w:rPr>
              <w:t>表4-</w:t>
            </w:r>
            <w:r>
              <w:rPr>
                <w:b/>
                <w:bCs/>
                <w:color w:val="auto"/>
                <w:sz w:val="21"/>
                <w:szCs w:val="21"/>
              </w:rPr>
              <w:fldChar w:fldCharType="begin"/>
            </w:r>
            <w:r>
              <w:rPr>
                <w:b/>
                <w:bCs/>
                <w:color w:val="auto"/>
                <w:sz w:val="21"/>
                <w:szCs w:val="21"/>
              </w:rPr>
              <w:instrText xml:space="preserve"> SEQ 表4- </w:instrText>
            </w:r>
            <w:r>
              <w:rPr>
                <w:b/>
                <w:bCs/>
                <w:color w:val="auto"/>
                <w:sz w:val="21"/>
                <w:szCs w:val="21"/>
              </w:rPr>
              <w:fldChar w:fldCharType="separate"/>
            </w:r>
            <w:r>
              <w:rPr>
                <w:b/>
                <w:bCs/>
                <w:color w:val="auto"/>
                <w:sz w:val="21"/>
                <w:szCs w:val="21"/>
              </w:rPr>
              <w:t>1</w:t>
            </w:r>
            <w:r>
              <w:rPr>
                <w:rFonts w:hint="eastAsia"/>
                <w:b/>
                <w:bCs/>
                <w:color w:val="auto"/>
                <w:sz w:val="21"/>
                <w:szCs w:val="21"/>
              </w:rPr>
              <w:t>3</w:t>
            </w:r>
            <w:r>
              <w:rPr>
                <w:b/>
                <w:bCs/>
                <w:color w:val="auto"/>
                <w:sz w:val="21"/>
                <w:szCs w:val="21"/>
              </w:rPr>
              <w:fldChar w:fldCharType="end"/>
            </w:r>
            <w:r>
              <w:rPr>
                <w:rFonts w:hint="eastAsia"/>
                <w:b/>
                <w:bCs/>
                <w:color w:val="auto"/>
                <w:sz w:val="21"/>
                <w:szCs w:val="21"/>
              </w:rPr>
              <w:t xml:space="preserve">  项目厂界噪声</w:t>
            </w:r>
            <w:r>
              <w:rPr>
                <w:b/>
                <w:bCs/>
                <w:color w:val="auto"/>
                <w:sz w:val="21"/>
                <w:szCs w:val="21"/>
              </w:rPr>
              <w:t>噪声自行监测要求</w:t>
            </w:r>
            <w:r>
              <w:rPr>
                <w:rFonts w:hint="eastAsia"/>
                <w:b/>
                <w:bCs/>
                <w:color w:val="auto"/>
                <w:sz w:val="21"/>
                <w:szCs w:val="21"/>
              </w:rPr>
              <w:t>清单</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658"/>
              <w:gridCol w:w="1241"/>
              <w:gridCol w:w="735"/>
              <w:gridCol w:w="3116"/>
              <w:gridCol w:w="14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环境要素</w:t>
                  </w:r>
                </w:p>
              </w:tc>
              <w:tc>
                <w:tcPr>
                  <w:tcW w:w="0" w:type="auto"/>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监测位置</w:t>
                  </w:r>
                </w:p>
              </w:tc>
              <w:tc>
                <w:tcPr>
                  <w:tcW w:w="0" w:type="auto"/>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监测项目</w:t>
                  </w:r>
                </w:p>
              </w:tc>
              <w:tc>
                <w:tcPr>
                  <w:tcW w:w="0" w:type="auto"/>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监测频率</w:t>
                  </w:r>
                </w:p>
              </w:tc>
              <w:tc>
                <w:tcPr>
                  <w:tcW w:w="0" w:type="auto"/>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执行排放标准</w:t>
                  </w:r>
                </w:p>
              </w:tc>
              <w:tc>
                <w:tcPr>
                  <w:tcW w:w="0" w:type="auto"/>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噪声</w:t>
                  </w:r>
                </w:p>
              </w:tc>
              <w:tc>
                <w:tcPr>
                  <w:tcW w:w="0" w:type="auto"/>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厂界</w:t>
                  </w:r>
                </w:p>
              </w:tc>
              <w:tc>
                <w:tcPr>
                  <w:tcW w:w="0" w:type="auto"/>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昼间、夜间Leq(A)</w:t>
                  </w:r>
                </w:p>
              </w:tc>
              <w:tc>
                <w:tcPr>
                  <w:tcW w:w="0" w:type="auto"/>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每季度一次</w:t>
                  </w:r>
                </w:p>
              </w:tc>
              <w:tc>
                <w:tcPr>
                  <w:tcW w:w="0" w:type="auto"/>
                  <w:vAlign w:val="center"/>
                </w:tcPr>
                <w:p>
                  <w:pPr>
                    <w:adjustRightInd w:val="0"/>
                    <w:snapToGrid w:val="0"/>
                    <w:spacing w:line="240" w:lineRule="auto"/>
                    <w:ind w:firstLine="0" w:firstLineChars="0"/>
                    <w:jc w:val="center"/>
                    <w:rPr>
                      <w:bCs/>
                      <w:color w:val="auto"/>
                      <w:spacing w:val="-10"/>
                      <w:sz w:val="21"/>
                      <w:szCs w:val="21"/>
                    </w:rPr>
                  </w:pPr>
                  <w:r>
                    <w:rPr>
                      <w:bCs/>
                      <w:color w:val="auto"/>
                      <w:spacing w:val="-10"/>
                      <w:sz w:val="21"/>
                      <w:szCs w:val="21"/>
                    </w:rPr>
                    <w:t>《工业企业厂界环境噪声排放标准》（GB 12348-2008）中2类标准要求</w:t>
                  </w:r>
                </w:p>
              </w:tc>
              <w:tc>
                <w:tcPr>
                  <w:tcW w:w="0" w:type="auto"/>
                  <w:vAlign w:val="center"/>
                </w:tcPr>
                <w:p>
                  <w:pPr>
                    <w:widowControl/>
                    <w:spacing w:line="240" w:lineRule="auto"/>
                    <w:ind w:firstLine="0" w:firstLineChars="0"/>
                    <w:jc w:val="center"/>
                    <w:rPr>
                      <w:color w:val="auto"/>
                      <w:kern w:val="0"/>
                      <w:sz w:val="21"/>
                      <w:szCs w:val="21"/>
                      <w:lang w:bidi="ar"/>
                    </w:rPr>
                  </w:pPr>
                  <w:r>
                    <w:rPr>
                      <w:color w:val="auto"/>
                      <w:kern w:val="0"/>
                      <w:sz w:val="21"/>
                      <w:szCs w:val="21"/>
                      <w:lang w:bidi="ar"/>
                    </w:rPr>
                    <w:t>委托有监测能力的单位实时监测</w:t>
                  </w:r>
                </w:p>
              </w:tc>
            </w:tr>
          </w:tbl>
          <w:p>
            <w:pPr>
              <w:pStyle w:val="10"/>
              <w:spacing w:after="0" w:line="240" w:lineRule="auto"/>
              <w:ind w:left="0" w:leftChars="0" w:firstLine="0" w:firstLineChars="0"/>
              <w:rPr>
                <w:rFonts w:hint="eastAsia" w:ascii="宋体" w:hAnsi="宋体" w:cs="宋体"/>
                <w:color w:val="auto"/>
                <w:szCs w:val="24"/>
                <w:lang w:bidi="ar"/>
              </w:rPr>
            </w:pPr>
          </w:p>
          <w:p>
            <w:pPr>
              <w:ind w:firstLine="0" w:firstLineChars="0"/>
              <w:rPr>
                <w:rFonts w:hint="eastAsia" w:ascii="宋体" w:hAnsi="宋体" w:cs="宋体"/>
                <w:color w:val="auto"/>
                <w:kern w:val="0"/>
                <w:lang w:bidi="ar"/>
              </w:rPr>
            </w:pPr>
            <w:r>
              <w:rPr>
                <w:b/>
                <w:bCs/>
                <w:color w:val="auto"/>
                <w:kern w:val="0"/>
                <w:lang w:bidi="ar"/>
              </w:rPr>
              <w:t>4、</w:t>
            </w:r>
            <w:r>
              <w:rPr>
                <w:rFonts w:hint="eastAsia"/>
                <w:b/>
                <w:bCs/>
                <w:color w:val="auto"/>
              </w:rPr>
              <w:t>固体废物影响分析和保护措施</w:t>
            </w:r>
          </w:p>
          <w:p>
            <w:pPr>
              <w:pStyle w:val="10"/>
              <w:ind w:left="0" w:leftChars="0" w:firstLine="480"/>
              <w:rPr>
                <w:color w:val="auto"/>
              </w:rPr>
            </w:pPr>
            <w:r>
              <w:rPr>
                <w:rFonts w:hint="eastAsia"/>
                <w:color w:val="auto"/>
              </w:rPr>
              <w:t>本项目不新增工作人员，故不新增生活垃圾，本项目运营期产生的固体废物主要为纯水制备废过滤材料（含活性炭滤芯和RO膜）。</w:t>
            </w:r>
          </w:p>
          <w:p>
            <w:pPr>
              <w:pStyle w:val="10"/>
              <w:spacing w:after="0"/>
              <w:ind w:left="0" w:leftChars="0" w:firstLine="480"/>
              <w:rPr>
                <w:color w:val="auto"/>
              </w:rPr>
            </w:pPr>
            <w:r>
              <w:rPr>
                <w:rFonts w:hint="eastAsia"/>
                <w:color w:val="auto"/>
              </w:rPr>
              <w:t>（1）纯水制备废过滤材料</w:t>
            </w:r>
          </w:p>
          <w:p>
            <w:pPr>
              <w:pStyle w:val="10"/>
              <w:spacing w:after="0"/>
              <w:ind w:left="0" w:leftChars="0" w:firstLine="480"/>
              <w:rPr>
                <w:color w:val="auto"/>
              </w:rPr>
            </w:pPr>
            <w:r>
              <w:rPr>
                <w:rFonts w:hint="eastAsia"/>
                <w:color w:val="auto"/>
              </w:rPr>
              <w:t>软水制备过程中需要加入离子树脂将水中钙镁及金属离子置换，去除水中硬度，离子树脂由专业人士负责定期更换，约1年更换1次，废离子树脂属于一般工业固体废物，类比同类型项目，产生量约为0.02t/a。根据《一般固体废物分类与代码》（GB/T39193-2020）中规定，纯水制备产生的废石英砂及废活性炭属于“IV 非特定行业生产过程产生的一般固体废物——99、其它废物——900-999-99”，纯水制备产生的废石英砂及废活性炭由原厂家定期更换，更换后交由原厂家处置。</w:t>
            </w:r>
          </w:p>
          <w:p>
            <w:pPr>
              <w:pStyle w:val="10"/>
              <w:spacing w:after="0"/>
              <w:ind w:left="0" w:leftChars="0" w:firstLine="480"/>
              <w:rPr>
                <w:color w:val="auto"/>
              </w:rPr>
            </w:pPr>
            <w:r>
              <w:rPr>
                <w:rFonts w:hint="eastAsia"/>
                <w:color w:val="auto"/>
              </w:rPr>
              <w:t>（2）危险废物</w:t>
            </w:r>
          </w:p>
          <w:p>
            <w:pPr>
              <w:ind w:firstLine="480"/>
              <w:rPr>
                <w:color w:val="auto"/>
              </w:rPr>
            </w:pPr>
            <w:r>
              <w:rPr>
                <w:rFonts w:hint="eastAsia"/>
                <w:color w:val="auto"/>
              </w:rPr>
              <w:t>项目营运期仅增加一台沼气锅炉，营运期不产生危废。</w:t>
            </w:r>
          </w:p>
          <w:p>
            <w:pPr>
              <w:spacing w:line="240" w:lineRule="auto"/>
              <w:ind w:firstLine="0" w:firstLineChars="0"/>
              <w:jc w:val="center"/>
              <w:rPr>
                <w:b/>
                <w:bCs/>
                <w:color w:val="auto"/>
                <w:sz w:val="21"/>
                <w:szCs w:val="21"/>
              </w:rPr>
            </w:pPr>
            <w:r>
              <w:rPr>
                <w:rFonts w:hint="eastAsia"/>
                <w:b/>
                <w:bCs/>
                <w:color w:val="auto"/>
                <w:sz w:val="21"/>
                <w:szCs w:val="21"/>
              </w:rPr>
              <w:t>表4-</w:t>
            </w:r>
            <w:r>
              <w:rPr>
                <w:b/>
                <w:bCs/>
                <w:color w:val="auto"/>
                <w:sz w:val="21"/>
                <w:szCs w:val="21"/>
              </w:rPr>
              <w:fldChar w:fldCharType="begin"/>
            </w:r>
            <w:r>
              <w:rPr>
                <w:b/>
                <w:bCs/>
                <w:color w:val="auto"/>
                <w:sz w:val="21"/>
                <w:szCs w:val="21"/>
              </w:rPr>
              <w:instrText xml:space="preserve"> SEQ 表4- </w:instrText>
            </w:r>
            <w:r>
              <w:rPr>
                <w:b/>
                <w:bCs/>
                <w:color w:val="auto"/>
                <w:sz w:val="21"/>
                <w:szCs w:val="21"/>
              </w:rPr>
              <w:fldChar w:fldCharType="separate"/>
            </w:r>
            <w:r>
              <w:rPr>
                <w:rFonts w:hint="eastAsia"/>
                <w:b/>
                <w:bCs/>
                <w:color w:val="auto"/>
                <w:sz w:val="21"/>
                <w:szCs w:val="21"/>
              </w:rPr>
              <w:t>14</w:t>
            </w:r>
            <w:r>
              <w:rPr>
                <w:b/>
                <w:bCs/>
                <w:color w:val="auto"/>
                <w:sz w:val="21"/>
                <w:szCs w:val="21"/>
              </w:rPr>
              <w:fldChar w:fldCharType="end"/>
            </w:r>
            <w:r>
              <w:rPr>
                <w:rFonts w:hint="eastAsia"/>
                <w:b/>
                <w:bCs/>
                <w:color w:val="auto"/>
                <w:sz w:val="21"/>
                <w:szCs w:val="21"/>
              </w:rPr>
              <w:t xml:space="preserve">  项目固废产排情况汇总表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7"/>
              <w:gridCol w:w="2925"/>
              <w:gridCol w:w="790"/>
              <w:gridCol w:w="547"/>
              <w:gridCol w:w="1088"/>
              <w:gridCol w:w="790"/>
              <w:gridCol w:w="1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0" w:type="auto"/>
                  <w:vAlign w:val="center"/>
                </w:tcPr>
                <w:p>
                  <w:pPr>
                    <w:spacing w:line="240" w:lineRule="auto"/>
                    <w:ind w:firstLine="0" w:firstLineChars="0"/>
                    <w:jc w:val="center"/>
                    <w:rPr>
                      <w:color w:val="auto"/>
                      <w:sz w:val="21"/>
                      <w:szCs w:val="21"/>
                    </w:rPr>
                  </w:pPr>
                  <w:r>
                    <w:rPr>
                      <w:color w:val="auto"/>
                      <w:sz w:val="21"/>
                      <w:szCs w:val="21"/>
                    </w:rPr>
                    <w:t>序号</w:t>
                  </w:r>
                </w:p>
              </w:tc>
              <w:tc>
                <w:tcPr>
                  <w:tcW w:w="0" w:type="auto"/>
                  <w:vAlign w:val="center"/>
                </w:tcPr>
                <w:p>
                  <w:pPr>
                    <w:spacing w:line="240" w:lineRule="auto"/>
                    <w:ind w:firstLine="0" w:firstLineChars="0"/>
                    <w:jc w:val="center"/>
                    <w:rPr>
                      <w:color w:val="auto"/>
                      <w:sz w:val="21"/>
                      <w:szCs w:val="21"/>
                    </w:rPr>
                  </w:pPr>
                  <w:r>
                    <w:rPr>
                      <w:color w:val="auto"/>
                      <w:sz w:val="21"/>
                      <w:szCs w:val="21"/>
                    </w:rPr>
                    <w:t>名称</w:t>
                  </w:r>
                </w:p>
              </w:tc>
              <w:tc>
                <w:tcPr>
                  <w:tcW w:w="0" w:type="auto"/>
                  <w:vAlign w:val="center"/>
                </w:tcPr>
                <w:p>
                  <w:pPr>
                    <w:spacing w:line="240" w:lineRule="auto"/>
                    <w:ind w:firstLine="0" w:firstLineChars="0"/>
                    <w:jc w:val="center"/>
                    <w:rPr>
                      <w:color w:val="auto"/>
                      <w:sz w:val="21"/>
                      <w:szCs w:val="21"/>
                    </w:rPr>
                  </w:pPr>
                  <w:r>
                    <w:rPr>
                      <w:color w:val="auto"/>
                      <w:sz w:val="21"/>
                      <w:szCs w:val="21"/>
                    </w:rPr>
                    <w:t>产生工序</w:t>
                  </w:r>
                </w:p>
              </w:tc>
              <w:tc>
                <w:tcPr>
                  <w:tcW w:w="0" w:type="auto"/>
                  <w:vAlign w:val="center"/>
                </w:tcPr>
                <w:p>
                  <w:pPr>
                    <w:spacing w:line="240" w:lineRule="auto"/>
                    <w:ind w:firstLine="0" w:firstLineChars="0"/>
                    <w:jc w:val="center"/>
                    <w:rPr>
                      <w:color w:val="auto"/>
                      <w:sz w:val="21"/>
                      <w:szCs w:val="21"/>
                    </w:rPr>
                  </w:pPr>
                  <w:r>
                    <w:rPr>
                      <w:color w:val="auto"/>
                      <w:sz w:val="21"/>
                      <w:szCs w:val="21"/>
                    </w:rPr>
                    <w:t>性状</w:t>
                  </w:r>
                </w:p>
              </w:tc>
              <w:tc>
                <w:tcPr>
                  <w:tcW w:w="0" w:type="auto"/>
                  <w:vAlign w:val="center"/>
                </w:tcPr>
                <w:p>
                  <w:pPr>
                    <w:spacing w:line="240" w:lineRule="auto"/>
                    <w:ind w:firstLine="0" w:firstLineChars="0"/>
                    <w:jc w:val="center"/>
                    <w:rPr>
                      <w:color w:val="auto"/>
                      <w:sz w:val="21"/>
                      <w:szCs w:val="21"/>
                    </w:rPr>
                  </w:pPr>
                  <w:r>
                    <w:rPr>
                      <w:color w:val="auto"/>
                      <w:sz w:val="21"/>
                      <w:szCs w:val="21"/>
                    </w:rPr>
                    <w:t>数量（t/a）</w:t>
                  </w:r>
                </w:p>
              </w:tc>
              <w:tc>
                <w:tcPr>
                  <w:tcW w:w="0" w:type="auto"/>
                  <w:vAlign w:val="center"/>
                </w:tcPr>
                <w:p>
                  <w:pPr>
                    <w:spacing w:line="240" w:lineRule="auto"/>
                    <w:ind w:firstLine="0" w:firstLineChars="0"/>
                    <w:jc w:val="center"/>
                    <w:rPr>
                      <w:color w:val="auto"/>
                      <w:sz w:val="21"/>
                      <w:szCs w:val="21"/>
                    </w:rPr>
                  </w:pPr>
                  <w:r>
                    <w:rPr>
                      <w:color w:val="auto"/>
                      <w:sz w:val="21"/>
                      <w:szCs w:val="21"/>
                    </w:rPr>
                    <w:t>属性</w:t>
                  </w:r>
                </w:p>
              </w:tc>
              <w:tc>
                <w:tcPr>
                  <w:tcW w:w="0" w:type="auto"/>
                  <w:vAlign w:val="center"/>
                </w:tcPr>
                <w:p>
                  <w:pPr>
                    <w:spacing w:line="240" w:lineRule="auto"/>
                    <w:ind w:firstLine="0" w:firstLineChars="0"/>
                    <w:jc w:val="center"/>
                    <w:rPr>
                      <w:color w:val="auto"/>
                      <w:sz w:val="21"/>
                      <w:szCs w:val="21"/>
                    </w:rPr>
                  </w:pPr>
                  <w:r>
                    <w:rPr>
                      <w:color w:val="auto"/>
                      <w:sz w:val="21"/>
                      <w:szCs w:val="21"/>
                    </w:rPr>
                    <w:t>采取的处置方式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color w:val="auto"/>
                      <w:sz w:val="21"/>
                      <w:szCs w:val="21"/>
                    </w:rPr>
                  </w:pPr>
                  <w:r>
                    <w:rPr>
                      <w:color w:val="auto"/>
                      <w:sz w:val="21"/>
                      <w:szCs w:val="21"/>
                    </w:rPr>
                    <w:t>1</w:t>
                  </w:r>
                </w:p>
              </w:tc>
              <w:tc>
                <w:tcPr>
                  <w:tcW w:w="0" w:type="auto"/>
                  <w:vAlign w:val="center"/>
                </w:tcPr>
                <w:p>
                  <w:pPr>
                    <w:spacing w:line="240" w:lineRule="auto"/>
                    <w:ind w:firstLine="0" w:firstLineChars="0"/>
                    <w:jc w:val="center"/>
                    <w:rPr>
                      <w:color w:val="auto"/>
                      <w:sz w:val="21"/>
                      <w:szCs w:val="21"/>
                    </w:rPr>
                  </w:pPr>
                  <w:r>
                    <w:rPr>
                      <w:color w:val="auto"/>
                      <w:sz w:val="21"/>
                      <w:szCs w:val="21"/>
                    </w:rPr>
                    <w:t>纯水制备废过滤材料（含活性炭滤芯和RO膜）</w:t>
                  </w:r>
                </w:p>
              </w:tc>
              <w:tc>
                <w:tcPr>
                  <w:tcW w:w="0" w:type="auto"/>
                  <w:vAlign w:val="center"/>
                </w:tcPr>
                <w:p>
                  <w:pPr>
                    <w:spacing w:line="240" w:lineRule="auto"/>
                    <w:ind w:firstLine="0" w:firstLineChars="0"/>
                    <w:jc w:val="center"/>
                    <w:rPr>
                      <w:color w:val="auto"/>
                      <w:sz w:val="21"/>
                      <w:szCs w:val="21"/>
                    </w:rPr>
                  </w:pPr>
                  <w:r>
                    <w:rPr>
                      <w:color w:val="auto"/>
                      <w:sz w:val="21"/>
                      <w:szCs w:val="21"/>
                    </w:rPr>
                    <w:t>纯水制备</w:t>
                  </w:r>
                </w:p>
              </w:tc>
              <w:tc>
                <w:tcPr>
                  <w:tcW w:w="0" w:type="auto"/>
                  <w:vAlign w:val="center"/>
                </w:tcPr>
                <w:p>
                  <w:pPr>
                    <w:spacing w:line="240" w:lineRule="auto"/>
                    <w:ind w:firstLine="0" w:firstLineChars="0"/>
                    <w:jc w:val="center"/>
                    <w:rPr>
                      <w:color w:val="auto"/>
                      <w:sz w:val="21"/>
                      <w:szCs w:val="21"/>
                    </w:rPr>
                  </w:pPr>
                  <w:r>
                    <w:rPr>
                      <w:color w:val="auto"/>
                      <w:sz w:val="21"/>
                      <w:szCs w:val="21"/>
                    </w:rPr>
                    <w:t>固体</w:t>
                  </w:r>
                </w:p>
              </w:tc>
              <w:tc>
                <w:tcPr>
                  <w:tcW w:w="0" w:type="auto"/>
                  <w:vAlign w:val="center"/>
                </w:tcPr>
                <w:p>
                  <w:pPr>
                    <w:spacing w:line="240" w:lineRule="auto"/>
                    <w:ind w:firstLine="0" w:firstLineChars="0"/>
                    <w:jc w:val="center"/>
                    <w:rPr>
                      <w:color w:val="auto"/>
                      <w:sz w:val="21"/>
                      <w:szCs w:val="21"/>
                    </w:rPr>
                  </w:pPr>
                  <w:r>
                    <w:rPr>
                      <w:color w:val="auto"/>
                      <w:sz w:val="21"/>
                      <w:szCs w:val="21"/>
                    </w:rPr>
                    <w:t>0.02</w:t>
                  </w:r>
                </w:p>
              </w:tc>
              <w:tc>
                <w:tcPr>
                  <w:tcW w:w="0" w:type="auto"/>
                  <w:vAlign w:val="center"/>
                </w:tcPr>
                <w:p>
                  <w:pPr>
                    <w:spacing w:line="240" w:lineRule="auto"/>
                    <w:ind w:firstLine="0" w:firstLineChars="0"/>
                    <w:jc w:val="center"/>
                    <w:rPr>
                      <w:color w:val="auto"/>
                      <w:sz w:val="21"/>
                      <w:szCs w:val="21"/>
                    </w:rPr>
                  </w:pPr>
                  <w:r>
                    <w:rPr>
                      <w:color w:val="auto"/>
                      <w:sz w:val="21"/>
                      <w:szCs w:val="21"/>
                    </w:rPr>
                    <w:t>一般固废</w:t>
                  </w:r>
                </w:p>
              </w:tc>
              <w:tc>
                <w:tcPr>
                  <w:tcW w:w="0" w:type="auto"/>
                  <w:vAlign w:val="center"/>
                </w:tcPr>
                <w:p>
                  <w:pPr>
                    <w:spacing w:line="240" w:lineRule="auto"/>
                    <w:ind w:firstLine="0" w:firstLineChars="0"/>
                    <w:jc w:val="center"/>
                    <w:rPr>
                      <w:color w:val="auto"/>
                      <w:sz w:val="21"/>
                      <w:szCs w:val="21"/>
                    </w:rPr>
                  </w:pPr>
                  <w:r>
                    <w:rPr>
                      <w:color w:val="auto"/>
                      <w:sz w:val="21"/>
                      <w:szCs w:val="21"/>
                    </w:rPr>
                    <w:t>厂家回收</w:t>
                  </w:r>
                </w:p>
              </w:tc>
            </w:tr>
          </w:tbl>
          <w:p>
            <w:pPr>
              <w:widowControl/>
              <w:ind w:firstLine="480"/>
              <w:jc w:val="left"/>
              <w:rPr>
                <w:color w:val="auto"/>
              </w:rPr>
            </w:pPr>
            <w:r>
              <w:rPr>
                <w:rFonts w:hint="eastAsia"/>
                <w:color w:val="auto"/>
              </w:rPr>
              <w:t>本</w:t>
            </w:r>
            <w:r>
              <w:rPr>
                <w:rFonts w:hint="eastAsia" w:ascii="宋体" w:hAnsi="宋体" w:cs="宋体"/>
                <w:color w:val="auto"/>
                <w:kern w:val="0"/>
                <w:lang w:bidi="ar"/>
              </w:rPr>
              <w:t>项目一般固废与危废均得到合理合法合规处置，不产生二次污染，对环境的影响可以接受。</w:t>
            </w:r>
          </w:p>
          <w:p>
            <w:pPr>
              <w:ind w:firstLine="0" w:firstLineChars="0"/>
              <w:rPr>
                <w:b/>
                <w:bCs/>
                <w:color w:val="auto"/>
              </w:rPr>
            </w:pPr>
            <w:r>
              <w:rPr>
                <w:rFonts w:hint="eastAsia"/>
                <w:b/>
                <w:bCs/>
                <w:color w:val="auto"/>
              </w:rPr>
              <w:t>5、</w:t>
            </w:r>
            <w:r>
              <w:rPr>
                <w:b/>
                <w:bCs/>
                <w:color w:val="auto"/>
              </w:rPr>
              <w:t>地下水</w:t>
            </w:r>
            <w:r>
              <w:rPr>
                <w:rFonts w:hint="eastAsia"/>
                <w:b/>
                <w:bCs/>
                <w:color w:val="auto"/>
              </w:rPr>
              <w:t>和土壤</w:t>
            </w:r>
            <w:r>
              <w:rPr>
                <w:b/>
                <w:bCs/>
                <w:color w:val="auto"/>
              </w:rPr>
              <w:t>环境影响分析和保护措施</w:t>
            </w:r>
          </w:p>
          <w:p>
            <w:pPr>
              <w:ind w:firstLine="480"/>
              <w:rPr>
                <w:color w:val="auto"/>
              </w:rPr>
            </w:pPr>
            <w:r>
              <w:rPr>
                <w:rFonts w:hint="eastAsia"/>
                <w:color w:val="auto"/>
              </w:rPr>
              <w:t>（1）污染源、污染物类型及污染途径</w:t>
            </w:r>
          </w:p>
          <w:p>
            <w:pPr>
              <w:ind w:firstLine="480"/>
              <w:rPr>
                <w:color w:val="auto"/>
              </w:rPr>
            </w:pPr>
            <w:r>
              <w:rPr>
                <w:rFonts w:hint="eastAsia"/>
                <w:color w:val="auto"/>
              </w:rPr>
              <w:t>本项目仅新增一台沼气锅炉，故无造成地下水和土壤污染途径，在项目运营期加强对物料贮存、转运过程的管理后，本项目不会对土壤、地下水造成污染。</w:t>
            </w:r>
          </w:p>
          <w:p>
            <w:pPr>
              <w:ind w:firstLine="480"/>
              <w:rPr>
                <w:color w:val="auto"/>
              </w:rPr>
            </w:pPr>
            <w:r>
              <w:rPr>
                <w:rFonts w:hint="eastAsia"/>
                <w:color w:val="auto"/>
              </w:rPr>
              <w:t>（2）防控措施</w:t>
            </w:r>
          </w:p>
          <w:p>
            <w:pPr>
              <w:ind w:firstLine="480"/>
              <w:rPr>
                <w:color w:val="auto"/>
              </w:rPr>
            </w:pPr>
            <w:r>
              <w:rPr>
                <w:rFonts w:hint="eastAsia"/>
                <w:color w:val="auto"/>
              </w:rPr>
              <w:t>①源头控制</w:t>
            </w:r>
          </w:p>
          <w:p>
            <w:pPr>
              <w:ind w:firstLine="480"/>
              <w:rPr>
                <w:color w:val="auto"/>
              </w:rPr>
            </w:pPr>
            <w:r>
              <w:rPr>
                <w:rFonts w:hint="eastAsia"/>
                <w:color w:val="auto"/>
              </w:rPr>
              <w:t>建立巡检制度，定期对现有危废暂存间进行检查，确保设施设备状况良好。</w:t>
            </w:r>
          </w:p>
          <w:p>
            <w:pPr>
              <w:ind w:firstLine="480"/>
              <w:rPr>
                <w:color w:val="auto"/>
              </w:rPr>
            </w:pPr>
            <w:r>
              <w:rPr>
                <w:rFonts w:hint="eastAsia"/>
                <w:color w:val="auto"/>
              </w:rPr>
              <w:t>②分区防渗</w:t>
            </w:r>
          </w:p>
          <w:p>
            <w:pPr>
              <w:ind w:firstLine="480"/>
              <w:rPr>
                <w:color w:val="auto"/>
              </w:rPr>
            </w:pPr>
            <w:r>
              <w:rPr>
                <w:rFonts w:hint="eastAsia"/>
                <w:color w:val="auto"/>
              </w:rPr>
              <w:t>根据地下水污染防治措施和对策，坚持“源头控制、分区防治、污染监控、应急响应，重点突出饮用水水质安全”的原则，本项目应根据国家现行相关规范加强环境管理，采取防止和降低污染物跑、冒、滴、漏等措施，同时加强对防渗工程的检查，对工艺、管道、设备采取控制措施。</w:t>
            </w:r>
          </w:p>
          <w:p>
            <w:pPr>
              <w:ind w:firstLine="480"/>
              <w:rPr>
                <w:color w:val="auto"/>
              </w:rPr>
            </w:pPr>
            <w:r>
              <w:rPr>
                <w:rFonts w:hint="eastAsia"/>
                <w:color w:val="auto"/>
              </w:rPr>
              <w:t>根据厂区各生产功能单元是否可能对地下水造成污染及其风险程度，将厂区划分为重点防渗区、一般防渗区。一般防渗区：裸露于地面的生产功能单元，污染地下水环境的物料或污染物泄漏后，可及时发现和处理的区域或部位。重点防渗区：位于地下或半地下的生产功能单元，污染地下水环境的物料或污染物泄漏后，不易及时发现和处理的区域或部位。</w:t>
            </w:r>
          </w:p>
          <w:p>
            <w:pPr>
              <w:ind w:firstLine="480"/>
              <w:rPr>
                <w:color w:val="auto"/>
              </w:rPr>
            </w:pPr>
            <w:r>
              <w:rPr>
                <w:rFonts w:hint="eastAsia"/>
                <w:color w:val="auto"/>
              </w:rPr>
              <w:t>本项目全厂区分区划分具体情况见下表</w:t>
            </w:r>
          </w:p>
          <w:p>
            <w:pPr>
              <w:spacing w:line="240" w:lineRule="auto"/>
              <w:ind w:firstLine="0" w:firstLineChars="0"/>
              <w:jc w:val="center"/>
              <w:rPr>
                <w:b/>
                <w:bCs/>
                <w:color w:val="auto"/>
                <w:sz w:val="21"/>
                <w:szCs w:val="21"/>
              </w:rPr>
            </w:pPr>
            <w:r>
              <w:rPr>
                <w:rFonts w:hint="eastAsia"/>
                <w:b/>
                <w:bCs/>
                <w:color w:val="auto"/>
                <w:sz w:val="21"/>
                <w:szCs w:val="21"/>
              </w:rPr>
              <w:t>表4-</w:t>
            </w:r>
            <w:r>
              <w:rPr>
                <w:b/>
                <w:bCs/>
                <w:color w:val="auto"/>
                <w:sz w:val="21"/>
                <w:szCs w:val="21"/>
              </w:rPr>
              <w:fldChar w:fldCharType="begin"/>
            </w:r>
            <w:r>
              <w:rPr>
                <w:b/>
                <w:bCs/>
                <w:color w:val="auto"/>
                <w:sz w:val="21"/>
                <w:szCs w:val="21"/>
              </w:rPr>
              <w:instrText xml:space="preserve"> SEQ 表4- </w:instrText>
            </w:r>
            <w:r>
              <w:rPr>
                <w:b/>
                <w:bCs/>
                <w:color w:val="auto"/>
                <w:sz w:val="21"/>
                <w:szCs w:val="21"/>
              </w:rPr>
              <w:fldChar w:fldCharType="separate"/>
            </w:r>
            <w:r>
              <w:rPr>
                <w:rFonts w:hint="eastAsia"/>
                <w:b/>
                <w:bCs/>
                <w:color w:val="auto"/>
                <w:sz w:val="21"/>
                <w:szCs w:val="21"/>
              </w:rPr>
              <w:t>15</w:t>
            </w:r>
            <w:r>
              <w:rPr>
                <w:b/>
                <w:bCs/>
                <w:color w:val="auto"/>
                <w:sz w:val="21"/>
                <w:szCs w:val="21"/>
              </w:rPr>
              <w:fldChar w:fldCharType="end"/>
            </w:r>
            <w:r>
              <w:rPr>
                <w:rFonts w:hint="eastAsia"/>
                <w:b/>
                <w:bCs/>
                <w:color w:val="auto"/>
                <w:sz w:val="21"/>
                <w:szCs w:val="21"/>
              </w:rPr>
              <w:t xml:space="preserve">  项目分区防渗措施一览表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266"/>
              <w:gridCol w:w="1056"/>
              <w:gridCol w:w="3366"/>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color w:val="auto"/>
                      <w:sz w:val="21"/>
                      <w:szCs w:val="21"/>
                    </w:rPr>
                  </w:pPr>
                  <w:r>
                    <w:rPr>
                      <w:color w:val="auto"/>
                      <w:sz w:val="21"/>
                      <w:szCs w:val="21"/>
                    </w:rPr>
                    <w:t>序号</w:t>
                  </w:r>
                </w:p>
              </w:tc>
              <w:tc>
                <w:tcPr>
                  <w:tcW w:w="0" w:type="auto"/>
                  <w:vAlign w:val="center"/>
                </w:tcPr>
                <w:p>
                  <w:pPr>
                    <w:spacing w:line="240" w:lineRule="auto"/>
                    <w:ind w:firstLine="0" w:firstLineChars="0"/>
                    <w:jc w:val="center"/>
                    <w:rPr>
                      <w:color w:val="auto"/>
                      <w:sz w:val="21"/>
                      <w:szCs w:val="21"/>
                    </w:rPr>
                  </w:pPr>
                  <w:r>
                    <w:rPr>
                      <w:color w:val="auto"/>
                      <w:sz w:val="21"/>
                      <w:szCs w:val="21"/>
                    </w:rPr>
                    <w:t>防渗分区</w:t>
                  </w:r>
                </w:p>
              </w:tc>
              <w:tc>
                <w:tcPr>
                  <w:tcW w:w="0" w:type="auto"/>
                  <w:vAlign w:val="center"/>
                </w:tcPr>
                <w:p>
                  <w:pPr>
                    <w:spacing w:line="240" w:lineRule="auto"/>
                    <w:ind w:firstLine="0" w:firstLineChars="0"/>
                    <w:jc w:val="center"/>
                    <w:rPr>
                      <w:color w:val="auto"/>
                      <w:sz w:val="21"/>
                      <w:szCs w:val="21"/>
                    </w:rPr>
                  </w:pPr>
                  <w:r>
                    <w:rPr>
                      <w:color w:val="auto"/>
                      <w:sz w:val="21"/>
                      <w:szCs w:val="21"/>
                    </w:rPr>
                    <w:t>具体范围</w:t>
                  </w:r>
                </w:p>
              </w:tc>
              <w:tc>
                <w:tcPr>
                  <w:tcW w:w="0" w:type="auto"/>
                  <w:vAlign w:val="center"/>
                </w:tcPr>
                <w:p>
                  <w:pPr>
                    <w:spacing w:line="240" w:lineRule="auto"/>
                    <w:ind w:firstLine="0" w:firstLineChars="0"/>
                    <w:jc w:val="center"/>
                    <w:rPr>
                      <w:color w:val="auto"/>
                      <w:sz w:val="21"/>
                      <w:szCs w:val="21"/>
                    </w:rPr>
                  </w:pPr>
                  <w:r>
                    <w:rPr>
                      <w:color w:val="auto"/>
                      <w:sz w:val="21"/>
                      <w:szCs w:val="21"/>
                    </w:rPr>
                    <w:t>防渗措施</w:t>
                  </w:r>
                </w:p>
              </w:tc>
              <w:tc>
                <w:tcPr>
                  <w:tcW w:w="0" w:type="auto"/>
                  <w:vAlign w:val="center"/>
                </w:tcPr>
                <w:p>
                  <w:pPr>
                    <w:spacing w:line="240" w:lineRule="auto"/>
                    <w:ind w:firstLine="0" w:firstLineChars="0"/>
                    <w:jc w:val="center"/>
                    <w:rPr>
                      <w:color w:val="auto"/>
                      <w:sz w:val="21"/>
                      <w:szCs w:val="21"/>
                    </w:rPr>
                  </w:pPr>
                  <w:r>
                    <w:rPr>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spacing w:line="240" w:lineRule="auto"/>
                    <w:ind w:firstLine="0" w:firstLineChars="0"/>
                    <w:jc w:val="center"/>
                    <w:rPr>
                      <w:color w:val="auto"/>
                      <w:sz w:val="21"/>
                      <w:szCs w:val="21"/>
                    </w:rPr>
                  </w:pPr>
                  <w:r>
                    <w:rPr>
                      <w:color w:val="auto"/>
                      <w:sz w:val="21"/>
                      <w:szCs w:val="21"/>
                    </w:rPr>
                    <w:t>1</w:t>
                  </w:r>
                </w:p>
              </w:tc>
              <w:tc>
                <w:tcPr>
                  <w:tcW w:w="0" w:type="auto"/>
                  <w:vAlign w:val="center"/>
                </w:tcPr>
                <w:p>
                  <w:pPr>
                    <w:spacing w:line="240" w:lineRule="auto"/>
                    <w:ind w:firstLine="0" w:firstLineChars="0"/>
                    <w:jc w:val="center"/>
                    <w:rPr>
                      <w:color w:val="auto"/>
                      <w:sz w:val="21"/>
                      <w:szCs w:val="21"/>
                    </w:rPr>
                  </w:pPr>
                  <w:r>
                    <w:rPr>
                      <w:color w:val="auto"/>
                      <w:sz w:val="21"/>
                      <w:szCs w:val="21"/>
                    </w:rPr>
                    <w:t>一般防渗区</w:t>
                  </w:r>
                </w:p>
              </w:tc>
              <w:tc>
                <w:tcPr>
                  <w:tcW w:w="0" w:type="auto"/>
                  <w:vAlign w:val="center"/>
                </w:tcPr>
                <w:p>
                  <w:pPr>
                    <w:spacing w:line="240" w:lineRule="auto"/>
                    <w:ind w:firstLine="0" w:firstLineChars="0"/>
                    <w:jc w:val="center"/>
                    <w:rPr>
                      <w:color w:val="auto"/>
                      <w:sz w:val="21"/>
                      <w:szCs w:val="21"/>
                    </w:rPr>
                  </w:pPr>
                  <w:r>
                    <w:rPr>
                      <w:color w:val="auto"/>
                      <w:sz w:val="21"/>
                      <w:szCs w:val="21"/>
                    </w:rPr>
                    <w:t>锅炉房</w:t>
                  </w:r>
                </w:p>
              </w:tc>
              <w:tc>
                <w:tcPr>
                  <w:tcW w:w="0" w:type="auto"/>
                  <w:vAlign w:val="center"/>
                </w:tcPr>
                <w:p>
                  <w:pPr>
                    <w:spacing w:line="240" w:lineRule="auto"/>
                    <w:ind w:firstLine="0" w:firstLineChars="0"/>
                    <w:jc w:val="center"/>
                    <w:rPr>
                      <w:color w:val="auto"/>
                      <w:sz w:val="21"/>
                      <w:szCs w:val="21"/>
                    </w:rPr>
                  </w:pPr>
                  <w:r>
                    <w:rPr>
                      <w:color w:val="auto"/>
                      <w:sz w:val="21"/>
                      <w:szCs w:val="21"/>
                    </w:rPr>
                    <w:t>已按照一般防渗要求进行防渗处理</w:t>
                  </w:r>
                </w:p>
              </w:tc>
              <w:tc>
                <w:tcPr>
                  <w:tcW w:w="0" w:type="auto"/>
                  <w:vAlign w:val="center"/>
                </w:tcPr>
                <w:p>
                  <w:pPr>
                    <w:spacing w:line="240" w:lineRule="auto"/>
                    <w:ind w:firstLine="0" w:firstLineChars="0"/>
                    <w:jc w:val="center"/>
                    <w:rPr>
                      <w:color w:val="auto"/>
                      <w:sz w:val="21"/>
                      <w:szCs w:val="21"/>
                    </w:rPr>
                  </w:pPr>
                  <w:r>
                    <w:rPr>
                      <w:color w:val="auto"/>
                      <w:sz w:val="21"/>
                      <w:szCs w:val="21"/>
                    </w:rPr>
                    <w:t>依托现有</w:t>
                  </w:r>
                </w:p>
              </w:tc>
            </w:tr>
          </w:tbl>
          <w:p>
            <w:pPr>
              <w:widowControl/>
              <w:ind w:firstLine="480"/>
              <w:jc w:val="left"/>
              <w:rPr>
                <w:color w:val="auto"/>
              </w:rPr>
            </w:pPr>
            <w:r>
              <w:rPr>
                <w:rFonts w:hint="eastAsia"/>
                <w:color w:val="auto"/>
              </w:rPr>
              <w:t>（3）</w:t>
            </w:r>
            <w:r>
              <w:rPr>
                <w:rFonts w:hint="eastAsia" w:ascii="宋体" w:hAnsi="宋体" w:cs="宋体"/>
                <w:color w:val="auto"/>
                <w:kern w:val="0"/>
                <w:lang w:bidi="ar"/>
              </w:rPr>
              <w:t>跟踪监测要求</w:t>
            </w:r>
          </w:p>
          <w:p>
            <w:pPr>
              <w:widowControl/>
              <w:ind w:firstLine="480"/>
              <w:jc w:val="left"/>
              <w:rPr>
                <w:color w:val="auto"/>
              </w:rPr>
            </w:pPr>
            <w:r>
              <w:rPr>
                <w:rFonts w:hint="eastAsia" w:ascii="宋体" w:hAnsi="宋体" w:cs="宋体"/>
                <w:color w:val="auto"/>
                <w:kern w:val="0"/>
                <w:lang w:bidi="ar"/>
              </w:rPr>
              <w:t>根据上述分析，本项目对危废暂存间等已做好防渗措施后，对地下水及土壤不会造成影响，故不再额外进行制定跟踪监测计划。</w:t>
            </w:r>
          </w:p>
          <w:p>
            <w:pPr>
              <w:ind w:firstLine="0" w:firstLineChars="0"/>
              <w:rPr>
                <w:b/>
                <w:bCs/>
                <w:color w:val="auto"/>
              </w:rPr>
            </w:pPr>
            <w:r>
              <w:rPr>
                <w:rFonts w:hint="eastAsia"/>
                <w:b/>
                <w:bCs/>
                <w:color w:val="auto"/>
              </w:rPr>
              <w:t>6、</w:t>
            </w:r>
            <w:r>
              <w:rPr>
                <w:b/>
                <w:bCs/>
                <w:color w:val="auto"/>
              </w:rPr>
              <w:t>生态环境影响分析和保护措施</w:t>
            </w:r>
          </w:p>
          <w:p>
            <w:pPr>
              <w:ind w:firstLine="480"/>
              <w:rPr>
                <w:color w:val="auto"/>
              </w:rPr>
            </w:pPr>
            <w:r>
              <w:rPr>
                <w:color w:val="auto"/>
              </w:rPr>
              <w:t>本项目占地范围内不含生态环境保护目标，项目三废经治理后可以达标排放，不会对区域生态环境产生明显影响。</w:t>
            </w:r>
          </w:p>
          <w:p>
            <w:pPr>
              <w:ind w:firstLine="0" w:firstLineChars="0"/>
              <w:rPr>
                <w:b/>
                <w:bCs/>
                <w:color w:val="auto"/>
              </w:rPr>
            </w:pPr>
            <w:r>
              <w:rPr>
                <w:rFonts w:hint="eastAsia"/>
                <w:b/>
                <w:bCs/>
                <w:color w:val="auto"/>
              </w:rPr>
              <w:t>7、</w:t>
            </w:r>
            <w:r>
              <w:rPr>
                <w:b/>
                <w:bCs/>
                <w:color w:val="auto"/>
              </w:rPr>
              <w:t>环境风险分析</w:t>
            </w:r>
          </w:p>
          <w:p>
            <w:pPr>
              <w:ind w:firstLine="480"/>
              <w:rPr>
                <w:color w:val="auto"/>
              </w:rPr>
            </w:pPr>
            <w:r>
              <w:rPr>
                <w:color w:val="auto"/>
              </w:rPr>
              <w:t>（1）环境风险识别</w:t>
            </w:r>
          </w:p>
          <w:p>
            <w:pPr>
              <w:ind w:firstLine="480"/>
              <w:rPr>
                <w:color w:val="auto"/>
              </w:rPr>
            </w:pPr>
            <w:r>
              <w:rPr>
                <w:color w:val="auto"/>
              </w:rPr>
              <w:t>本项目</w:t>
            </w:r>
            <w:r>
              <w:rPr>
                <w:rFonts w:hint="eastAsia"/>
                <w:color w:val="auto"/>
              </w:rPr>
              <w:t>为沼气锅炉改扩建项目</w:t>
            </w:r>
            <w:r>
              <w:rPr>
                <w:color w:val="auto"/>
              </w:rPr>
              <w:t>，</w:t>
            </w:r>
            <w:r>
              <w:rPr>
                <w:rFonts w:hint="eastAsia"/>
                <w:color w:val="auto"/>
              </w:rPr>
              <w:t>主要涉及锅炉及其配套设施的安装和调试。</w:t>
            </w:r>
            <w:r>
              <w:rPr>
                <w:color w:val="auto"/>
              </w:rPr>
              <w:t>根据《建设项目环境风险评价技术导则》（HJ169-2018）附录B，项目</w:t>
            </w:r>
            <w:r>
              <w:rPr>
                <w:rFonts w:hint="eastAsia"/>
                <w:color w:val="auto"/>
              </w:rPr>
              <w:t>运营过程中不涉及危险物质使用和存放，即项目危险物质数量与临界量比值Q=0&lt;1，</w:t>
            </w:r>
            <w:r>
              <w:rPr>
                <w:color w:val="auto"/>
              </w:rPr>
              <w:t>因此，本项目环境风险潜势为</w:t>
            </w:r>
            <w:r>
              <w:rPr>
                <w:rFonts w:hint="eastAsia"/>
                <w:color w:val="auto"/>
              </w:rPr>
              <w:fldChar w:fldCharType="begin"/>
            </w:r>
            <w:r>
              <w:rPr>
                <w:rFonts w:hint="eastAsia"/>
                <w:color w:val="auto"/>
              </w:rPr>
              <w:instrText xml:space="preserve"> = 1 \* ROMAN \* MERGEFORMAT </w:instrText>
            </w:r>
            <w:r>
              <w:rPr>
                <w:rFonts w:hint="eastAsia"/>
                <w:color w:val="auto"/>
              </w:rPr>
              <w:fldChar w:fldCharType="separate"/>
            </w:r>
            <w:r>
              <w:rPr>
                <w:color w:val="auto"/>
              </w:rPr>
              <w:t>I</w:t>
            </w:r>
            <w:r>
              <w:rPr>
                <w:rFonts w:hint="eastAsia"/>
                <w:color w:val="auto"/>
              </w:rPr>
              <w:fldChar w:fldCharType="end"/>
            </w:r>
            <w:r>
              <w:rPr>
                <w:color w:val="auto"/>
              </w:rPr>
              <w:t>。根据《建设项目环境风险评价技术导则》（HJ169-2018）评价工作等级划分要求，本项目环境风险开展简单分析。</w:t>
            </w:r>
          </w:p>
          <w:p>
            <w:pPr>
              <w:ind w:firstLine="480"/>
              <w:rPr>
                <w:color w:val="auto"/>
              </w:rPr>
            </w:pPr>
            <w:r>
              <w:rPr>
                <w:color w:val="auto"/>
              </w:rPr>
              <w:t>（</w:t>
            </w:r>
            <w:r>
              <w:rPr>
                <w:rFonts w:hint="eastAsia"/>
                <w:color w:val="auto"/>
              </w:rPr>
              <w:t>2</w:t>
            </w:r>
            <w:r>
              <w:rPr>
                <w:color w:val="auto"/>
              </w:rPr>
              <w:t>）事故类型</w:t>
            </w:r>
          </w:p>
          <w:p>
            <w:pPr>
              <w:ind w:firstLine="480"/>
              <w:rPr>
                <w:color w:val="auto"/>
              </w:rPr>
            </w:pPr>
            <w:r>
              <w:rPr>
                <w:rFonts w:hint="eastAsia"/>
                <w:color w:val="auto"/>
              </w:rPr>
              <w:t>本项目可能</w:t>
            </w:r>
            <w:r>
              <w:rPr>
                <w:color w:val="auto"/>
              </w:rPr>
              <w:t>出现的环境风险问题，主要</w:t>
            </w:r>
            <w:r>
              <w:rPr>
                <w:rFonts w:hint="eastAsia"/>
                <w:color w:val="auto"/>
              </w:rPr>
              <w:t>为</w:t>
            </w:r>
            <w:r>
              <w:rPr>
                <w:color w:val="auto"/>
              </w:rPr>
              <w:t>火灾</w:t>
            </w:r>
            <w:r>
              <w:rPr>
                <w:rFonts w:hint="eastAsia"/>
                <w:color w:val="auto"/>
              </w:rPr>
              <w:t>、爆炸伴生/次生突发</w:t>
            </w:r>
            <w:r>
              <w:rPr>
                <w:color w:val="auto"/>
              </w:rPr>
              <w:t>环境</w:t>
            </w:r>
            <w:r>
              <w:rPr>
                <w:rFonts w:hint="eastAsia"/>
                <w:color w:val="auto"/>
              </w:rPr>
              <w:t>风险</w:t>
            </w:r>
            <w:r>
              <w:rPr>
                <w:color w:val="auto"/>
              </w:rPr>
              <w:t>事件</w:t>
            </w:r>
            <w:r>
              <w:rPr>
                <w:rFonts w:hint="eastAsia"/>
                <w:color w:val="auto"/>
              </w:rPr>
              <w:t>。</w:t>
            </w:r>
          </w:p>
          <w:p>
            <w:pPr>
              <w:ind w:firstLine="480"/>
              <w:rPr>
                <w:color w:val="auto"/>
              </w:rPr>
            </w:pPr>
            <w:r>
              <w:rPr>
                <w:rFonts w:hint="eastAsia"/>
                <w:color w:val="auto"/>
              </w:rPr>
              <w:t>项目锅炉采用沼气作为燃料，若沼气管理不当，</w:t>
            </w:r>
            <w:r>
              <w:rPr>
                <w:color w:val="auto"/>
              </w:rPr>
              <w:t>遇到明火、高热等可能引起燃烧</w:t>
            </w:r>
            <w:r>
              <w:rPr>
                <w:rFonts w:hint="eastAsia"/>
                <w:color w:val="auto"/>
              </w:rPr>
              <w:t>发生火灾</w:t>
            </w:r>
            <w:r>
              <w:rPr>
                <w:color w:val="auto"/>
              </w:rPr>
              <w:t>，</w:t>
            </w:r>
            <w:r>
              <w:rPr>
                <w:rFonts w:hint="eastAsia"/>
                <w:color w:val="auto"/>
              </w:rPr>
              <w:t>若沼气质锅炉设备出现故障，也可能导则燃烧的沼气燃料蔓延到厂区其他地方引起火灾。具体影响途径如下：</w:t>
            </w:r>
          </w:p>
          <w:p>
            <w:pPr>
              <w:ind w:firstLine="480"/>
              <w:rPr>
                <w:color w:val="auto"/>
              </w:rPr>
            </w:pPr>
            <w:r>
              <w:rPr>
                <w:color w:val="auto"/>
              </w:rPr>
              <w:t>燃烧时产生的烟气、扑灭火灾产生的消防废水，若不能得到及时有效的处理，可能会对大气环境、水环境和人群健康产生响。</w:t>
            </w:r>
            <w:r>
              <w:rPr>
                <w:rFonts w:hint="eastAsia"/>
                <w:color w:val="auto"/>
              </w:rPr>
              <w:t>若消防废水漫流出厂区，可能影响项目周边地表水环境。</w:t>
            </w:r>
          </w:p>
          <w:p>
            <w:pPr>
              <w:ind w:firstLine="480"/>
              <w:rPr>
                <w:color w:val="auto"/>
              </w:rPr>
            </w:pPr>
            <w:r>
              <w:rPr>
                <w:color w:val="auto"/>
              </w:rPr>
              <w:t>（</w:t>
            </w:r>
            <w:r>
              <w:rPr>
                <w:rFonts w:hint="eastAsia"/>
                <w:color w:val="auto"/>
              </w:rPr>
              <w:t>3</w:t>
            </w:r>
            <w:r>
              <w:rPr>
                <w:color w:val="auto"/>
              </w:rPr>
              <w:t>）环境风险防范措施</w:t>
            </w:r>
          </w:p>
          <w:p>
            <w:pPr>
              <w:ind w:firstLine="480"/>
              <w:rPr>
                <w:color w:val="auto"/>
              </w:rPr>
            </w:pPr>
            <w:r>
              <w:rPr>
                <w:color w:val="auto"/>
              </w:rPr>
              <w:t>对此，建设单位应采取以下风险防范措施：</w:t>
            </w:r>
          </w:p>
          <w:p>
            <w:pPr>
              <w:ind w:firstLine="480"/>
              <w:rPr>
                <w:color w:val="auto"/>
              </w:rPr>
            </w:pPr>
            <w:r>
              <w:rPr>
                <w:color w:val="auto"/>
              </w:rPr>
              <w:t>①应严格按照国家有关消防的规定，制定消防灭火应急预案，建立自动灭火系统，配备足够的消防设备和消防器材。一切消防器材不准挪动、乱用，并要定期检查，确保能正常使用，并设置烟雾报警器等应急装置，以便及时发现火灾</w:t>
            </w:r>
            <w:r>
              <w:rPr>
                <w:rFonts w:hint="eastAsia"/>
                <w:color w:val="auto"/>
              </w:rPr>
              <w:t>。</w:t>
            </w:r>
          </w:p>
          <w:p>
            <w:pPr>
              <w:ind w:firstLine="480"/>
              <w:rPr>
                <w:color w:val="auto"/>
              </w:rPr>
            </w:pPr>
            <w:r>
              <w:rPr>
                <w:color w:val="auto"/>
              </w:rPr>
              <w:t>②根据相关要求，加强对用电线路、设备的安全管理，做到专人管理、专人负责，电气设备及线路采用防爆型，发现电气隐患，立即整改排除，防止出现电气火灾事故</w:t>
            </w:r>
          </w:p>
          <w:p>
            <w:pPr>
              <w:ind w:firstLine="480"/>
              <w:rPr>
                <w:color w:val="auto"/>
              </w:rPr>
            </w:pPr>
            <w:r>
              <w:rPr>
                <w:color w:val="auto"/>
              </w:rPr>
              <w:fldChar w:fldCharType="begin"/>
            </w:r>
            <w:r>
              <w:rPr>
                <w:color w:val="auto"/>
              </w:rPr>
              <w:instrText xml:space="preserve"> = 3 \* GB3 \* MERGEFORMAT </w:instrText>
            </w:r>
            <w:r>
              <w:rPr>
                <w:color w:val="auto"/>
              </w:rPr>
              <w:fldChar w:fldCharType="separate"/>
            </w:r>
            <w:r>
              <w:rPr>
                <w:color w:val="auto"/>
              </w:rPr>
              <w:t>③</w:t>
            </w:r>
            <w:r>
              <w:rPr>
                <w:color w:val="auto"/>
              </w:rPr>
              <w:fldChar w:fldCharType="end"/>
            </w:r>
            <w:r>
              <w:rPr>
                <w:color w:val="auto"/>
              </w:rPr>
              <w:t>加强</w:t>
            </w:r>
            <w:r>
              <w:rPr>
                <w:rFonts w:hint="eastAsia"/>
                <w:color w:val="auto"/>
              </w:rPr>
              <w:t>沼气</w:t>
            </w:r>
            <w:r>
              <w:rPr>
                <w:color w:val="auto"/>
              </w:rPr>
              <w:t>的管理，建立相关制度，避免</w:t>
            </w:r>
            <w:r>
              <w:rPr>
                <w:rFonts w:hint="eastAsia"/>
                <w:color w:val="auto"/>
              </w:rPr>
              <w:t>沼气</w:t>
            </w:r>
            <w:r>
              <w:rPr>
                <w:color w:val="auto"/>
              </w:rPr>
              <w:t>储存、输送、使用过程中的火灾隐患</w:t>
            </w:r>
            <w:r>
              <w:rPr>
                <w:rFonts w:hint="eastAsia"/>
                <w:color w:val="auto"/>
              </w:rPr>
              <w:t>。</w:t>
            </w:r>
          </w:p>
          <w:p>
            <w:pPr>
              <w:ind w:firstLine="480"/>
              <w:rPr>
                <w:color w:val="auto"/>
              </w:rPr>
            </w:pPr>
            <w:r>
              <w:rPr>
                <w:color w:val="auto"/>
              </w:rPr>
              <w:fldChar w:fldCharType="begin"/>
            </w:r>
            <w:r>
              <w:rPr>
                <w:color w:val="auto"/>
              </w:rPr>
              <w:instrText xml:space="preserve"> = 4 \* GB3 \* MERGEFORMAT </w:instrText>
            </w:r>
            <w:r>
              <w:rPr>
                <w:color w:val="auto"/>
              </w:rPr>
              <w:fldChar w:fldCharType="separate"/>
            </w:r>
            <w:r>
              <w:rPr>
                <w:color w:val="auto"/>
              </w:rPr>
              <w:t>④</w:t>
            </w:r>
            <w:r>
              <w:rPr>
                <w:color w:val="auto"/>
              </w:rPr>
              <w:fldChar w:fldCharType="end"/>
            </w:r>
            <w:r>
              <w:rPr>
                <w:rFonts w:hint="eastAsia"/>
                <w:color w:val="auto"/>
              </w:rPr>
              <w:t>生产车间</w:t>
            </w:r>
            <w:r>
              <w:rPr>
                <w:color w:val="auto"/>
              </w:rPr>
              <w:t>内设置</w:t>
            </w:r>
            <w:r>
              <w:rPr>
                <w:rFonts w:hint="eastAsia"/>
                <w:color w:val="auto"/>
              </w:rPr>
              <w:t>“</w:t>
            </w:r>
            <w:r>
              <w:rPr>
                <w:color w:val="auto"/>
              </w:rPr>
              <w:t>严禁烟火</w:t>
            </w:r>
            <w:r>
              <w:rPr>
                <w:rFonts w:hint="eastAsia"/>
                <w:color w:val="auto"/>
              </w:rPr>
              <w:t>”</w:t>
            </w:r>
            <w:r>
              <w:rPr>
                <w:color w:val="auto"/>
              </w:rPr>
              <w:t>的警示牌，制定严格的操作管理制度和对工人进行培训上岗，使其熟知灭火器材使用及防范应急措施。</w:t>
            </w:r>
          </w:p>
          <w:p>
            <w:pPr>
              <w:ind w:firstLine="480"/>
              <w:rPr>
                <w:color w:val="auto"/>
              </w:rPr>
            </w:pPr>
            <w:r>
              <w:rPr>
                <w:color w:val="auto"/>
              </w:rPr>
              <w:t>（</w:t>
            </w:r>
            <w:r>
              <w:rPr>
                <w:rFonts w:hint="eastAsia"/>
                <w:color w:val="auto"/>
              </w:rPr>
              <w:t>4</w:t>
            </w:r>
            <w:r>
              <w:rPr>
                <w:color w:val="auto"/>
              </w:rPr>
              <w:t>）环境风险结论</w:t>
            </w:r>
          </w:p>
          <w:p>
            <w:pPr>
              <w:ind w:firstLine="480"/>
              <w:rPr>
                <w:color w:val="auto"/>
              </w:rPr>
            </w:pPr>
            <w:r>
              <w:rPr>
                <w:color w:val="auto"/>
              </w:rPr>
              <w:t>建设单位在加强职工的安全生产教育，提高风险意识，做好风险防范措施的情况下，可最大限度地降低环境风险。一旦发生突发事件，也能最大限度地减少环境污染危害和财产的损失。</w:t>
            </w:r>
          </w:p>
          <w:p>
            <w:pPr>
              <w:ind w:firstLine="480"/>
              <w:rPr>
                <w:color w:val="auto"/>
              </w:rPr>
            </w:pPr>
            <w:r>
              <w:rPr>
                <w:color w:val="auto"/>
              </w:rPr>
              <w:t>综上所述，只要企业严格遵守安全操作规程和制度，加强安全管理，通过采取风险控制措施和应急响应，</w:t>
            </w:r>
            <w:r>
              <w:rPr>
                <w:rFonts w:hint="eastAsia"/>
                <w:color w:val="auto"/>
              </w:rPr>
              <w:t>本项目</w:t>
            </w:r>
            <w:r>
              <w:rPr>
                <w:color w:val="auto"/>
              </w:rPr>
              <w:t>环境风险是可控的。</w:t>
            </w:r>
          </w:p>
          <w:p>
            <w:pPr>
              <w:widowControl/>
              <w:ind w:firstLine="0" w:firstLineChars="0"/>
              <w:jc w:val="left"/>
              <w:rPr>
                <w:color w:val="auto"/>
              </w:rPr>
            </w:pPr>
            <w:r>
              <w:rPr>
                <w:rFonts w:hint="eastAsia"/>
                <w:color w:val="auto"/>
              </w:rPr>
              <w:t>8、</w:t>
            </w:r>
            <w:r>
              <w:rPr>
                <w:rFonts w:hint="eastAsia" w:ascii="宋体" w:hAnsi="宋体" w:cs="宋体"/>
                <w:b/>
                <w:bCs/>
                <w:color w:val="auto"/>
                <w:kern w:val="0"/>
                <w:lang w:bidi="ar"/>
              </w:rPr>
              <w:t>电磁辐射</w:t>
            </w:r>
          </w:p>
          <w:p>
            <w:pPr>
              <w:widowControl/>
              <w:ind w:firstLine="480"/>
              <w:jc w:val="left"/>
              <w:rPr>
                <w:color w:val="auto"/>
              </w:rPr>
            </w:pPr>
            <w:r>
              <w:rPr>
                <w:rFonts w:hint="eastAsia" w:ascii="宋体" w:hAnsi="宋体" w:cs="宋体"/>
                <w:color w:val="auto"/>
                <w:kern w:val="0"/>
                <w:lang w:bidi="ar"/>
              </w:rPr>
              <w:t>本项目不涉及电磁辐射类。</w:t>
            </w:r>
          </w:p>
          <w:p>
            <w:pPr>
              <w:ind w:firstLine="0" w:firstLineChars="0"/>
              <w:rPr>
                <w:rFonts w:hint="eastAsia"/>
                <w:color w:val="auto"/>
              </w:rPr>
            </w:pPr>
          </w:p>
          <w:p>
            <w:pPr>
              <w:ind w:firstLine="0" w:firstLineChars="0"/>
              <w:rPr>
                <w:rFonts w:hint="eastAsia"/>
                <w:color w:val="auto"/>
              </w:rPr>
            </w:pPr>
          </w:p>
          <w:p>
            <w:pPr>
              <w:ind w:firstLine="0" w:firstLineChars="0"/>
              <w:rPr>
                <w:rFonts w:hint="eastAsia"/>
                <w:color w:val="auto"/>
              </w:rPr>
            </w:pPr>
          </w:p>
          <w:p>
            <w:pPr>
              <w:ind w:firstLine="0" w:firstLineChars="0"/>
              <w:rPr>
                <w:rFonts w:hint="eastAsia"/>
                <w:color w:val="auto"/>
              </w:rPr>
            </w:pPr>
          </w:p>
          <w:p>
            <w:pPr>
              <w:ind w:firstLine="0" w:firstLineChars="0"/>
              <w:rPr>
                <w:rFonts w:hint="eastAsia"/>
                <w:color w:val="auto"/>
              </w:rPr>
            </w:pPr>
          </w:p>
          <w:p>
            <w:pPr>
              <w:ind w:firstLine="0" w:firstLineChars="0"/>
              <w:rPr>
                <w:rFonts w:hint="eastAsia"/>
                <w:color w:val="auto"/>
              </w:rPr>
            </w:pPr>
          </w:p>
          <w:p>
            <w:pPr>
              <w:ind w:firstLine="0" w:firstLineChars="0"/>
              <w:rPr>
                <w:rFonts w:hint="eastAsia"/>
                <w:color w:val="auto"/>
              </w:rPr>
            </w:pPr>
          </w:p>
          <w:p>
            <w:pPr>
              <w:ind w:firstLine="0" w:firstLineChars="0"/>
              <w:rPr>
                <w:rFonts w:hint="eastAsia"/>
                <w:color w:val="auto"/>
              </w:rPr>
            </w:pPr>
          </w:p>
          <w:p>
            <w:pPr>
              <w:ind w:firstLine="0" w:firstLineChars="0"/>
              <w:rPr>
                <w:rFonts w:hint="eastAsia"/>
                <w:color w:val="auto"/>
              </w:rPr>
            </w:pPr>
          </w:p>
        </w:tc>
      </w:tr>
    </w:tbl>
    <w:p>
      <w:pPr>
        <w:ind w:firstLine="480"/>
        <w:rPr>
          <w:color w:val="auto"/>
        </w:rPr>
        <w:sectPr>
          <w:pgSz w:w="11906" w:h="16838"/>
          <w:pgMar w:top="1440" w:right="1800" w:bottom="1440" w:left="1800" w:header="851" w:footer="992" w:gutter="0"/>
          <w:cols w:space="425" w:num="1"/>
          <w:docGrid w:type="lines" w:linePitch="312" w:charSpace="0"/>
        </w:sectPr>
      </w:pPr>
    </w:p>
    <w:p>
      <w:pPr>
        <w:pStyle w:val="4"/>
        <w:jc w:val="center"/>
        <w:rPr>
          <w:color w:val="auto"/>
        </w:rPr>
      </w:pPr>
      <w:bookmarkStart w:id="10" w:name="_Toc213108124"/>
      <w:r>
        <w:rPr>
          <w:rFonts w:hint="eastAsia"/>
          <w:color w:val="auto"/>
        </w:rPr>
        <w:t>五、环境保护措施监督检查清单</w:t>
      </w:r>
      <w:bookmarkEnd w:id="10"/>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9"/>
        <w:gridCol w:w="1643"/>
        <w:gridCol w:w="1020"/>
        <w:gridCol w:w="2497"/>
        <w:gridCol w:w="2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2" w:hRule="atLeast"/>
          <w:jc w:val="center"/>
        </w:trPr>
        <w:tc>
          <w:tcPr>
            <w:tcW w:w="1209" w:type="dxa"/>
            <w:vAlign w:val="center"/>
          </w:tcPr>
          <w:p>
            <w:pPr>
              <w:ind w:firstLine="0" w:firstLineChars="0"/>
              <w:jc w:val="center"/>
              <w:rPr>
                <w:color w:val="auto"/>
              </w:rPr>
            </w:pPr>
            <w:r>
              <w:rPr>
                <w:color w:val="auto"/>
              </w:rPr>
              <mc:AlternateContent>
                <mc:Choice Requires="wps">
                  <w:drawing>
                    <wp:anchor distT="0" distB="0" distL="114300" distR="114300" simplePos="0" relativeHeight="251661312" behindDoc="0" locked="0" layoutInCell="1" allowOverlap="1">
                      <wp:simplePos x="0" y="0"/>
                      <wp:positionH relativeFrom="column">
                        <wp:posOffset>-21590</wp:posOffset>
                      </wp:positionH>
                      <wp:positionV relativeFrom="paragraph">
                        <wp:posOffset>18415</wp:posOffset>
                      </wp:positionV>
                      <wp:extent cx="706755" cy="1029970"/>
                      <wp:effectExtent l="3810" t="2540" r="13335" b="15240"/>
                      <wp:wrapNone/>
                      <wp:docPr id="145" name="直接连接符 145"/>
                      <wp:cNvGraphicFramePr/>
                      <a:graphic xmlns:a="http://schemas.openxmlformats.org/drawingml/2006/main">
                        <a:graphicData uri="http://schemas.microsoft.com/office/word/2010/wordprocessingShape">
                          <wps:wsp>
                            <wps:cNvCnPr/>
                            <wps:spPr>
                              <a:xfrm>
                                <a:off x="1082040" y="1319530"/>
                                <a:ext cx="706755" cy="10299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7pt;margin-top:1.45pt;height:81.1pt;width:55.65pt;z-index:251661312;mso-width-relative:page;mso-height-relative:page;" filled="f" stroked="t" coordsize="21600,21600" o:gfxdata="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PfkkLWAAAACAEAAA8AAAAAAAAAAQAgAAAAIgAAAGRycy9kb3ducmV2LnhtbFBLAQIU&#10;ABQAAAAIAIdO4kBnCX0Q9QEAAMYDAAAOAAAAAAAAAAEAIAAAACUBAABkcnMvZTJvRG9jLnhtbFBL&#10;BQYAAAAABgAGAFkBAACMBQAAAAA=&#10;">
                      <v:fill on="f" focussize="0,0"/>
                      <v:stroke weight="0.5pt" color="#000000 [3213]" miterlimit="8" joinstyle="miter"/>
                      <v:imagedata o:title=""/>
                      <o:lock v:ext="edit" aspectratio="f"/>
                    </v:line>
                  </w:pict>
                </mc:Fallback>
              </mc:AlternateContent>
            </w:r>
            <w:r>
              <w:rPr>
                <w:rFonts w:hint="eastAsia"/>
                <w:color w:val="auto"/>
              </w:rPr>
              <w:t xml:space="preserve">  内容           </w:t>
            </w:r>
          </w:p>
          <w:p>
            <w:pPr>
              <w:ind w:firstLine="0" w:firstLineChars="0"/>
              <w:rPr>
                <w:color w:val="auto"/>
              </w:rPr>
            </w:pPr>
          </w:p>
          <w:p>
            <w:pPr>
              <w:ind w:firstLine="0" w:firstLineChars="0"/>
              <w:rPr>
                <w:color w:val="auto"/>
              </w:rPr>
            </w:pPr>
            <w:r>
              <w:rPr>
                <w:rFonts w:hint="eastAsia"/>
                <w:color w:val="auto"/>
              </w:rPr>
              <w:t>要素</w:t>
            </w:r>
          </w:p>
        </w:tc>
        <w:tc>
          <w:tcPr>
            <w:tcW w:w="1643" w:type="dxa"/>
            <w:vAlign w:val="center"/>
          </w:tcPr>
          <w:p>
            <w:pPr>
              <w:ind w:firstLine="0" w:firstLineChars="0"/>
              <w:jc w:val="center"/>
              <w:rPr>
                <w:color w:val="auto"/>
              </w:rPr>
            </w:pPr>
            <w:r>
              <w:rPr>
                <w:rFonts w:hint="eastAsia"/>
                <w:color w:val="auto"/>
              </w:rPr>
              <w:t>排放口（编号、名称）/污染源</w:t>
            </w:r>
          </w:p>
        </w:tc>
        <w:tc>
          <w:tcPr>
            <w:tcW w:w="1020" w:type="dxa"/>
            <w:vAlign w:val="center"/>
          </w:tcPr>
          <w:p>
            <w:pPr>
              <w:ind w:firstLine="0" w:firstLineChars="0"/>
              <w:jc w:val="center"/>
              <w:rPr>
                <w:color w:val="auto"/>
              </w:rPr>
            </w:pPr>
            <w:r>
              <w:rPr>
                <w:rFonts w:hint="eastAsia"/>
                <w:color w:val="auto"/>
              </w:rPr>
              <w:t>污染物项目</w:t>
            </w:r>
          </w:p>
        </w:tc>
        <w:tc>
          <w:tcPr>
            <w:tcW w:w="2497" w:type="dxa"/>
            <w:vAlign w:val="center"/>
          </w:tcPr>
          <w:p>
            <w:pPr>
              <w:ind w:firstLine="0" w:firstLineChars="0"/>
              <w:jc w:val="center"/>
              <w:rPr>
                <w:color w:val="auto"/>
              </w:rPr>
            </w:pPr>
            <w:r>
              <w:rPr>
                <w:rFonts w:hint="eastAsia"/>
                <w:color w:val="auto"/>
              </w:rPr>
              <w:t>环境保护措施</w:t>
            </w:r>
          </w:p>
        </w:tc>
        <w:tc>
          <w:tcPr>
            <w:tcW w:w="2153" w:type="dxa"/>
            <w:vAlign w:val="center"/>
          </w:tcPr>
          <w:p>
            <w:pPr>
              <w:ind w:firstLine="0" w:firstLineChars="0"/>
              <w:jc w:val="center"/>
              <w:rPr>
                <w:color w:val="auto"/>
              </w:rPr>
            </w:pPr>
            <w:r>
              <w:rPr>
                <w:rFonts w:hint="eastAsia"/>
                <w:color w:val="auto"/>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1209" w:type="dxa"/>
            <w:vAlign w:val="center"/>
          </w:tcPr>
          <w:p>
            <w:pPr>
              <w:ind w:firstLine="0" w:firstLineChars="0"/>
              <w:jc w:val="center"/>
              <w:rPr>
                <w:color w:val="auto"/>
              </w:rPr>
            </w:pPr>
            <w:r>
              <w:rPr>
                <w:rFonts w:hint="eastAsia"/>
                <w:color w:val="auto"/>
              </w:rPr>
              <w:t>大气环境</w:t>
            </w:r>
          </w:p>
        </w:tc>
        <w:tc>
          <w:tcPr>
            <w:tcW w:w="1643" w:type="dxa"/>
            <w:vAlign w:val="center"/>
          </w:tcPr>
          <w:p>
            <w:pPr>
              <w:ind w:firstLine="0" w:firstLineChars="0"/>
              <w:jc w:val="center"/>
              <w:rPr>
                <w:color w:val="auto"/>
              </w:rPr>
            </w:pPr>
            <w:r>
              <w:rPr>
                <w:rFonts w:hint="eastAsia"/>
                <w:color w:val="auto"/>
              </w:rPr>
              <w:t>DA001排气筒</w:t>
            </w:r>
          </w:p>
        </w:tc>
        <w:tc>
          <w:tcPr>
            <w:tcW w:w="1020" w:type="dxa"/>
            <w:vAlign w:val="center"/>
          </w:tcPr>
          <w:p>
            <w:pPr>
              <w:ind w:firstLine="0" w:firstLineChars="0"/>
              <w:jc w:val="center"/>
              <w:rPr>
                <w:color w:val="auto"/>
              </w:rPr>
            </w:pPr>
            <w:r>
              <w:rPr>
                <w:rFonts w:hint="eastAsia"/>
                <w:color w:val="auto"/>
              </w:rPr>
              <w:t>颗粒物、SO</w:t>
            </w:r>
            <w:r>
              <w:rPr>
                <w:rFonts w:hint="eastAsia"/>
                <w:color w:val="auto"/>
                <w:vertAlign w:val="subscript"/>
              </w:rPr>
              <w:t>2</w:t>
            </w:r>
            <w:r>
              <w:rPr>
                <w:rFonts w:hint="eastAsia"/>
                <w:color w:val="auto"/>
              </w:rPr>
              <w:t>和NO</w:t>
            </w:r>
            <w:r>
              <w:rPr>
                <w:rFonts w:hint="eastAsia"/>
                <w:color w:val="auto"/>
                <w:vertAlign w:val="subscript"/>
              </w:rPr>
              <w:t>X</w:t>
            </w:r>
          </w:p>
        </w:tc>
        <w:tc>
          <w:tcPr>
            <w:tcW w:w="2497" w:type="dxa"/>
            <w:vAlign w:val="center"/>
          </w:tcPr>
          <w:p>
            <w:pPr>
              <w:ind w:firstLine="0" w:firstLineChars="0"/>
              <w:jc w:val="center"/>
              <w:rPr>
                <w:color w:val="auto"/>
              </w:rPr>
            </w:pPr>
            <w:r>
              <w:rPr>
                <w:rFonts w:hint="eastAsia"/>
                <w:color w:val="auto"/>
              </w:rPr>
              <w:t>低氮燃烧后经集气管道收集后，通过15m排气筒排放</w:t>
            </w:r>
          </w:p>
        </w:tc>
        <w:tc>
          <w:tcPr>
            <w:tcW w:w="2153" w:type="dxa"/>
            <w:vAlign w:val="center"/>
          </w:tcPr>
          <w:p>
            <w:pPr>
              <w:ind w:firstLine="0" w:firstLineChars="0"/>
              <w:jc w:val="center"/>
              <w:rPr>
                <w:color w:val="auto"/>
              </w:rPr>
            </w:pPr>
            <w:r>
              <w:rPr>
                <w:color w:val="auto"/>
              </w:rPr>
              <w:t>《锅炉大气污染物排放标准》(GB13271-2014)中</w:t>
            </w:r>
            <w:r>
              <w:rPr>
                <w:rFonts w:hint="eastAsia"/>
                <w:color w:val="auto"/>
              </w:rPr>
              <w:t>表2燃气锅炉标准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6" w:hRule="atLeast"/>
          <w:jc w:val="center"/>
        </w:trPr>
        <w:tc>
          <w:tcPr>
            <w:tcW w:w="1209" w:type="dxa"/>
            <w:vMerge w:val="restart"/>
            <w:vAlign w:val="center"/>
          </w:tcPr>
          <w:p>
            <w:pPr>
              <w:ind w:firstLine="0" w:firstLineChars="0"/>
              <w:jc w:val="center"/>
              <w:rPr>
                <w:color w:val="auto"/>
              </w:rPr>
            </w:pPr>
            <w:r>
              <w:rPr>
                <w:rFonts w:hint="eastAsia"/>
                <w:color w:val="auto"/>
              </w:rPr>
              <w:t>地表水环境</w:t>
            </w:r>
          </w:p>
        </w:tc>
        <w:tc>
          <w:tcPr>
            <w:tcW w:w="1643" w:type="dxa"/>
            <w:vAlign w:val="center"/>
          </w:tcPr>
          <w:p>
            <w:pPr>
              <w:ind w:firstLine="0" w:firstLineChars="0"/>
              <w:jc w:val="center"/>
              <w:rPr>
                <w:color w:val="auto"/>
              </w:rPr>
            </w:pPr>
            <w:r>
              <w:rPr>
                <w:rFonts w:hint="eastAsia"/>
                <w:color w:val="auto"/>
              </w:rPr>
              <w:t>离子交换树脂再生废水</w:t>
            </w:r>
          </w:p>
        </w:tc>
        <w:tc>
          <w:tcPr>
            <w:tcW w:w="1020" w:type="dxa"/>
            <w:vMerge w:val="restart"/>
            <w:vAlign w:val="center"/>
          </w:tcPr>
          <w:p>
            <w:pPr>
              <w:ind w:firstLine="0" w:firstLineChars="0"/>
              <w:jc w:val="center"/>
              <w:rPr>
                <w:color w:val="auto"/>
              </w:rPr>
            </w:pPr>
            <w:r>
              <w:rPr>
                <w:color w:val="auto"/>
              </w:rPr>
              <w:t>COD</w:t>
            </w:r>
            <w:r>
              <w:rPr>
                <w:rFonts w:hint="eastAsia"/>
                <w:color w:val="auto"/>
              </w:rPr>
              <w:t>、SS</w:t>
            </w:r>
          </w:p>
        </w:tc>
        <w:tc>
          <w:tcPr>
            <w:tcW w:w="2497" w:type="dxa"/>
            <w:vMerge w:val="restart"/>
            <w:vAlign w:val="center"/>
          </w:tcPr>
          <w:p>
            <w:pPr>
              <w:ind w:firstLine="0" w:firstLineChars="0"/>
              <w:jc w:val="center"/>
              <w:rPr>
                <w:color w:val="auto"/>
              </w:rPr>
            </w:pPr>
            <w:r>
              <w:rPr>
                <w:rFonts w:hint="eastAsia"/>
                <w:bCs/>
                <w:color w:val="auto"/>
                <w:szCs w:val="21"/>
              </w:rPr>
              <w:t>依托厂区污水处理系统处理，达到《污水综合排放标准》GB8978-1996表4中三级标准后，进入衡阳第二生活垃圾填埋场渗滤液污水处理站进行深化处理。</w:t>
            </w:r>
            <w:r>
              <w:rPr>
                <w:rFonts w:hint="eastAsia"/>
                <w:color w:val="auto"/>
              </w:rPr>
              <w:t>项目不新增工作人员，不增加生活污水。</w:t>
            </w:r>
          </w:p>
        </w:tc>
        <w:tc>
          <w:tcPr>
            <w:tcW w:w="2153" w:type="dxa"/>
            <w:vMerge w:val="restart"/>
            <w:vAlign w:val="center"/>
          </w:tcPr>
          <w:p>
            <w:pPr>
              <w:ind w:firstLine="0" w:firstLineChars="0"/>
              <w:jc w:val="center"/>
              <w:rPr>
                <w:color w:val="auto"/>
              </w:rPr>
            </w:pPr>
            <w:r>
              <w:rPr>
                <w:rFonts w:hint="eastAsia"/>
                <w:color w:val="auto"/>
              </w:rPr>
              <w:t>《污水综合排放标准》（GB8978-1996）表4中的三级标准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4" w:hRule="atLeast"/>
          <w:jc w:val="center"/>
        </w:trPr>
        <w:tc>
          <w:tcPr>
            <w:tcW w:w="1209" w:type="dxa"/>
            <w:vMerge w:val="continue"/>
            <w:vAlign w:val="center"/>
          </w:tcPr>
          <w:p>
            <w:pPr>
              <w:ind w:firstLine="0" w:firstLineChars="0"/>
              <w:jc w:val="center"/>
              <w:rPr>
                <w:color w:val="auto"/>
              </w:rPr>
            </w:pPr>
          </w:p>
        </w:tc>
        <w:tc>
          <w:tcPr>
            <w:tcW w:w="1643" w:type="dxa"/>
            <w:vAlign w:val="center"/>
          </w:tcPr>
          <w:p>
            <w:pPr>
              <w:ind w:firstLine="0" w:firstLineChars="0"/>
              <w:jc w:val="center"/>
              <w:rPr>
                <w:color w:val="auto"/>
              </w:rPr>
            </w:pPr>
            <w:r>
              <w:rPr>
                <w:rFonts w:hint="eastAsia"/>
                <w:color w:val="auto"/>
              </w:rPr>
              <w:t>纯水制备废水</w:t>
            </w:r>
          </w:p>
        </w:tc>
        <w:tc>
          <w:tcPr>
            <w:tcW w:w="1020" w:type="dxa"/>
            <w:vMerge w:val="continue"/>
            <w:vAlign w:val="center"/>
          </w:tcPr>
          <w:p>
            <w:pPr>
              <w:ind w:firstLine="0" w:firstLineChars="0"/>
              <w:jc w:val="center"/>
              <w:rPr>
                <w:color w:val="auto"/>
              </w:rPr>
            </w:pPr>
          </w:p>
        </w:tc>
        <w:tc>
          <w:tcPr>
            <w:tcW w:w="2497" w:type="dxa"/>
            <w:vMerge w:val="continue"/>
            <w:vAlign w:val="center"/>
          </w:tcPr>
          <w:p>
            <w:pPr>
              <w:ind w:firstLine="0" w:firstLineChars="0"/>
              <w:jc w:val="center"/>
              <w:rPr>
                <w:color w:val="auto"/>
              </w:rPr>
            </w:pPr>
          </w:p>
        </w:tc>
        <w:tc>
          <w:tcPr>
            <w:tcW w:w="2153" w:type="dxa"/>
            <w:vMerge w:val="continue"/>
            <w:vAlign w:val="center"/>
          </w:tcPr>
          <w:p>
            <w:pPr>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1209" w:type="dxa"/>
            <w:vMerge w:val="continue"/>
            <w:vAlign w:val="center"/>
          </w:tcPr>
          <w:p>
            <w:pPr>
              <w:ind w:firstLine="0" w:firstLineChars="0"/>
              <w:jc w:val="center"/>
              <w:rPr>
                <w:color w:val="auto"/>
              </w:rPr>
            </w:pPr>
          </w:p>
        </w:tc>
        <w:tc>
          <w:tcPr>
            <w:tcW w:w="1643" w:type="dxa"/>
            <w:vAlign w:val="center"/>
          </w:tcPr>
          <w:p>
            <w:pPr>
              <w:ind w:firstLine="0" w:firstLineChars="0"/>
              <w:jc w:val="center"/>
              <w:rPr>
                <w:color w:val="auto"/>
              </w:rPr>
            </w:pPr>
            <w:r>
              <w:rPr>
                <w:rFonts w:hint="eastAsia"/>
                <w:color w:val="auto"/>
              </w:rPr>
              <w:t>锅炉排水</w:t>
            </w:r>
          </w:p>
        </w:tc>
        <w:tc>
          <w:tcPr>
            <w:tcW w:w="1020" w:type="dxa"/>
            <w:vMerge w:val="continue"/>
            <w:vAlign w:val="center"/>
          </w:tcPr>
          <w:p>
            <w:pPr>
              <w:ind w:firstLine="0" w:firstLineChars="0"/>
              <w:jc w:val="center"/>
              <w:rPr>
                <w:color w:val="auto"/>
              </w:rPr>
            </w:pPr>
          </w:p>
        </w:tc>
        <w:tc>
          <w:tcPr>
            <w:tcW w:w="2497" w:type="dxa"/>
            <w:vMerge w:val="continue"/>
            <w:vAlign w:val="center"/>
          </w:tcPr>
          <w:p>
            <w:pPr>
              <w:ind w:firstLine="0" w:firstLineChars="0"/>
              <w:jc w:val="center"/>
              <w:rPr>
                <w:color w:val="auto"/>
              </w:rPr>
            </w:pPr>
          </w:p>
        </w:tc>
        <w:tc>
          <w:tcPr>
            <w:tcW w:w="2153" w:type="dxa"/>
            <w:vMerge w:val="continue"/>
            <w:vAlign w:val="center"/>
          </w:tcPr>
          <w:p>
            <w:pPr>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vMerge w:val="continue"/>
            <w:vAlign w:val="center"/>
          </w:tcPr>
          <w:p>
            <w:pPr>
              <w:ind w:firstLine="0" w:firstLineChars="0"/>
              <w:jc w:val="center"/>
              <w:rPr>
                <w:color w:val="auto"/>
              </w:rPr>
            </w:pPr>
          </w:p>
        </w:tc>
        <w:tc>
          <w:tcPr>
            <w:tcW w:w="1643" w:type="dxa"/>
            <w:vAlign w:val="center"/>
          </w:tcPr>
          <w:p>
            <w:pPr>
              <w:ind w:firstLine="0" w:firstLineChars="0"/>
              <w:jc w:val="center"/>
              <w:rPr>
                <w:color w:val="auto"/>
              </w:rPr>
            </w:pPr>
            <w:r>
              <w:rPr>
                <w:rFonts w:hint="eastAsia"/>
                <w:color w:val="auto"/>
              </w:rPr>
              <w:t>锅炉冷凝水</w:t>
            </w:r>
          </w:p>
        </w:tc>
        <w:tc>
          <w:tcPr>
            <w:tcW w:w="1020" w:type="dxa"/>
            <w:vAlign w:val="center"/>
          </w:tcPr>
          <w:p>
            <w:pPr>
              <w:ind w:firstLine="0" w:firstLineChars="0"/>
              <w:jc w:val="center"/>
              <w:rPr>
                <w:color w:val="auto"/>
              </w:rPr>
            </w:pPr>
            <w:r>
              <w:rPr>
                <w:rFonts w:hint="eastAsia"/>
                <w:color w:val="auto"/>
              </w:rPr>
              <w:t>/</w:t>
            </w:r>
          </w:p>
        </w:tc>
        <w:tc>
          <w:tcPr>
            <w:tcW w:w="2497" w:type="dxa"/>
            <w:vAlign w:val="center"/>
          </w:tcPr>
          <w:p>
            <w:pPr>
              <w:ind w:firstLine="0" w:firstLineChars="0"/>
              <w:jc w:val="center"/>
              <w:rPr>
                <w:color w:val="auto"/>
              </w:rPr>
            </w:pPr>
            <w:r>
              <w:rPr>
                <w:rFonts w:hint="eastAsia"/>
                <w:color w:val="auto"/>
              </w:rPr>
              <w:t>循环使用，不外排</w:t>
            </w:r>
          </w:p>
        </w:tc>
        <w:tc>
          <w:tcPr>
            <w:tcW w:w="2153" w:type="dxa"/>
            <w:vMerge w:val="continue"/>
            <w:vAlign w:val="center"/>
          </w:tcPr>
          <w:p>
            <w:pPr>
              <w:ind w:firstLine="0" w:firstLineChars="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00" w:hRule="atLeast"/>
          <w:jc w:val="center"/>
        </w:trPr>
        <w:tc>
          <w:tcPr>
            <w:tcW w:w="1209" w:type="dxa"/>
            <w:vAlign w:val="center"/>
          </w:tcPr>
          <w:p>
            <w:pPr>
              <w:ind w:firstLine="0" w:firstLineChars="0"/>
              <w:jc w:val="center"/>
              <w:rPr>
                <w:color w:val="auto"/>
              </w:rPr>
            </w:pPr>
            <w:r>
              <w:rPr>
                <w:rFonts w:hint="eastAsia"/>
                <w:color w:val="auto"/>
              </w:rPr>
              <w:t>声环境</w:t>
            </w:r>
          </w:p>
        </w:tc>
        <w:tc>
          <w:tcPr>
            <w:tcW w:w="1643" w:type="dxa"/>
            <w:vAlign w:val="center"/>
          </w:tcPr>
          <w:p>
            <w:pPr>
              <w:ind w:firstLine="0" w:firstLineChars="0"/>
              <w:jc w:val="center"/>
              <w:rPr>
                <w:color w:val="auto"/>
              </w:rPr>
            </w:pPr>
            <w:r>
              <w:rPr>
                <w:rFonts w:hint="eastAsia"/>
                <w:color w:val="auto"/>
              </w:rPr>
              <w:t>锅炉运行等生产设备噪声</w:t>
            </w:r>
          </w:p>
        </w:tc>
        <w:tc>
          <w:tcPr>
            <w:tcW w:w="1020" w:type="dxa"/>
            <w:vAlign w:val="center"/>
          </w:tcPr>
          <w:p>
            <w:pPr>
              <w:ind w:firstLine="0" w:firstLineChars="0"/>
              <w:jc w:val="center"/>
              <w:rPr>
                <w:color w:val="auto"/>
              </w:rPr>
            </w:pPr>
            <w:r>
              <w:rPr>
                <w:rFonts w:hint="eastAsia"/>
                <w:color w:val="auto"/>
              </w:rPr>
              <w:t>噪声</w:t>
            </w:r>
          </w:p>
        </w:tc>
        <w:tc>
          <w:tcPr>
            <w:tcW w:w="2497" w:type="dxa"/>
            <w:vAlign w:val="center"/>
          </w:tcPr>
          <w:p>
            <w:pPr>
              <w:ind w:firstLine="0" w:firstLineChars="0"/>
              <w:jc w:val="center"/>
              <w:rPr>
                <w:color w:val="auto"/>
              </w:rPr>
            </w:pPr>
            <w:r>
              <w:rPr>
                <w:rFonts w:hint="eastAsia"/>
                <w:color w:val="auto"/>
              </w:rPr>
              <w:t>减震、隔声、距离衰减等</w:t>
            </w:r>
          </w:p>
        </w:tc>
        <w:tc>
          <w:tcPr>
            <w:tcW w:w="2153" w:type="dxa"/>
            <w:vAlign w:val="center"/>
          </w:tcPr>
          <w:p>
            <w:pPr>
              <w:ind w:firstLine="0" w:firstLineChars="0"/>
              <w:jc w:val="center"/>
              <w:rPr>
                <w:color w:val="auto"/>
              </w:rPr>
            </w:pPr>
            <w:r>
              <w:rPr>
                <w:rFonts w:hint="eastAsia"/>
                <w:color w:val="auto"/>
              </w:rPr>
              <w:t>《工业企业厂界环境噪声排放标准》（GB12348-2008）2类标准限值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1209" w:type="dxa"/>
            <w:vAlign w:val="center"/>
          </w:tcPr>
          <w:p>
            <w:pPr>
              <w:ind w:firstLine="0" w:firstLineChars="0"/>
              <w:jc w:val="center"/>
              <w:rPr>
                <w:color w:val="auto"/>
              </w:rPr>
            </w:pPr>
            <w:r>
              <w:rPr>
                <w:rFonts w:hint="eastAsia"/>
                <w:color w:val="auto"/>
              </w:rPr>
              <w:t>电磁辐射</w:t>
            </w:r>
          </w:p>
        </w:tc>
        <w:tc>
          <w:tcPr>
            <w:tcW w:w="7313" w:type="dxa"/>
            <w:gridSpan w:val="4"/>
            <w:vAlign w:val="center"/>
          </w:tcPr>
          <w:p>
            <w:pPr>
              <w:ind w:firstLine="0" w:firstLineChars="0"/>
              <w:jc w:val="center"/>
              <w:rPr>
                <w:color w:val="auto"/>
              </w:rPr>
            </w:pPr>
            <w:r>
              <w:rPr>
                <w:rFonts w:hint="eastAsia"/>
                <w:color w:val="auto"/>
              </w:rPr>
              <w:t>本项目不涉及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jc w:val="center"/>
        </w:trPr>
        <w:tc>
          <w:tcPr>
            <w:tcW w:w="1209" w:type="dxa"/>
            <w:vAlign w:val="center"/>
          </w:tcPr>
          <w:p>
            <w:pPr>
              <w:ind w:firstLine="0" w:firstLineChars="0"/>
              <w:jc w:val="center"/>
              <w:rPr>
                <w:color w:val="auto"/>
              </w:rPr>
            </w:pPr>
            <w:r>
              <w:rPr>
                <w:rFonts w:hint="eastAsia"/>
                <w:color w:val="auto"/>
              </w:rPr>
              <w:t>固体废物</w:t>
            </w:r>
          </w:p>
        </w:tc>
        <w:tc>
          <w:tcPr>
            <w:tcW w:w="7313" w:type="dxa"/>
            <w:gridSpan w:val="4"/>
            <w:vAlign w:val="center"/>
          </w:tcPr>
          <w:p>
            <w:pPr>
              <w:widowControl/>
              <w:ind w:firstLine="0" w:firstLineChars="0"/>
              <w:jc w:val="center"/>
              <w:rPr>
                <w:color w:val="auto"/>
              </w:rPr>
            </w:pPr>
            <w:r>
              <w:rPr>
                <w:rFonts w:hint="eastAsia"/>
                <w:color w:val="auto"/>
              </w:rPr>
              <w:t>纯水制备产生的废石英砂及废活性炭等</w:t>
            </w:r>
            <w:r>
              <w:rPr>
                <w:rFonts w:hint="eastAsia" w:ascii="宋体" w:hAnsi="宋体" w:cs="宋体"/>
                <w:color w:val="auto"/>
                <w:kern w:val="0"/>
                <w:lang w:bidi="ar"/>
              </w:rPr>
              <w:t>一般固废，</w:t>
            </w:r>
            <w:r>
              <w:rPr>
                <w:rFonts w:hint="eastAsia"/>
                <w:color w:val="auto"/>
              </w:rPr>
              <w:t>由原厂家定期更换，更换后交由原厂家处置。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209" w:type="dxa"/>
            <w:vAlign w:val="center"/>
          </w:tcPr>
          <w:p>
            <w:pPr>
              <w:ind w:firstLine="0" w:firstLineChars="0"/>
              <w:jc w:val="center"/>
              <w:rPr>
                <w:color w:val="auto"/>
              </w:rPr>
            </w:pPr>
            <w:r>
              <w:rPr>
                <w:rFonts w:hint="eastAsia"/>
                <w:color w:val="auto"/>
              </w:rPr>
              <w:t>土壤及地下水污染防治措施</w:t>
            </w:r>
          </w:p>
        </w:tc>
        <w:tc>
          <w:tcPr>
            <w:tcW w:w="7313" w:type="dxa"/>
            <w:gridSpan w:val="4"/>
            <w:vAlign w:val="center"/>
          </w:tcPr>
          <w:p>
            <w:pPr>
              <w:widowControl/>
              <w:ind w:firstLine="0" w:firstLineChars="0"/>
              <w:jc w:val="center"/>
              <w:rPr>
                <w:color w:val="auto"/>
              </w:rPr>
            </w:pPr>
            <w:r>
              <w:rPr>
                <w:rFonts w:hint="eastAsia" w:ascii="宋体" w:hAnsi="宋体" w:cs="宋体"/>
                <w:color w:val="auto"/>
                <w:kern w:val="0"/>
                <w:lang w:bidi="ar"/>
              </w:rPr>
              <w:t>锅炉房应进行简单防渗。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9" w:type="dxa"/>
            <w:vAlign w:val="center"/>
          </w:tcPr>
          <w:p>
            <w:pPr>
              <w:ind w:firstLine="0" w:firstLineChars="0"/>
              <w:jc w:val="center"/>
              <w:rPr>
                <w:color w:val="auto"/>
              </w:rPr>
            </w:pPr>
            <w:r>
              <w:rPr>
                <w:rFonts w:hint="eastAsia"/>
                <w:color w:val="auto"/>
              </w:rPr>
              <w:t>生态保护措施</w:t>
            </w:r>
          </w:p>
        </w:tc>
        <w:tc>
          <w:tcPr>
            <w:tcW w:w="7313" w:type="dxa"/>
            <w:gridSpan w:val="4"/>
            <w:vAlign w:val="center"/>
          </w:tcPr>
          <w:p>
            <w:pPr>
              <w:ind w:firstLine="0" w:firstLineChars="0"/>
              <w:jc w:val="center"/>
              <w:rPr>
                <w:color w:val="auto"/>
              </w:rPr>
            </w:pPr>
            <w:r>
              <w:rPr>
                <w:rFonts w:hint="eastAsia"/>
                <w:color w:val="auto"/>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09" w:type="dxa"/>
            <w:vAlign w:val="center"/>
          </w:tcPr>
          <w:p>
            <w:pPr>
              <w:ind w:firstLine="0" w:firstLineChars="0"/>
              <w:jc w:val="center"/>
              <w:rPr>
                <w:color w:val="auto"/>
              </w:rPr>
            </w:pPr>
            <w:r>
              <w:rPr>
                <w:rFonts w:hint="eastAsia"/>
                <w:color w:val="auto"/>
              </w:rPr>
              <w:t>环境风险防范措施</w:t>
            </w:r>
          </w:p>
        </w:tc>
        <w:tc>
          <w:tcPr>
            <w:tcW w:w="7313" w:type="dxa"/>
            <w:gridSpan w:val="4"/>
            <w:vAlign w:val="center"/>
          </w:tcPr>
          <w:p>
            <w:pPr>
              <w:ind w:firstLine="0" w:firstLineChars="0"/>
              <w:jc w:val="left"/>
              <w:rPr>
                <w:color w:val="auto"/>
              </w:rPr>
            </w:pPr>
            <w:r>
              <w:rPr>
                <w:rFonts w:hint="eastAsia"/>
                <w:color w:val="auto"/>
              </w:rPr>
              <w:t>1、应严格按照国家有关消防的规定，制定消防灭火应急预案，建立自动灭火系统，配备足够的消防设备和消防器材。一切消防器材不准挪动、乱用，并要定期检查，确保能正常使用，并设置烟雾报警器等应急装置，以便及时发现火灾。</w:t>
            </w:r>
          </w:p>
          <w:p>
            <w:pPr>
              <w:ind w:firstLine="0" w:firstLineChars="0"/>
              <w:jc w:val="left"/>
              <w:rPr>
                <w:color w:val="auto"/>
              </w:rPr>
            </w:pPr>
            <w:r>
              <w:rPr>
                <w:rFonts w:hint="eastAsia"/>
                <w:color w:val="auto"/>
              </w:rPr>
              <w:t>2、根据相关要求，加强对用电线路、设备的安全管理，做到专人管理、专人负责，电气设备及线路采用防爆型，发现电气隐患，立即整改排除，防止出现电气火灾事故。</w:t>
            </w:r>
          </w:p>
          <w:p>
            <w:pPr>
              <w:ind w:firstLine="0" w:firstLineChars="0"/>
              <w:jc w:val="left"/>
              <w:rPr>
                <w:color w:val="auto"/>
              </w:rPr>
            </w:pPr>
            <w:r>
              <w:rPr>
                <w:rFonts w:hint="eastAsia"/>
                <w:color w:val="auto"/>
              </w:rPr>
              <w:t>3、加强可燃物料的管理，建立相关制度，避免可燃物料储存、输送、使用过程中的火灾隐患。</w:t>
            </w:r>
          </w:p>
          <w:p>
            <w:pPr>
              <w:ind w:firstLine="0" w:firstLineChars="0"/>
              <w:jc w:val="left"/>
              <w:rPr>
                <w:color w:val="auto"/>
              </w:rPr>
            </w:pPr>
            <w:r>
              <w:rPr>
                <w:rFonts w:hint="eastAsia"/>
                <w:color w:val="auto"/>
              </w:rPr>
              <w:t>4、生产车间内设置“严禁烟火”的警示牌，制定严格的操作管理制度和对工人进行培训上岗，使其熟知灭火器材使用及防范应急措施。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09" w:type="dxa"/>
            <w:vAlign w:val="center"/>
          </w:tcPr>
          <w:p>
            <w:pPr>
              <w:ind w:firstLine="0" w:firstLineChars="0"/>
              <w:jc w:val="center"/>
              <w:rPr>
                <w:color w:val="auto"/>
              </w:rPr>
            </w:pPr>
            <w:r>
              <w:rPr>
                <w:rFonts w:hint="eastAsia"/>
                <w:color w:val="auto"/>
              </w:rPr>
              <w:t>其他环境管理要求</w:t>
            </w:r>
          </w:p>
        </w:tc>
        <w:tc>
          <w:tcPr>
            <w:tcW w:w="7313" w:type="dxa"/>
            <w:gridSpan w:val="4"/>
            <w:vAlign w:val="center"/>
          </w:tcPr>
          <w:p>
            <w:pPr>
              <w:ind w:firstLine="0" w:firstLineChars="0"/>
              <w:jc w:val="left"/>
              <w:rPr>
                <w:color w:val="auto"/>
              </w:rPr>
            </w:pPr>
            <w:r>
              <w:rPr>
                <w:rFonts w:hint="eastAsia"/>
                <w:color w:val="auto"/>
              </w:rPr>
              <w:t>1、项目应按生态环境部门的要求加强对企业的环境管理，要建立健全企业的环保监督、管理制度。</w:t>
            </w:r>
          </w:p>
          <w:p>
            <w:pPr>
              <w:ind w:firstLine="0" w:firstLineChars="0"/>
              <w:jc w:val="left"/>
              <w:rPr>
                <w:color w:val="auto"/>
              </w:rPr>
            </w:pPr>
            <w:r>
              <w:rPr>
                <w:rFonts w:hint="eastAsia"/>
                <w:color w:val="auto"/>
              </w:rPr>
              <w:t>2、项目建成后企业需根据《排污许可管理条例》及相关规范的要求申请排污许可证，并根据相关规定定期进行自行监测。</w:t>
            </w:r>
          </w:p>
          <w:p>
            <w:pPr>
              <w:ind w:firstLine="0" w:firstLineChars="0"/>
              <w:jc w:val="left"/>
              <w:rPr>
                <w:color w:val="auto"/>
              </w:rPr>
            </w:pPr>
            <w:r>
              <w:rPr>
                <w:rFonts w:hint="eastAsia"/>
                <w:color w:val="auto"/>
              </w:rPr>
              <w:t>3、环境管理措施：企业应有负责人分管厂内的环保工作，设立环保专门机构，配备专职人员负责具体工作，以保证各项污染防治设施的正常运行。经常对厂内劳动人员进行环境保护的教育和管理，使每一员工都有环保意识及危害意识，自觉节约用水、用电。对固体废弃物能自觉纳入相应的收集系统内，不乱排、乱倒。</w:t>
            </w:r>
          </w:p>
        </w:tc>
      </w:tr>
    </w:tbl>
    <w:p>
      <w:pPr>
        <w:ind w:firstLine="480"/>
        <w:rPr>
          <w:color w:val="auto"/>
        </w:rPr>
      </w:pPr>
      <w:r>
        <w:rPr>
          <w:color w:val="auto"/>
        </w:rPr>
        <w:br w:type="page"/>
      </w:r>
    </w:p>
    <w:p>
      <w:pPr>
        <w:pStyle w:val="4"/>
        <w:rPr>
          <w:color w:val="auto"/>
        </w:rPr>
      </w:pPr>
      <w:bookmarkStart w:id="11" w:name="_Toc213108125"/>
      <w:r>
        <w:rPr>
          <w:rFonts w:hint="eastAsia"/>
          <w:color w:val="auto"/>
        </w:rPr>
        <w:t>六、结论</w:t>
      </w:r>
      <w:bookmarkEnd w:id="11"/>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2" w:type="dxa"/>
          </w:tcPr>
          <w:p>
            <w:pPr>
              <w:ind w:firstLine="480"/>
              <w:rPr>
                <w:color w:val="auto"/>
              </w:rPr>
            </w:pPr>
            <w:r>
              <w:rPr>
                <w:color w:val="auto"/>
              </w:rPr>
              <w:t>经综合分析，</w:t>
            </w:r>
            <w:r>
              <w:rPr>
                <w:rFonts w:hint="eastAsia"/>
                <w:color w:val="auto"/>
                <w:lang w:eastAsia="zh-CN"/>
              </w:rPr>
              <w:t>衡阳桑德凯天再生资源科技有限公司3t/h沼气锅炉改扩建项目</w:t>
            </w:r>
            <w:r>
              <w:rPr>
                <w:color w:val="auto"/>
              </w:rPr>
              <w:t>符合国家相关产业政策，符合地方总体规划要求，选址可行，总平面布置合理。在采取本报告表提出的各项环保措施与对策，落实环保</w:t>
            </w:r>
            <w:r>
              <w:rPr>
                <w:rFonts w:hint="eastAsia"/>
                <w:color w:val="auto"/>
              </w:rPr>
              <w:t>“</w:t>
            </w:r>
            <w:r>
              <w:rPr>
                <w:color w:val="auto"/>
              </w:rPr>
              <w:t>三同时</w:t>
            </w:r>
            <w:r>
              <w:rPr>
                <w:rFonts w:hint="eastAsia"/>
                <w:color w:val="auto"/>
              </w:rPr>
              <w:t>”</w:t>
            </w:r>
            <w:r>
              <w:rPr>
                <w:color w:val="auto"/>
              </w:rPr>
              <w:t>制度前提下，该项目产生的污染物可做到达标排放，固废得到妥善处置，噪声不会出现扰民现象，项目区域环境质量基本可达功能区要求，从环境保护角度分析，该项目的建设是可行的。</w:t>
            </w: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480"/>
              <w:rPr>
                <w:color w:val="auto"/>
              </w:rPr>
            </w:pPr>
          </w:p>
          <w:p>
            <w:pPr>
              <w:ind w:firstLine="0" w:firstLineChars="0"/>
              <w:rPr>
                <w:rFonts w:hint="eastAsia"/>
                <w:color w:val="auto"/>
              </w:rPr>
            </w:pPr>
          </w:p>
        </w:tc>
      </w:tr>
    </w:tbl>
    <w:p>
      <w:pPr>
        <w:ind w:firstLine="480"/>
        <w:rPr>
          <w:color w:val="auto"/>
        </w:rPr>
        <w:sectPr>
          <w:pgSz w:w="11906" w:h="16838"/>
          <w:pgMar w:top="1440" w:right="1800" w:bottom="1440" w:left="1800" w:header="851" w:footer="992" w:gutter="0"/>
          <w:cols w:space="425" w:num="1"/>
          <w:docGrid w:type="lines" w:linePitch="312" w:charSpace="0"/>
        </w:sectPr>
      </w:pPr>
    </w:p>
    <w:p>
      <w:pPr>
        <w:pStyle w:val="4"/>
        <w:spacing w:line="360" w:lineRule="auto"/>
        <w:jc w:val="both"/>
        <w:rPr>
          <w:rFonts w:ascii="宋体" w:hAnsi="宋体" w:eastAsia="宋体"/>
          <w:color w:val="auto"/>
        </w:rPr>
      </w:pPr>
      <w:bookmarkStart w:id="12" w:name="_Toc213108126"/>
      <w:r>
        <w:rPr>
          <w:rFonts w:hint="eastAsia" w:ascii="宋体" w:hAnsi="宋体" w:eastAsia="宋体"/>
          <w:color w:val="auto"/>
        </w:rPr>
        <w:t>附表</w:t>
      </w:r>
      <w:bookmarkEnd w:id="12"/>
    </w:p>
    <w:p>
      <w:pPr>
        <w:pStyle w:val="4"/>
        <w:spacing w:line="360" w:lineRule="auto"/>
        <w:rPr>
          <w:rFonts w:hint="eastAsia" w:ascii="宋体" w:hAnsi="宋体" w:eastAsia="宋体"/>
          <w:color w:val="auto"/>
        </w:rPr>
      </w:pPr>
      <w:bookmarkStart w:id="13" w:name="_Toc20265"/>
      <w:bookmarkStart w:id="14" w:name="_Toc6391"/>
      <w:bookmarkStart w:id="15" w:name="_Toc7144"/>
      <w:bookmarkStart w:id="16" w:name="_Toc8795"/>
      <w:bookmarkStart w:id="17" w:name="_Toc213108127"/>
      <w:bookmarkStart w:id="18" w:name="_Toc15290"/>
      <w:bookmarkStart w:id="19" w:name="_Toc8354"/>
      <w:bookmarkStart w:id="20" w:name="_Toc25277"/>
      <w:bookmarkStart w:id="21" w:name="_Toc21982"/>
      <w:r>
        <w:rPr>
          <w:rFonts w:ascii="宋体" w:hAnsi="宋体" w:eastAsia="宋体"/>
          <w:color w:val="auto"/>
        </w:rPr>
        <w:t>建设项目污染物排放量汇总表</w:t>
      </w:r>
      <w:bookmarkEnd w:id="13"/>
      <w:bookmarkEnd w:id="14"/>
      <w:bookmarkEnd w:id="15"/>
      <w:bookmarkEnd w:id="16"/>
      <w:bookmarkEnd w:id="17"/>
      <w:bookmarkEnd w:id="18"/>
      <w:bookmarkEnd w:id="19"/>
      <w:bookmarkEnd w:id="20"/>
      <w:bookmarkEnd w:id="21"/>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923"/>
        <w:gridCol w:w="1401"/>
        <w:gridCol w:w="861"/>
        <w:gridCol w:w="1698"/>
        <w:gridCol w:w="1671"/>
        <w:gridCol w:w="1389"/>
        <w:gridCol w:w="1397"/>
        <w:gridCol w:w="1256"/>
        <w:gridCol w:w="1356"/>
        <w:gridCol w:w="11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656" w:type="dxa"/>
            <w:vAlign w:val="center"/>
          </w:tcPr>
          <w:p>
            <w:pPr>
              <w:pStyle w:val="31"/>
              <w:rPr>
                <w:color w:val="auto"/>
                <w:szCs w:val="21"/>
              </w:rPr>
            </w:pPr>
            <w:r>
              <w:rPr>
                <w:color w:val="auto"/>
                <w:szCs w:val="21"/>
              </w:rPr>
              <w:t>类别</w:t>
            </w:r>
          </w:p>
        </w:tc>
        <w:tc>
          <w:tcPr>
            <w:tcW w:w="923" w:type="dxa"/>
            <w:vAlign w:val="center"/>
          </w:tcPr>
          <w:p>
            <w:pPr>
              <w:pStyle w:val="31"/>
              <w:rPr>
                <w:color w:val="auto"/>
                <w:szCs w:val="21"/>
              </w:rPr>
            </w:pPr>
            <w:r>
              <w:rPr>
                <w:color w:val="auto"/>
                <w:szCs w:val="21"/>
              </w:rPr>
              <w:t>污染物名称</w:t>
            </w:r>
          </w:p>
        </w:tc>
        <w:tc>
          <w:tcPr>
            <w:tcW w:w="1401" w:type="dxa"/>
            <w:vAlign w:val="center"/>
          </w:tcPr>
          <w:p>
            <w:pPr>
              <w:pStyle w:val="31"/>
              <w:rPr>
                <w:color w:val="auto"/>
                <w:szCs w:val="21"/>
              </w:rPr>
            </w:pPr>
            <w:r>
              <w:rPr>
                <w:bCs w:val="0"/>
                <w:snapToGrid w:val="0"/>
                <w:color w:val="auto"/>
                <w:kern w:val="21"/>
                <w:szCs w:val="21"/>
                <w:u w:val="wave"/>
              </w:rPr>
              <w:t>现有工程排放量t/a</w:t>
            </w:r>
            <w:r>
              <w:rPr>
                <w:bCs w:val="0"/>
                <w:snapToGrid w:val="0"/>
                <w:color w:val="auto"/>
                <w:kern w:val="21"/>
                <w:szCs w:val="21"/>
                <w:u w:val="wave"/>
              </w:rPr>
              <w:fldChar w:fldCharType="begin"/>
            </w:r>
            <w:r>
              <w:rPr>
                <w:bCs w:val="0"/>
                <w:snapToGrid w:val="0"/>
                <w:color w:val="auto"/>
                <w:kern w:val="21"/>
                <w:szCs w:val="21"/>
                <w:u w:val="wave"/>
              </w:rPr>
              <w:instrText xml:space="preserve"> = 1 \* GB3 \* MERGEFORMAT </w:instrText>
            </w:r>
            <w:r>
              <w:rPr>
                <w:bCs w:val="0"/>
                <w:snapToGrid w:val="0"/>
                <w:color w:val="auto"/>
                <w:kern w:val="21"/>
                <w:szCs w:val="21"/>
                <w:u w:val="wave"/>
              </w:rPr>
              <w:fldChar w:fldCharType="separate"/>
            </w:r>
            <w:r>
              <w:rPr>
                <w:rFonts w:ascii="Cambria Math" w:hAnsi="Cambria Math" w:cs="Cambria Math"/>
                <w:bCs w:val="0"/>
                <w:color w:val="auto"/>
                <w:kern w:val="2"/>
                <w:szCs w:val="21"/>
                <w:u w:val="wave"/>
              </w:rPr>
              <w:t>①</w:t>
            </w:r>
            <w:r>
              <w:rPr>
                <w:bCs w:val="0"/>
                <w:snapToGrid w:val="0"/>
                <w:color w:val="auto"/>
                <w:kern w:val="21"/>
                <w:szCs w:val="21"/>
                <w:u w:val="wave"/>
              </w:rPr>
              <w:fldChar w:fldCharType="end"/>
            </w:r>
          </w:p>
        </w:tc>
        <w:tc>
          <w:tcPr>
            <w:tcW w:w="861" w:type="dxa"/>
            <w:vAlign w:val="center"/>
          </w:tcPr>
          <w:p>
            <w:pPr>
              <w:pStyle w:val="31"/>
              <w:tabs>
                <w:tab w:val="left" w:pos="1021"/>
                <w:tab w:val="left" w:pos="2700"/>
                <w:tab w:val="left" w:pos="6300"/>
              </w:tabs>
              <w:overflowPunct/>
              <w:autoSpaceDE/>
              <w:autoSpaceDN/>
              <w:adjustRightInd/>
              <w:snapToGrid/>
              <w:textAlignment w:val="auto"/>
              <w:rPr>
                <w:bCs w:val="0"/>
                <w:snapToGrid w:val="0"/>
                <w:color w:val="auto"/>
                <w:kern w:val="21"/>
                <w:szCs w:val="21"/>
                <w:u w:val="wave"/>
              </w:rPr>
            </w:pPr>
            <w:r>
              <w:rPr>
                <w:bCs w:val="0"/>
                <w:snapToGrid w:val="0"/>
                <w:color w:val="auto"/>
                <w:kern w:val="21"/>
                <w:szCs w:val="21"/>
                <w:u w:val="wave"/>
              </w:rPr>
              <w:t>现有工程许可排放量t/a</w:t>
            </w:r>
          </w:p>
          <w:p>
            <w:pPr>
              <w:pStyle w:val="31"/>
              <w:rPr>
                <w:color w:val="auto"/>
                <w:szCs w:val="21"/>
              </w:rPr>
            </w:pPr>
            <w:r>
              <w:rPr>
                <w:bCs w:val="0"/>
                <w:snapToGrid w:val="0"/>
                <w:color w:val="auto"/>
                <w:kern w:val="21"/>
                <w:szCs w:val="21"/>
                <w:u w:val="wave"/>
              </w:rPr>
              <w:fldChar w:fldCharType="begin"/>
            </w:r>
            <w:r>
              <w:rPr>
                <w:bCs w:val="0"/>
                <w:snapToGrid w:val="0"/>
                <w:color w:val="auto"/>
                <w:kern w:val="21"/>
                <w:szCs w:val="21"/>
                <w:u w:val="wave"/>
              </w:rPr>
              <w:instrText xml:space="preserve"> = 2 \* GB3 \* MERGEFORMAT </w:instrText>
            </w:r>
            <w:r>
              <w:rPr>
                <w:bCs w:val="0"/>
                <w:snapToGrid w:val="0"/>
                <w:color w:val="auto"/>
                <w:kern w:val="21"/>
                <w:szCs w:val="21"/>
                <w:u w:val="wave"/>
              </w:rPr>
              <w:fldChar w:fldCharType="separate"/>
            </w:r>
            <w:r>
              <w:rPr>
                <w:rFonts w:ascii="Cambria Math" w:hAnsi="Cambria Math" w:cs="Cambria Math"/>
                <w:bCs w:val="0"/>
                <w:snapToGrid w:val="0"/>
                <w:color w:val="auto"/>
                <w:kern w:val="21"/>
                <w:szCs w:val="21"/>
                <w:u w:val="wave"/>
              </w:rPr>
              <w:t>②</w:t>
            </w:r>
            <w:r>
              <w:rPr>
                <w:bCs w:val="0"/>
                <w:snapToGrid w:val="0"/>
                <w:color w:val="auto"/>
                <w:kern w:val="21"/>
                <w:szCs w:val="21"/>
                <w:u w:val="wave"/>
              </w:rPr>
              <w:fldChar w:fldCharType="end"/>
            </w:r>
          </w:p>
        </w:tc>
        <w:tc>
          <w:tcPr>
            <w:tcW w:w="1698" w:type="dxa"/>
            <w:vAlign w:val="center"/>
          </w:tcPr>
          <w:p>
            <w:pPr>
              <w:pStyle w:val="31"/>
              <w:rPr>
                <w:color w:val="auto"/>
                <w:szCs w:val="21"/>
              </w:rPr>
            </w:pPr>
            <w:r>
              <w:rPr>
                <w:bCs w:val="0"/>
                <w:snapToGrid w:val="0"/>
                <w:color w:val="auto"/>
                <w:kern w:val="21"/>
                <w:szCs w:val="21"/>
                <w:u w:val="wave"/>
              </w:rPr>
              <w:t>在建工程排放量t/a</w:t>
            </w:r>
            <w:r>
              <w:rPr>
                <w:bCs w:val="0"/>
                <w:snapToGrid w:val="0"/>
                <w:color w:val="auto"/>
                <w:kern w:val="21"/>
                <w:szCs w:val="21"/>
                <w:u w:val="wave"/>
              </w:rPr>
              <w:fldChar w:fldCharType="begin"/>
            </w:r>
            <w:r>
              <w:rPr>
                <w:bCs w:val="0"/>
                <w:snapToGrid w:val="0"/>
                <w:color w:val="auto"/>
                <w:kern w:val="21"/>
                <w:szCs w:val="21"/>
                <w:u w:val="wave"/>
              </w:rPr>
              <w:instrText xml:space="preserve"> = 3 \* GB3 \* MERGEFORMAT </w:instrText>
            </w:r>
            <w:r>
              <w:rPr>
                <w:bCs w:val="0"/>
                <w:snapToGrid w:val="0"/>
                <w:color w:val="auto"/>
                <w:kern w:val="21"/>
                <w:szCs w:val="21"/>
                <w:u w:val="wave"/>
              </w:rPr>
              <w:fldChar w:fldCharType="separate"/>
            </w:r>
            <w:r>
              <w:rPr>
                <w:rFonts w:ascii="Cambria Math" w:hAnsi="Cambria Math" w:cs="Cambria Math"/>
                <w:bCs w:val="0"/>
                <w:color w:val="auto"/>
                <w:kern w:val="2"/>
                <w:szCs w:val="21"/>
                <w:u w:val="wave"/>
              </w:rPr>
              <w:t>③</w:t>
            </w:r>
            <w:r>
              <w:rPr>
                <w:bCs w:val="0"/>
                <w:snapToGrid w:val="0"/>
                <w:color w:val="auto"/>
                <w:kern w:val="21"/>
                <w:szCs w:val="21"/>
                <w:u w:val="wave"/>
              </w:rPr>
              <w:fldChar w:fldCharType="end"/>
            </w:r>
          </w:p>
        </w:tc>
        <w:tc>
          <w:tcPr>
            <w:tcW w:w="1671" w:type="dxa"/>
            <w:vAlign w:val="center"/>
          </w:tcPr>
          <w:p>
            <w:pPr>
              <w:pStyle w:val="31"/>
              <w:rPr>
                <w:color w:val="auto"/>
                <w:szCs w:val="21"/>
              </w:rPr>
            </w:pPr>
            <w:r>
              <w:rPr>
                <w:bCs w:val="0"/>
                <w:snapToGrid w:val="0"/>
                <w:color w:val="auto"/>
                <w:kern w:val="21"/>
                <w:szCs w:val="21"/>
                <w:u w:val="wave"/>
              </w:rPr>
              <w:t>本项目产生量t/a</w:t>
            </w:r>
            <w:r>
              <w:rPr>
                <w:bCs w:val="0"/>
                <w:snapToGrid w:val="0"/>
                <w:color w:val="auto"/>
                <w:kern w:val="21"/>
                <w:szCs w:val="21"/>
                <w:u w:val="wave"/>
              </w:rPr>
              <w:fldChar w:fldCharType="begin"/>
            </w:r>
            <w:r>
              <w:rPr>
                <w:bCs w:val="0"/>
                <w:snapToGrid w:val="0"/>
                <w:color w:val="auto"/>
                <w:kern w:val="21"/>
                <w:szCs w:val="21"/>
                <w:u w:val="wave"/>
              </w:rPr>
              <w:instrText xml:space="preserve"> = 4 \* GB3 \* MERGEFORMAT </w:instrText>
            </w:r>
            <w:r>
              <w:rPr>
                <w:bCs w:val="0"/>
                <w:snapToGrid w:val="0"/>
                <w:color w:val="auto"/>
                <w:kern w:val="21"/>
                <w:szCs w:val="21"/>
                <w:u w:val="wave"/>
              </w:rPr>
              <w:fldChar w:fldCharType="separate"/>
            </w:r>
            <w:r>
              <w:rPr>
                <w:rFonts w:ascii="Cambria Math" w:hAnsi="Cambria Math" w:cs="Cambria Math"/>
                <w:bCs w:val="0"/>
                <w:color w:val="auto"/>
                <w:kern w:val="2"/>
                <w:szCs w:val="21"/>
                <w:u w:val="wave"/>
              </w:rPr>
              <w:t>④</w:t>
            </w:r>
            <w:r>
              <w:rPr>
                <w:bCs w:val="0"/>
                <w:snapToGrid w:val="0"/>
                <w:color w:val="auto"/>
                <w:kern w:val="21"/>
                <w:szCs w:val="21"/>
                <w:u w:val="wave"/>
              </w:rPr>
              <w:fldChar w:fldCharType="end"/>
            </w:r>
          </w:p>
        </w:tc>
        <w:tc>
          <w:tcPr>
            <w:tcW w:w="1389" w:type="dxa"/>
            <w:vAlign w:val="center"/>
          </w:tcPr>
          <w:p>
            <w:pPr>
              <w:pStyle w:val="31"/>
              <w:rPr>
                <w:color w:val="auto"/>
                <w:szCs w:val="21"/>
              </w:rPr>
            </w:pPr>
            <w:r>
              <w:rPr>
                <w:bCs w:val="0"/>
                <w:snapToGrid w:val="0"/>
                <w:color w:val="auto"/>
                <w:kern w:val="21"/>
                <w:szCs w:val="21"/>
                <w:u w:val="wave"/>
              </w:rPr>
              <w:t>消减量t/a</w:t>
            </w:r>
          </w:p>
        </w:tc>
        <w:tc>
          <w:tcPr>
            <w:tcW w:w="1397" w:type="dxa"/>
            <w:vAlign w:val="center"/>
          </w:tcPr>
          <w:p>
            <w:pPr>
              <w:pStyle w:val="31"/>
              <w:rPr>
                <w:color w:val="auto"/>
                <w:szCs w:val="21"/>
              </w:rPr>
            </w:pPr>
            <w:r>
              <w:rPr>
                <w:bCs w:val="0"/>
                <w:snapToGrid w:val="0"/>
                <w:color w:val="auto"/>
                <w:kern w:val="21"/>
                <w:szCs w:val="21"/>
                <w:u w:val="wave"/>
              </w:rPr>
              <w:t>本项目排放量t/a</w:t>
            </w:r>
            <w:r>
              <w:rPr>
                <w:bCs w:val="0"/>
                <w:snapToGrid w:val="0"/>
                <w:color w:val="auto"/>
                <w:kern w:val="21"/>
                <w:szCs w:val="21"/>
                <w:u w:val="wave"/>
              </w:rPr>
              <w:fldChar w:fldCharType="begin"/>
            </w:r>
            <w:r>
              <w:rPr>
                <w:bCs w:val="0"/>
                <w:snapToGrid w:val="0"/>
                <w:color w:val="auto"/>
                <w:kern w:val="21"/>
                <w:szCs w:val="21"/>
                <w:u w:val="wave"/>
              </w:rPr>
              <w:instrText xml:space="preserve"> = 4 \* GB3 \* MERGEFORMAT </w:instrText>
            </w:r>
            <w:r>
              <w:rPr>
                <w:bCs w:val="0"/>
                <w:snapToGrid w:val="0"/>
                <w:color w:val="auto"/>
                <w:kern w:val="21"/>
                <w:szCs w:val="21"/>
                <w:u w:val="wave"/>
              </w:rPr>
              <w:fldChar w:fldCharType="separate"/>
            </w:r>
            <w:r>
              <w:rPr>
                <w:rFonts w:ascii="Cambria Math" w:hAnsi="Cambria Math" w:cs="Cambria Math"/>
                <w:bCs w:val="0"/>
                <w:color w:val="auto"/>
                <w:kern w:val="2"/>
                <w:szCs w:val="21"/>
                <w:u w:val="wave"/>
              </w:rPr>
              <w:t>④</w:t>
            </w:r>
            <w:r>
              <w:rPr>
                <w:bCs w:val="0"/>
                <w:snapToGrid w:val="0"/>
                <w:color w:val="auto"/>
                <w:kern w:val="21"/>
                <w:szCs w:val="21"/>
                <w:u w:val="wave"/>
              </w:rPr>
              <w:fldChar w:fldCharType="end"/>
            </w:r>
          </w:p>
        </w:tc>
        <w:tc>
          <w:tcPr>
            <w:tcW w:w="1256" w:type="dxa"/>
            <w:vAlign w:val="center"/>
          </w:tcPr>
          <w:p>
            <w:pPr>
              <w:pStyle w:val="31"/>
              <w:rPr>
                <w:color w:val="auto"/>
                <w:szCs w:val="21"/>
              </w:rPr>
            </w:pPr>
            <w:r>
              <w:rPr>
                <w:bCs w:val="0"/>
                <w:snapToGrid w:val="0"/>
                <w:color w:val="auto"/>
                <w:kern w:val="21"/>
                <w:szCs w:val="21"/>
                <w:u w:val="wave"/>
              </w:rPr>
              <w:t>以新带老削减量t/a（新建项目不填）</w:t>
            </w:r>
            <w:r>
              <w:rPr>
                <w:bCs w:val="0"/>
                <w:snapToGrid w:val="0"/>
                <w:color w:val="auto"/>
                <w:kern w:val="21"/>
                <w:szCs w:val="21"/>
                <w:u w:val="wave"/>
              </w:rPr>
              <w:fldChar w:fldCharType="begin"/>
            </w:r>
            <w:r>
              <w:rPr>
                <w:bCs w:val="0"/>
                <w:snapToGrid w:val="0"/>
                <w:color w:val="auto"/>
                <w:kern w:val="21"/>
                <w:szCs w:val="21"/>
                <w:u w:val="wave"/>
              </w:rPr>
              <w:instrText xml:space="preserve"> = 5 \* GB3 \* MERGEFORMAT </w:instrText>
            </w:r>
            <w:r>
              <w:rPr>
                <w:bCs w:val="0"/>
                <w:snapToGrid w:val="0"/>
                <w:color w:val="auto"/>
                <w:kern w:val="21"/>
                <w:szCs w:val="21"/>
                <w:u w:val="wave"/>
              </w:rPr>
              <w:fldChar w:fldCharType="separate"/>
            </w:r>
            <w:r>
              <w:rPr>
                <w:rFonts w:ascii="Cambria Math" w:hAnsi="Cambria Math" w:cs="Cambria Math"/>
                <w:bCs w:val="0"/>
                <w:color w:val="auto"/>
                <w:kern w:val="2"/>
                <w:szCs w:val="21"/>
                <w:u w:val="wave"/>
              </w:rPr>
              <w:t>⑤</w:t>
            </w:r>
            <w:r>
              <w:rPr>
                <w:bCs w:val="0"/>
                <w:snapToGrid w:val="0"/>
                <w:color w:val="auto"/>
                <w:kern w:val="21"/>
                <w:szCs w:val="21"/>
                <w:u w:val="wave"/>
              </w:rPr>
              <w:fldChar w:fldCharType="end"/>
            </w:r>
          </w:p>
        </w:tc>
        <w:tc>
          <w:tcPr>
            <w:tcW w:w="1356" w:type="dxa"/>
            <w:vAlign w:val="center"/>
          </w:tcPr>
          <w:p>
            <w:pPr>
              <w:pStyle w:val="31"/>
              <w:rPr>
                <w:color w:val="auto"/>
                <w:szCs w:val="21"/>
              </w:rPr>
            </w:pPr>
            <w:r>
              <w:rPr>
                <w:bCs w:val="0"/>
                <w:snapToGrid w:val="0"/>
                <w:color w:val="auto"/>
                <w:kern w:val="21"/>
                <w:szCs w:val="21"/>
                <w:u w:val="wave"/>
              </w:rPr>
              <w:t>本项目建成后全厂排放量t/a</w:t>
            </w:r>
            <w:r>
              <w:rPr>
                <w:bCs w:val="0"/>
                <w:snapToGrid w:val="0"/>
                <w:color w:val="auto"/>
                <w:kern w:val="21"/>
                <w:szCs w:val="21"/>
                <w:u w:val="wave"/>
              </w:rPr>
              <w:fldChar w:fldCharType="begin"/>
            </w:r>
            <w:r>
              <w:rPr>
                <w:bCs w:val="0"/>
                <w:snapToGrid w:val="0"/>
                <w:color w:val="auto"/>
                <w:kern w:val="21"/>
                <w:szCs w:val="21"/>
                <w:u w:val="wave"/>
              </w:rPr>
              <w:instrText xml:space="preserve"> = 6 \* GB3 \* MERGEFORMAT </w:instrText>
            </w:r>
            <w:r>
              <w:rPr>
                <w:bCs w:val="0"/>
                <w:snapToGrid w:val="0"/>
                <w:color w:val="auto"/>
                <w:kern w:val="21"/>
                <w:szCs w:val="21"/>
                <w:u w:val="wave"/>
              </w:rPr>
              <w:fldChar w:fldCharType="separate"/>
            </w:r>
            <w:r>
              <w:rPr>
                <w:rFonts w:ascii="Cambria Math" w:hAnsi="Cambria Math" w:cs="Cambria Math"/>
                <w:bCs w:val="0"/>
                <w:color w:val="auto"/>
                <w:kern w:val="2"/>
                <w:szCs w:val="21"/>
                <w:u w:val="wave"/>
              </w:rPr>
              <w:t>⑥</w:t>
            </w:r>
            <w:r>
              <w:rPr>
                <w:bCs w:val="0"/>
                <w:snapToGrid w:val="0"/>
                <w:color w:val="auto"/>
                <w:kern w:val="21"/>
                <w:szCs w:val="21"/>
                <w:u w:val="wave"/>
              </w:rPr>
              <w:fldChar w:fldCharType="end"/>
            </w:r>
          </w:p>
        </w:tc>
        <w:tc>
          <w:tcPr>
            <w:tcW w:w="807" w:type="dxa"/>
            <w:vAlign w:val="center"/>
          </w:tcPr>
          <w:p>
            <w:pPr>
              <w:pStyle w:val="31"/>
              <w:rPr>
                <w:color w:val="auto"/>
                <w:szCs w:val="21"/>
              </w:rPr>
            </w:pPr>
            <w:r>
              <w:rPr>
                <w:bCs w:val="0"/>
                <w:snapToGrid w:val="0"/>
                <w:color w:val="auto"/>
                <w:kern w:val="21"/>
                <w:szCs w:val="21"/>
                <w:u w:val="wave"/>
              </w:rPr>
              <w:t>变化量t/a</w:t>
            </w:r>
            <w:r>
              <w:rPr>
                <w:bCs w:val="0"/>
                <w:snapToGrid w:val="0"/>
                <w:color w:val="auto"/>
                <w:kern w:val="21"/>
                <w:szCs w:val="21"/>
                <w:u w:val="wave"/>
              </w:rPr>
              <w:fldChar w:fldCharType="begin"/>
            </w:r>
            <w:r>
              <w:rPr>
                <w:bCs w:val="0"/>
                <w:snapToGrid w:val="0"/>
                <w:color w:val="auto"/>
                <w:kern w:val="21"/>
                <w:szCs w:val="21"/>
                <w:u w:val="wave"/>
              </w:rPr>
              <w:instrText xml:space="preserve"> = 7 \* GB3 \* MERGEFORMAT </w:instrText>
            </w:r>
            <w:r>
              <w:rPr>
                <w:bCs w:val="0"/>
                <w:snapToGrid w:val="0"/>
                <w:color w:val="auto"/>
                <w:kern w:val="21"/>
                <w:szCs w:val="21"/>
                <w:u w:val="wave"/>
              </w:rPr>
              <w:fldChar w:fldCharType="separate"/>
            </w:r>
            <w:r>
              <w:rPr>
                <w:rFonts w:ascii="Cambria Math" w:hAnsi="Cambria Math" w:cs="Cambria Math"/>
                <w:bCs w:val="0"/>
                <w:color w:val="auto"/>
                <w:kern w:val="2"/>
                <w:szCs w:val="21"/>
                <w:u w:val="wave"/>
              </w:rPr>
              <w:t>⑦</w:t>
            </w:r>
            <w:r>
              <w:rPr>
                <w:bCs w:val="0"/>
                <w:snapToGrid w:val="0"/>
                <w:color w:val="auto"/>
                <w:kern w:val="21"/>
                <w:szCs w:val="21"/>
                <w:u w:val="wav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6" w:type="dxa"/>
            <w:vMerge w:val="restart"/>
            <w:vAlign w:val="center"/>
          </w:tcPr>
          <w:p>
            <w:pPr>
              <w:pStyle w:val="31"/>
              <w:rPr>
                <w:color w:val="auto"/>
                <w:szCs w:val="21"/>
              </w:rPr>
            </w:pPr>
            <w:r>
              <w:rPr>
                <w:color w:val="auto"/>
                <w:szCs w:val="21"/>
              </w:rPr>
              <w:t>废气</w:t>
            </w:r>
          </w:p>
        </w:tc>
        <w:tc>
          <w:tcPr>
            <w:tcW w:w="923" w:type="dxa"/>
            <w:vAlign w:val="center"/>
          </w:tcPr>
          <w:p>
            <w:pPr>
              <w:pStyle w:val="31"/>
              <w:rPr>
                <w:color w:val="auto"/>
                <w:szCs w:val="21"/>
              </w:rPr>
            </w:pPr>
            <w:r>
              <w:rPr>
                <w:color w:val="auto"/>
                <w:szCs w:val="21"/>
              </w:rPr>
              <w:t>颗粒物</w:t>
            </w:r>
          </w:p>
        </w:tc>
        <w:tc>
          <w:tcPr>
            <w:tcW w:w="1401" w:type="dxa"/>
            <w:vAlign w:val="center"/>
          </w:tcPr>
          <w:p>
            <w:pPr>
              <w:pStyle w:val="31"/>
              <w:rPr>
                <w:color w:val="auto"/>
                <w:szCs w:val="21"/>
              </w:rPr>
            </w:pPr>
            <w:r>
              <w:rPr>
                <w:color w:val="auto"/>
                <w:szCs w:val="21"/>
              </w:rPr>
              <w:t>0.128</w:t>
            </w:r>
          </w:p>
        </w:tc>
        <w:tc>
          <w:tcPr>
            <w:tcW w:w="861" w:type="dxa"/>
            <w:vAlign w:val="center"/>
          </w:tcPr>
          <w:p>
            <w:pPr>
              <w:pStyle w:val="31"/>
              <w:rPr>
                <w:color w:val="auto"/>
                <w:szCs w:val="21"/>
              </w:rPr>
            </w:pPr>
            <w:r>
              <w:rPr>
                <w:color w:val="auto"/>
                <w:szCs w:val="21"/>
              </w:rPr>
              <w:t>0</w:t>
            </w:r>
          </w:p>
        </w:tc>
        <w:tc>
          <w:tcPr>
            <w:tcW w:w="1698" w:type="dxa"/>
            <w:vAlign w:val="center"/>
          </w:tcPr>
          <w:p>
            <w:pPr>
              <w:pStyle w:val="31"/>
              <w:rPr>
                <w:color w:val="auto"/>
                <w:szCs w:val="21"/>
              </w:rPr>
            </w:pPr>
            <w:r>
              <w:rPr>
                <w:color w:val="auto"/>
                <w:szCs w:val="21"/>
              </w:rPr>
              <w:t>0</w:t>
            </w:r>
          </w:p>
        </w:tc>
        <w:tc>
          <w:tcPr>
            <w:tcW w:w="1671" w:type="dxa"/>
            <w:vAlign w:val="center"/>
          </w:tcPr>
          <w:p>
            <w:pPr>
              <w:pStyle w:val="31"/>
              <w:rPr>
                <w:color w:val="auto"/>
                <w:szCs w:val="21"/>
              </w:rPr>
            </w:pPr>
            <w:r>
              <w:rPr>
                <w:color w:val="auto"/>
                <w:szCs w:val="21"/>
              </w:rPr>
              <w:t>0.249</w:t>
            </w:r>
          </w:p>
        </w:tc>
        <w:tc>
          <w:tcPr>
            <w:tcW w:w="1389" w:type="dxa"/>
            <w:vAlign w:val="center"/>
          </w:tcPr>
          <w:p>
            <w:pPr>
              <w:pStyle w:val="31"/>
              <w:rPr>
                <w:color w:val="auto"/>
                <w:szCs w:val="21"/>
              </w:rPr>
            </w:pPr>
            <w:r>
              <w:rPr>
                <w:color w:val="auto"/>
                <w:szCs w:val="21"/>
              </w:rPr>
              <w:t>0</w:t>
            </w:r>
          </w:p>
        </w:tc>
        <w:tc>
          <w:tcPr>
            <w:tcW w:w="1397" w:type="dxa"/>
            <w:vAlign w:val="center"/>
          </w:tcPr>
          <w:p>
            <w:pPr>
              <w:pStyle w:val="31"/>
              <w:rPr>
                <w:color w:val="auto"/>
                <w:szCs w:val="21"/>
              </w:rPr>
            </w:pPr>
            <w:r>
              <w:rPr>
                <w:color w:val="auto"/>
                <w:szCs w:val="21"/>
              </w:rPr>
              <w:t>0.249</w:t>
            </w:r>
          </w:p>
        </w:tc>
        <w:tc>
          <w:tcPr>
            <w:tcW w:w="1256" w:type="dxa"/>
            <w:vAlign w:val="center"/>
          </w:tcPr>
          <w:p>
            <w:pPr>
              <w:pStyle w:val="31"/>
              <w:rPr>
                <w:color w:val="auto"/>
                <w:szCs w:val="21"/>
              </w:rPr>
            </w:pPr>
            <w:r>
              <w:rPr>
                <w:color w:val="auto"/>
                <w:szCs w:val="21"/>
              </w:rPr>
              <w:t>0</w:t>
            </w:r>
          </w:p>
        </w:tc>
        <w:tc>
          <w:tcPr>
            <w:tcW w:w="1356" w:type="dxa"/>
            <w:vAlign w:val="center"/>
          </w:tcPr>
          <w:p>
            <w:pPr>
              <w:pStyle w:val="31"/>
              <w:rPr>
                <w:color w:val="auto"/>
                <w:szCs w:val="21"/>
              </w:rPr>
            </w:pPr>
            <w:r>
              <w:rPr>
                <w:color w:val="auto"/>
                <w:szCs w:val="21"/>
              </w:rPr>
              <w:t>0.377</w:t>
            </w:r>
          </w:p>
        </w:tc>
        <w:tc>
          <w:tcPr>
            <w:tcW w:w="807" w:type="dxa"/>
            <w:vAlign w:val="center"/>
          </w:tcPr>
          <w:p>
            <w:pPr>
              <w:pStyle w:val="31"/>
              <w:rPr>
                <w:color w:val="auto"/>
                <w:szCs w:val="21"/>
              </w:rPr>
            </w:pPr>
            <w:r>
              <w:rPr>
                <w:color w:val="auto"/>
                <w:szCs w:val="21"/>
              </w:rPr>
              <w:t>+0.249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continue"/>
            <w:vAlign w:val="center"/>
          </w:tcPr>
          <w:p>
            <w:pPr>
              <w:pStyle w:val="31"/>
              <w:rPr>
                <w:color w:val="auto"/>
                <w:szCs w:val="21"/>
              </w:rPr>
            </w:pPr>
          </w:p>
        </w:tc>
        <w:tc>
          <w:tcPr>
            <w:tcW w:w="923" w:type="dxa"/>
            <w:vAlign w:val="center"/>
          </w:tcPr>
          <w:p>
            <w:pPr>
              <w:pStyle w:val="31"/>
              <w:rPr>
                <w:color w:val="auto"/>
                <w:szCs w:val="21"/>
              </w:rPr>
            </w:pPr>
            <w:r>
              <w:rPr>
                <w:color w:val="auto"/>
                <w:szCs w:val="21"/>
              </w:rPr>
              <w:t>SO</w:t>
            </w:r>
            <w:r>
              <w:rPr>
                <w:color w:val="auto"/>
                <w:szCs w:val="21"/>
                <w:vertAlign w:val="subscript"/>
              </w:rPr>
              <w:t>2</w:t>
            </w:r>
          </w:p>
        </w:tc>
        <w:tc>
          <w:tcPr>
            <w:tcW w:w="1401" w:type="dxa"/>
            <w:vAlign w:val="center"/>
          </w:tcPr>
          <w:p>
            <w:pPr>
              <w:pStyle w:val="31"/>
              <w:rPr>
                <w:color w:val="auto"/>
                <w:szCs w:val="21"/>
              </w:rPr>
            </w:pPr>
            <w:r>
              <w:rPr>
                <w:color w:val="auto"/>
                <w:szCs w:val="21"/>
              </w:rPr>
              <w:t>0.090</w:t>
            </w:r>
          </w:p>
        </w:tc>
        <w:tc>
          <w:tcPr>
            <w:tcW w:w="861" w:type="dxa"/>
            <w:vAlign w:val="center"/>
          </w:tcPr>
          <w:p>
            <w:pPr>
              <w:pStyle w:val="31"/>
              <w:rPr>
                <w:color w:val="auto"/>
                <w:szCs w:val="21"/>
              </w:rPr>
            </w:pPr>
            <w:r>
              <w:rPr>
                <w:color w:val="auto"/>
                <w:szCs w:val="21"/>
              </w:rPr>
              <w:t>0.025</w:t>
            </w:r>
          </w:p>
        </w:tc>
        <w:tc>
          <w:tcPr>
            <w:tcW w:w="1698" w:type="dxa"/>
            <w:vAlign w:val="center"/>
          </w:tcPr>
          <w:p>
            <w:pPr>
              <w:pStyle w:val="31"/>
              <w:rPr>
                <w:color w:val="auto"/>
                <w:szCs w:val="21"/>
              </w:rPr>
            </w:pPr>
            <w:r>
              <w:rPr>
                <w:color w:val="auto"/>
                <w:szCs w:val="21"/>
              </w:rPr>
              <w:t>0</w:t>
            </w:r>
          </w:p>
        </w:tc>
        <w:tc>
          <w:tcPr>
            <w:tcW w:w="1671" w:type="dxa"/>
            <w:vAlign w:val="center"/>
          </w:tcPr>
          <w:p>
            <w:pPr>
              <w:pStyle w:val="31"/>
              <w:rPr>
                <w:color w:val="auto"/>
                <w:szCs w:val="21"/>
              </w:rPr>
            </w:pPr>
            <w:r>
              <w:rPr>
                <w:color w:val="auto"/>
                <w:szCs w:val="21"/>
              </w:rPr>
              <w:t>0.174</w:t>
            </w:r>
          </w:p>
        </w:tc>
        <w:tc>
          <w:tcPr>
            <w:tcW w:w="1389" w:type="dxa"/>
            <w:vAlign w:val="center"/>
          </w:tcPr>
          <w:p>
            <w:pPr>
              <w:pStyle w:val="31"/>
              <w:rPr>
                <w:color w:val="auto"/>
                <w:szCs w:val="21"/>
              </w:rPr>
            </w:pPr>
            <w:r>
              <w:rPr>
                <w:color w:val="auto"/>
                <w:szCs w:val="21"/>
              </w:rPr>
              <w:t>0</w:t>
            </w:r>
          </w:p>
        </w:tc>
        <w:tc>
          <w:tcPr>
            <w:tcW w:w="1397" w:type="dxa"/>
            <w:vAlign w:val="center"/>
          </w:tcPr>
          <w:p>
            <w:pPr>
              <w:pStyle w:val="31"/>
              <w:rPr>
                <w:color w:val="auto"/>
                <w:szCs w:val="21"/>
              </w:rPr>
            </w:pPr>
            <w:r>
              <w:rPr>
                <w:color w:val="auto"/>
                <w:szCs w:val="21"/>
              </w:rPr>
              <w:t>0.174</w:t>
            </w:r>
          </w:p>
        </w:tc>
        <w:tc>
          <w:tcPr>
            <w:tcW w:w="1256" w:type="dxa"/>
            <w:vAlign w:val="center"/>
          </w:tcPr>
          <w:p>
            <w:pPr>
              <w:pStyle w:val="31"/>
              <w:rPr>
                <w:color w:val="auto"/>
                <w:szCs w:val="21"/>
              </w:rPr>
            </w:pPr>
            <w:r>
              <w:rPr>
                <w:color w:val="auto"/>
                <w:szCs w:val="21"/>
              </w:rPr>
              <w:t>0</w:t>
            </w:r>
          </w:p>
        </w:tc>
        <w:tc>
          <w:tcPr>
            <w:tcW w:w="1356" w:type="dxa"/>
            <w:vAlign w:val="center"/>
          </w:tcPr>
          <w:p>
            <w:pPr>
              <w:pStyle w:val="31"/>
              <w:rPr>
                <w:color w:val="auto"/>
                <w:szCs w:val="21"/>
              </w:rPr>
            </w:pPr>
            <w:r>
              <w:rPr>
                <w:color w:val="auto"/>
                <w:szCs w:val="21"/>
              </w:rPr>
              <w:t>0.264</w:t>
            </w:r>
          </w:p>
        </w:tc>
        <w:tc>
          <w:tcPr>
            <w:tcW w:w="807" w:type="dxa"/>
            <w:vAlign w:val="center"/>
          </w:tcPr>
          <w:p>
            <w:pPr>
              <w:pStyle w:val="31"/>
              <w:rPr>
                <w:color w:val="auto"/>
                <w:szCs w:val="21"/>
              </w:rPr>
            </w:pPr>
            <w:r>
              <w:rPr>
                <w:color w:val="auto"/>
                <w:szCs w:val="21"/>
              </w:rPr>
              <w:t>+0.174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continue"/>
            <w:vAlign w:val="center"/>
          </w:tcPr>
          <w:p>
            <w:pPr>
              <w:pStyle w:val="31"/>
              <w:rPr>
                <w:color w:val="auto"/>
                <w:szCs w:val="21"/>
              </w:rPr>
            </w:pPr>
          </w:p>
        </w:tc>
        <w:tc>
          <w:tcPr>
            <w:tcW w:w="923" w:type="dxa"/>
            <w:vAlign w:val="center"/>
          </w:tcPr>
          <w:p>
            <w:pPr>
              <w:pStyle w:val="31"/>
              <w:rPr>
                <w:color w:val="auto"/>
                <w:szCs w:val="21"/>
              </w:rPr>
            </w:pPr>
            <w:r>
              <w:rPr>
                <w:color w:val="auto"/>
                <w:szCs w:val="21"/>
              </w:rPr>
              <w:t>NO</w:t>
            </w:r>
            <w:r>
              <w:rPr>
                <w:color w:val="auto"/>
                <w:szCs w:val="21"/>
                <w:vertAlign w:val="subscript"/>
              </w:rPr>
              <w:t>X</w:t>
            </w:r>
          </w:p>
        </w:tc>
        <w:tc>
          <w:tcPr>
            <w:tcW w:w="1401" w:type="dxa"/>
            <w:vAlign w:val="center"/>
          </w:tcPr>
          <w:p>
            <w:pPr>
              <w:pStyle w:val="31"/>
              <w:rPr>
                <w:color w:val="auto"/>
                <w:szCs w:val="21"/>
              </w:rPr>
            </w:pPr>
            <w:r>
              <w:rPr>
                <w:color w:val="auto"/>
                <w:szCs w:val="21"/>
              </w:rPr>
              <w:t>0.419</w:t>
            </w:r>
          </w:p>
        </w:tc>
        <w:tc>
          <w:tcPr>
            <w:tcW w:w="861" w:type="dxa"/>
            <w:vAlign w:val="center"/>
          </w:tcPr>
          <w:p>
            <w:pPr>
              <w:pStyle w:val="31"/>
              <w:rPr>
                <w:color w:val="auto"/>
                <w:szCs w:val="21"/>
              </w:rPr>
            </w:pPr>
            <w:r>
              <w:rPr>
                <w:color w:val="auto"/>
                <w:szCs w:val="21"/>
              </w:rPr>
              <w:t>0.416</w:t>
            </w:r>
          </w:p>
        </w:tc>
        <w:tc>
          <w:tcPr>
            <w:tcW w:w="1698" w:type="dxa"/>
            <w:vAlign w:val="center"/>
          </w:tcPr>
          <w:p>
            <w:pPr>
              <w:pStyle w:val="31"/>
              <w:rPr>
                <w:color w:val="auto"/>
                <w:szCs w:val="21"/>
              </w:rPr>
            </w:pPr>
            <w:r>
              <w:rPr>
                <w:color w:val="auto"/>
                <w:szCs w:val="21"/>
              </w:rPr>
              <w:t>0</w:t>
            </w:r>
          </w:p>
        </w:tc>
        <w:tc>
          <w:tcPr>
            <w:tcW w:w="1671" w:type="dxa"/>
            <w:vAlign w:val="center"/>
          </w:tcPr>
          <w:p>
            <w:pPr>
              <w:pStyle w:val="31"/>
              <w:rPr>
                <w:color w:val="auto"/>
                <w:szCs w:val="21"/>
              </w:rPr>
            </w:pPr>
            <w:r>
              <w:rPr>
                <w:color w:val="auto"/>
                <w:szCs w:val="21"/>
              </w:rPr>
              <w:t>0.816</w:t>
            </w:r>
          </w:p>
        </w:tc>
        <w:tc>
          <w:tcPr>
            <w:tcW w:w="1389" w:type="dxa"/>
            <w:vAlign w:val="center"/>
          </w:tcPr>
          <w:p>
            <w:pPr>
              <w:pStyle w:val="31"/>
              <w:rPr>
                <w:color w:val="auto"/>
                <w:szCs w:val="21"/>
              </w:rPr>
            </w:pPr>
            <w:r>
              <w:rPr>
                <w:color w:val="auto"/>
                <w:szCs w:val="21"/>
              </w:rPr>
              <w:t>0</w:t>
            </w:r>
          </w:p>
        </w:tc>
        <w:tc>
          <w:tcPr>
            <w:tcW w:w="1397" w:type="dxa"/>
            <w:vAlign w:val="center"/>
          </w:tcPr>
          <w:p>
            <w:pPr>
              <w:pStyle w:val="31"/>
              <w:rPr>
                <w:color w:val="auto"/>
                <w:szCs w:val="21"/>
              </w:rPr>
            </w:pPr>
            <w:r>
              <w:rPr>
                <w:color w:val="auto"/>
                <w:szCs w:val="21"/>
              </w:rPr>
              <w:t>0.816</w:t>
            </w:r>
          </w:p>
        </w:tc>
        <w:tc>
          <w:tcPr>
            <w:tcW w:w="1256" w:type="dxa"/>
            <w:vAlign w:val="center"/>
          </w:tcPr>
          <w:p>
            <w:pPr>
              <w:pStyle w:val="31"/>
              <w:rPr>
                <w:color w:val="auto"/>
                <w:szCs w:val="21"/>
              </w:rPr>
            </w:pPr>
            <w:r>
              <w:rPr>
                <w:color w:val="auto"/>
                <w:szCs w:val="21"/>
              </w:rPr>
              <w:t>0</w:t>
            </w:r>
          </w:p>
        </w:tc>
        <w:tc>
          <w:tcPr>
            <w:tcW w:w="1356" w:type="dxa"/>
            <w:vAlign w:val="center"/>
          </w:tcPr>
          <w:p>
            <w:pPr>
              <w:pStyle w:val="31"/>
              <w:rPr>
                <w:color w:val="auto"/>
                <w:szCs w:val="21"/>
              </w:rPr>
            </w:pPr>
            <w:r>
              <w:rPr>
                <w:color w:val="auto"/>
                <w:szCs w:val="21"/>
              </w:rPr>
              <w:t>1.232</w:t>
            </w:r>
          </w:p>
        </w:tc>
        <w:tc>
          <w:tcPr>
            <w:tcW w:w="807" w:type="dxa"/>
            <w:vAlign w:val="center"/>
          </w:tcPr>
          <w:p>
            <w:pPr>
              <w:pStyle w:val="31"/>
              <w:rPr>
                <w:color w:val="auto"/>
                <w:szCs w:val="21"/>
              </w:rPr>
            </w:pPr>
            <w:r>
              <w:rPr>
                <w:color w:val="auto"/>
                <w:szCs w:val="21"/>
              </w:rPr>
              <w:t>+0.816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656" w:type="dxa"/>
            <w:vMerge w:val="restart"/>
            <w:vAlign w:val="center"/>
          </w:tcPr>
          <w:p>
            <w:pPr>
              <w:pStyle w:val="31"/>
              <w:rPr>
                <w:color w:val="auto"/>
                <w:szCs w:val="21"/>
              </w:rPr>
            </w:pPr>
            <w:r>
              <w:rPr>
                <w:color w:val="auto"/>
                <w:szCs w:val="21"/>
              </w:rPr>
              <w:t>废水</w:t>
            </w:r>
          </w:p>
        </w:tc>
        <w:tc>
          <w:tcPr>
            <w:tcW w:w="923" w:type="dxa"/>
            <w:vAlign w:val="center"/>
          </w:tcPr>
          <w:p>
            <w:pPr>
              <w:pStyle w:val="31"/>
              <w:rPr>
                <w:color w:val="auto"/>
                <w:szCs w:val="21"/>
              </w:rPr>
            </w:pPr>
            <w:r>
              <w:rPr>
                <w:color w:val="auto"/>
                <w:szCs w:val="21"/>
              </w:rPr>
              <w:t>废水量</w:t>
            </w:r>
          </w:p>
        </w:tc>
        <w:tc>
          <w:tcPr>
            <w:tcW w:w="1401" w:type="dxa"/>
            <w:vAlign w:val="center"/>
          </w:tcPr>
          <w:p>
            <w:pPr>
              <w:pStyle w:val="31"/>
              <w:rPr>
                <w:color w:val="auto"/>
                <w:szCs w:val="21"/>
              </w:rPr>
            </w:pPr>
            <w:r>
              <w:rPr>
                <w:color w:val="auto"/>
                <w:szCs w:val="21"/>
              </w:rPr>
              <w:t>50870</w:t>
            </w:r>
          </w:p>
        </w:tc>
        <w:tc>
          <w:tcPr>
            <w:tcW w:w="861" w:type="dxa"/>
            <w:vAlign w:val="center"/>
          </w:tcPr>
          <w:p>
            <w:pPr>
              <w:pStyle w:val="31"/>
              <w:rPr>
                <w:color w:val="auto"/>
                <w:szCs w:val="21"/>
              </w:rPr>
            </w:pPr>
            <w:r>
              <w:rPr>
                <w:color w:val="auto"/>
                <w:szCs w:val="21"/>
              </w:rPr>
              <w:t>0</w:t>
            </w:r>
          </w:p>
        </w:tc>
        <w:tc>
          <w:tcPr>
            <w:tcW w:w="1698" w:type="dxa"/>
            <w:vAlign w:val="center"/>
          </w:tcPr>
          <w:p>
            <w:pPr>
              <w:pStyle w:val="31"/>
              <w:rPr>
                <w:color w:val="auto"/>
                <w:szCs w:val="21"/>
              </w:rPr>
            </w:pPr>
            <w:r>
              <w:rPr>
                <w:color w:val="auto"/>
                <w:szCs w:val="21"/>
              </w:rPr>
              <w:t>0</w:t>
            </w:r>
          </w:p>
        </w:tc>
        <w:tc>
          <w:tcPr>
            <w:tcW w:w="1671" w:type="dxa"/>
            <w:vAlign w:val="center"/>
          </w:tcPr>
          <w:p>
            <w:pPr>
              <w:pStyle w:val="31"/>
              <w:rPr>
                <w:color w:val="auto"/>
                <w:szCs w:val="21"/>
              </w:rPr>
            </w:pPr>
            <w:r>
              <w:rPr>
                <w:color w:val="auto"/>
                <w:szCs w:val="21"/>
              </w:rPr>
              <w:t>3535.816</w:t>
            </w:r>
          </w:p>
        </w:tc>
        <w:tc>
          <w:tcPr>
            <w:tcW w:w="1389" w:type="dxa"/>
            <w:vAlign w:val="center"/>
          </w:tcPr>
          <w:p>
            <w:pPr>
              <w:pStyle w:val="31"/>
              <w:rPr>
                <w:color w:val="auto"/>
                <w:szCs w:val="21"/>
              </w:rPr>
            </w:pPr>
            <w:r>
              <w:rPr>
                <w:color w:val="auto"/>
                <w:szCs w:val="21"/>
              </w:rPr>
              <w:t>0</w:t>
            </w:r>
          </w:p>
        </w:tc>
        <w:tc>
          <w:tcPr>
            <w:tcW w:w="1397" w:type="dxa"/>
            <w:vAlign w:val="center"/>
          </w:tcPr>
          <w:p>
            <w:pPr>
              <w:pStyle w:val="31"/>
              <w:rPr>
                <w:color w:val="auto"/>
                <w:szCs w:val="21"/>
              </w:rPr>
            </w:pPr>
            <w:r>
              <w:rPr>
                <w:color w:val="auto"/>
                <w:szCs w:val="21"/>
              </w:rPr>
              <w:t>3535.816</w:t>
            </w:r>
          </w:p>
        </w:tc>
        <w:tc>
          <w:tcPr>
            <w:tcW w:w="1256" w:type="dxa"/>
            <w:vAlign w:val="center"/>
          </w:tcPr>
          <w:p>
            <w:pPr>
              <w:pStyle w:val="31"/>
              <w:rPr>
                <w:color w:val="auto"/>
                <w:szCs w:val="21"/>
              </w:rPr>
            </w:pPr>
            <w:r>
              <w:rPr>
                <w:color w:val="auto"/>
                <w:szCs w:val="21"/>
              </w:rPr>
              <w:t>0</w:t>
            </w:r>
          </w:p>
        </w:tc>
        <w:tc>
          <w:tcPr>
            <w:tcW w:w="1356" w:type="dxa"/>
            <w:vAlign w:val="center"/>
          </w:tcPr>
          <w:p>
            <w:pPr>
              <w:pStyle w:val="31"/>
              <w:rPr>
                <w:color w:val="auto"/>
                <w:szCs w:val="21"/>
              </w:rPr>
            </w:pPr>
            <w:r>
              <w:rPr>
                <w:color w:val="auto"/>
                <w:szCs w:val="21"/>
              </w:rPr>
              <w:t>54408.815</w:t>
            </w:r>
          </w:p>
        </w:tc>
        <w:tc>
          <w:tcPr>
            <w:tcW w:w="807" w:type="dxa"/>
            <w:vAlign w:val="center"/>
          </w:tcPr>
          <w:p>
            <w:pPr>
              <w:pStyle w:val="31"/>
              <w:rPr>
                <w:color w:val="auto"/>
                <w:szCs w:val="21"/>
              </w:rPr>
            </w:pPr>
            <w:r>
              <w:rPr>
                <w:color w:val="auto"/>
                <w:szCs w:val="21"/>
              </w:rPr>
              <w:t>+3535.816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656" w:type="dxa"/>
            <w:vMerge w:val="continue"/>
            <w:vAlign w:val="center"/>
          </w:tcPr>
          <w:p>
            <w:pPr>
              <w:pStyle w:val="31"/>
              <w:rPr>
                <w:color w:val="auto"/>
                <w:szCs w:val="21"/>
              </w:rPr>
            </w:pPr>
          </w:p>
        </w:tc>
        <w:tc>
          <w:tcPr>
            <w:tcW w:w="923" w:type="dxa"/>
            <w:vAlign w:val="center"/>
          </w:tcPr>
          <w:p>
            <w:pPr>
              <w:pStyle w:val="31"/>
              <w:rPr>
                <w:color w:val="auto"/>
                <w:szCs w:val="21"/>
                <w:lang w:val="en-GB"/>
              </w:rPr>
            </w:pPr>
            <w:r>
              <w:rPr>
                <w:color w:val="auto"/>
                <w:szCs w:val="21"/>
              </w:rPr>
              <w:t>COD</w:t>
            </w:r>
          </w:p>
        </w:tc>
        <w:tc>
          <w:tcPr>
            <w:tcW w:w="1401" w:type="dxa"/>
            <w:vAlign w:val="center"/>
          </w:tcPr>
          <w:p>
            <w:pPr>
              <w:pStyle w:val="31"/>
              <w:rPr>
                <w:color w:val="auto"/>
                <w:szCs w:val="21"/>
                <w:lang w:val="en-GB"/>
              </w:rPr>
            </w:pPr>
            <w:r>
              <w:rPr>
                <w:color w:val="auto"/>
                <w:szCs w:val="21"/>
                <w:lang w:val="en-GB"/>
              </w:rPr>
              <w:t>5.98</w:t>
            </w:r>
          </w:p>
        </w:tc>
        <w:tc>
          <w:tcPr>
            <w:tcW w:w="861" w:type="dxa"/>
            <w:vAlign w:val="center"/>
          </w:tcPr>
          <w:p>
            <w:pPr>
              <w:pStyle w:val="31"/>
              <w:rPr>
                <w:color w:val="auto"/>
                <w:szCs w:val="21"/>
              </w:rPr>
            </w:pPr>
            <w:r>
              <w:rPr>
                <w:color w:val="auto"/>
                <w:szCs w:val="21"/>
              </w:rPr>
              <w:t>42.3</w:t>
            </w:r>
          </w:p>
        </w:tc>
        <w:tc>
          <w:tcPr>
            <w:tcW w:w="1698" w:type="dxa"/>
            <w:vAlign w:val="center"/>
          </w:tcPr>
          <w:p>
            <w:pPr>
              <w:pStyle w:val="31"/>
              <w:rPr>
                <w:color w:val="auto"/>
                <w:szCs w:val="21"/>
              </w:rPr>
            </w:pPr>
            <w:r>
              <w:rPr>
                <w:color w:val="auto"/>
                <w:szCs w:val="21"/>
              </w:rPr>
              <w:t>0</w:t>
            </w:r>
          </w:p>
        </w:tc>
        <w:tc>
          <w:tcPr>
            <w:tcW w:w="1671" w:type="dxa"/>
            <w:vAlign w:val="center"/>
          </w:tcPr>
          <w:p>
            <w:pPr>
              <w:pStyle w:val="31"/>
              <w:rPr>
                <w:color w:val="auto"/>
                <w:szCs w:val="21"/>
                <w:lang w:val="en-GB"/>
              </w:rPr>
            </w:pPr>
            <w:r>
              <w:rPr>
                <w:color w:val="auto"/>
                <w:szCs w:val="21"/>
                <w:lang w:val="en-GB"/>
              </w:rPr>
              <w:t>2.4</w:t>
            </w:r>
          </w:p>
        </w:tc>
        <w:tc>
          <w:tcPr>
            <w:tcW w:w="1389" w:type="dxa"/>
            <w:vAlign w:val="center"/>
          </w:tcPr>
          <w:p>
            <w:pPr>
              <w:pStyle w:val="31"/>
              <w:rPr>
                <w:color w:val="auto"/>
                <w:szCs w:val="21"/>
              </w:rPr>
            </w:pPr>
            <w:r>
              <w:rPr>
                <w:color w:val="auto"/>
                <w:szCs w:val="21"/>
              </w:rPr>
              <w:t>0</w:t>
            </w:r>
          </w:p>
        </w:tc>
        <w:tc>
          <w:tcPr>
            <w:tcW w:w="1397" w:type="dxa"/>
            <w:vAlign w:val="center"/>
          </w:tcPr>
          <w:p>
            <w:pPr>
              <w:pStyle w:val="31"/>
              <w:rPr>
                <w:color w:val="auto"/>
                <w:szCs w:val="21"/>
              </w:rPr>
            </w:pPr>
            <w:r>
              <w:rPr>
                <w:color w:val="auto"/>
                <w:szCs w:val="21"/>
              </w:rPr>
              <w:t>2.4</w:t>
            </w:r>
          </w:p>
        </w:tc>
        <w:tc>
          <w:tcPr>
            <w:tcW w:w="1256" w:type="dxa"/>
            <w:vAlign w:val="center"/>
          </w:tcPr>
          <w:p>
            <w:pPr>
              <w:pStyle w:val="31"/>
              <w:rPr>
                <w:color w:val="auto"/>
                <w:szCs w:val="21"/>
              </w:rPr>
            </w:pPr>
            <w:r>
              <w:rPr>
                <w:color w:val="auto"/>
                <w:szCs w:val="21"/>
              </w:rPr>
              <w:t>0</w:t>
            </w:r>
          </w:p>
        </w:tc>
        <w:tc>
          <w:tcPr>
            <w:tcW w:w="1356" w:type="dxa"/>
            <w:vAlign w:val="center"/>
          </w:tcPr>
          <w:p>
            <w:pPr>
              <w:pStyle w:val="31"/>
              <w:rPr>
                <w:color w:val="auto"/>
                <w:szCs w:val="21"/>
              </w:rPr>
            </w:pPr>
            <w:r>
              <w:rPr>
                <w:color w:val="auto"/>
                <w:szCs w:val="21"/>
              </w:rPr>
              <w:t>8.380</w:t>
            </w:r>
          </w:p>
        </w:tc>
        <w:tc>
          <w:tcPr>
            <w:tcW w:w="807" w:type="dxa"/>
            <w:vAlign w:val="center"/>
          </w:tcPr>
          <w:p>
            <w:pPr>
              <w:pStyle w:val="31"/>
              <w:rPr>
                <w:color w:val="auto"/>
                <w:szCs w:val="21"/>
              </w:rPr>
            </w:pPr>
            <w:r>
              <w:rPr>
                <w:color w:val="auto"/>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656" w:type="dxa"/>
            <w:vMerge w:val="continue"/>
            <w:vAlign w:val="center"/>
          </w:tcPr>
          <w:p>
            <w:pPr>
              <w:pStyle w:val="31"/>
              <w:rPr>
                <w:color w:val="auto"/>
                <w:szCs w:val="21"/>
              </w:rPr>
            </w:pPr>
          </w:p>
        </w:tc>
        <w:tc>
          <w:tcPr>
            <w:tcW w:w="923" w:type="dxa"/>
            <w:vAlign w:val="center"/>
          </w:tcPr>
          <w:p>
            <w:pPr>
              <w:pStyle w:val="31"/>
              <w:rPr>
                <w:color w:val="auto"/>
                <w:szCs w:val="21"/>
              </w:rPr>
            </w:pPr>
            <w:r>
              <w:rPr>
                <w:color w:val="auto"/>
                <w:szCs w:val="21"/>
              </w:rPr>
              <w:t>氨氮</w:t>
            </w:r>
          </w:p>
        </w:tc>
        <w:tc>
          <w:tcPr>
            <w:tcW w:w="1401" w:type="dxa"/>
            <w:vAlign w:val="center"/>
          </w:tcPr>
          <w:p>
            <w:pPr>
              <w:pStyle w:val="31"/>
              <w:rPr>
                <w:color w:val="auto"/>
                <w:szCs w:val="21"/>
              </w:rPr>
            </w:pPr>
            <w:r>
              <w:rPr>
                <w:color w:val="auto"/>
                <w:szCs w:val="21"/>
              </w:rPr>
              <w:t>0.66</w:t>
            </w:r>
          </w:p>
        </w:tc>
        <w:tc>
          <w:tcPr>
            <w:tcW w:w="861" w:type="dxa"/>
            <w:vAlign w:val="center"/>
          </w:tcPr>
          <w:p>
            <w:pPr>
              <w:pStyle w:val="31"/>
              <w:rPr>
                <w:color w:val="auto"/>
                <w:szCs w:val="21"/>
              </w:rPr>
            </w:pPr>
            <w:r>
              <w:rPr>
                <w:color w:val="auto"/>
                <w:szCs w:val="21"/>
              </w:rPr>
              <w:t>2.89</w:t>
            </w:r>
          </w:p>
        </w:tc>
        <w:tc>
          <w:tcPr>
            <w:tcW w:w="1698" w:type="dxa"/>
            <w:vAlign w:val="center"/>
          </w:tcPr>
          <w:p>
            <w:pPr>
              <w:pStyle w:val="31"/>
              <w:rPr>
                <w:color w:val="auto"/>
                <w:szCs w:val="21"/>
              </w:rPr>
            </w:pPr>
            <w:r>
              <w:rPr>
                <w:color w:val="auto"/>
                <w:szCs w:val="21"/>
              </w:rPr>
              <w:t>0</w:t>
            </w:r>
          </w:p>
        </w:tc>
        <w:tc>
          <w:tcPr>
            <w:tcW w:w="1671" w:type="dxa"/>
            <w:vAlign w:val="center"/>
          </w:tcPr>
          <w:p>
            <w:pPr>
              <w:pStyle w:val="31"/>
              <w:rPr>
                <w:color w:val="auto"/>
                <w:szCs w:val="21"/>
              </w:rPr>
            </w:pPr>
            <w:r>
              <w:rPr>
                <w:color w:val="auto"/>
                <w:szCs w:val="21"/>
              </w:rPr>
              <w:t>0</w:t>
            </w:r>
          </w:p>
        </w:tc>
        <w:tc>
          <w:tcPr>
            <w:tcW w:w="1389" w:type="dxa"/>
            <w:vAlign w:val="center"/>
          </w:tcPr>
          <w:p>
            <w:pPr>
              <w:pStyle w:val="31"/>
              <w:rPr>
                <w:color w:val="auto"/>
                <w:szCs w:val="21"/>
              </w:rPr>
            </w:pPr>
            <w:r>
              <w:rPr>
                <w:color w:val="auto"/>
                <w:szCs w:val="21"/>
              </w:rPr>
              <w:t>0</w:t>
            </w:r>
          </w:p>
        </w:tc>
        <w:tc>
          <w:tcPr>
            <w:tcW w:w="1397" w:type="dxa"/>
            <w:vAlign w:val="center"/>
          </w:tcPr>
          <w:p>
            <w:pPr>
              <w:pStyle w:val="31"/>
              <w:rPr>
                <w:color w:val="auto"/>
                <w:szCs w:val="21"/>
              </w:rPr>
            </w:pPr>
            <w:r>
              <w:rPr>
                <w:color w:val="auto"/>
                <w:szCs w:val="21"/>
              </w:rPr>
              <w:t>0</w:t>
            </w:r>
          </w:p>
        </w:tc>
        <w:tc>
          <w:tcPr>
            <w:tcW w:w="1256" w:type="dxa"/>
            <w:vAlign w:val="center"/>
          </w:tcPr>
          <w:p>
            <w:pPr>
              <w:pStyle w:val="31"/>
              <w:rPr>
                <w:color w:val="auto"/>
                <w:szCs w:val="21"/>
              </w:rPr>
            </w:pPr>
            <w:r>
              <w:rPr>
                <w:color w:val="auto"/>
                <w:szCs w:val="21"/>
              </w:rPr>
              <w:t>0</w:t>
            </w:r>
          </w:p>
        </w:tc>
        <w:tc>
          <w:tcPr>
            <w:tcW w:w="1356" w:type="dxa"/>
            <w:vAlign w:val="center"/>
          </w:tcPr>
          <w:p>
            <w:pPr>
              <w:pStyle w:val="31"/>
              <w:rPr>
                <w:color w:val="auto"/>
                <w:szCs w:val="21"/>
              </w:rPr>
            </w:pPr>
            <w:r>
              <w:rPr>
                <w:color w:val="auto"/>
                <w:szCs w:val="21"/>
              </w:rPr>
              <w:t>0.66</w:t>
            </w:r>
          </w:p>
        </w:tc>
        <w:tc>
          <w:tcPr>
            <w:tcW w:w="807" w:type="dxa"/>
            <w:vAlign w:val="center"/>
          </w:tcPr>
          <w:p>
            <w:pPr>
              <w:pStyle w:val="31"/>
              <w:rPr>
                <w:color w:val="auto"/>
                <w:szCs w:val="21"/>
              </w:rPr>
            </w:pPr>
            <w:r>
              <w:rPr>
                <w:color w:val="auto"/>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656" w:type="dxa"/>
            <w:vAlign w:val="center"/>
          </w:tcPr>
          <w:p>
            <w:pPr>
              <w:pStyle w:val="31"/>
              <w:rPr>
                <w:color w:val="auto"/>
                <w:szCs w:val="21"/>
              </w:rPr>
            </w:pPr>
            <w:r>
              <w:rPr>
                <w:color w:val="auto"/>
                <w:szCs w:val="21"/>
              </w:rPr>
              <w:t>固体废物</w:t>
            </w:r>
          </w:p>
        </w:tc>
        <w:tc>
          <w:tcPr>
            <w:tcW w:w="923" w:type="dxa"/>
            <w:vAlign w:val="center"/>
          </w:tcPr>
          <w:p>
            <w:pPr>
              <w:pStyle w:val="31"/>
              <w:rPr>
                <w:color w:val="auto"/>
                <w:szCs w:val="21"/>
              </w:rPr>
            </w:pPr>
            <w:r>
              <w:rPr>
                <w:color w:val="auto"/>
                <w:szCs w:val="21"/>
              </w:rPr>
              <w:t>纯水制备废过滤材料（含活性炭滤芯和RO膜）</w:t>
            </w:r>
          </w:p>
        </w:tc>
        <w:tc>
          <w:tcPr>
            <w:tcW w:w="1401" w:type="dxa"/>
            <w:vAlign w:val="center"/>
          </w:tcPr>
          <w:p>
            <w:pPr>
              <w:pStyle w:val="31"/>
              <w:rPr>
                <w:color w:val="auto"/>
                <w:szCs w:val="21"/>
              </w:rPr>
            </w:pPr>
            <w:r>
              <w:rPr>
                <w:color w:val="auto"/>
                <w:szCs w:val="21"/>
              </w:rPr>
              <w:t>0.02</w:t>
            </w:r>
          </w:p>
        </w:tc>
        <w:tc>
          <w:tcPr>
            <w:tcW w:w="861" w:type="dxa"/>
            <w:vAlign w:val="center"/>
          </w:tcPr>
          <w:p>
            <w:pPr>
              <w:pStyle w:val="31"/>
              <w:rPr>
                <w:color w:val="auto"/>
                <w:szCs w:val="21"/>
              </w:rPr>
            </w:pPr>
            <w:r>
              <w:rPr>
                <w:color w:val="auto"/>
                <w:szCs w:val="21"/>
              </w:rPr>
              <w:t>0</w:t>
            </w:r>
          </w:p>
        </w:tc>
        <w:tc>
          <w:tcPr>
            <w:tcW w:w="1698" w:type="dxa"/>
            <w:vAlign w:val="center"/>
          </w:tcPr>
          <w:p>
            <w:pPr>
              <w:pStyle w:val="31"/>
              <w:rPr>
                <w:color w:val="auto"/>
                <w:szCs w:val="21"/>
              </w:rPr>
            </w:pPr>
            <w:r>
              <w:rPr>
                <w:color w:val="auto"/>
                <w:szCs w:val="21"/>
              </w:rPr>
              <w:t>0</w:t>
            </w:r>
          </w:p>
        </w:tc>
        <w:tc>
          <w:tcPr>
            <w:tcW w:w="1671" w:type="dxa"/>
            <w:vAlign w:val="center"/>
          </w:tcPr>
          <w:p>
            <w:pPr>
              <w:pStyle w:val="31"/>
              <w:rPr>
                <w:color w:val="auto"/>
                <w:szCs w:val="21"/>
              </w:rPr>
            </w:pPr>
            <w:r>
              <w:rPr>
                <w:color w:val="auto"/>
                <w:szCs w:val="21"/>
              </w:rPr>
              <w:t>0.02</w:t>
            </w:r>
          </w:p>
        </w:tc>
        <w:tc>
          <w:tcPr>
            <w:tcW w:w="1389" w:type="dxa"/>
            <w:vAlign w:val="center"/>
          </w:tcPr>
          <w:p>
            <w:pPr>
              <w:pStyle w:val="31"/>
              <w:rPr>
                <w:color w:val="auto"/>
                <w:szCs w:val="21"/>
              </w:rPr>
            </w:pPr>
            <w:r>
              <w:rPr>
                <w:color w:val="auto"/>
                <w:szCs w:val="21"/>
              </w:rPr>
              <w:t>0</w:t>
            </w:r>
          </w:p>
        </w:tc>
        <w:tc>
          <w:tcPr>
            <w:tcW w:w="1397" w:type="dxa"/>
            <w:vAlign w:val="center"/>
          </w:tcPr>
          <w:p>
            <w:pPr>
              <w:pStyle w:val="31"/>
              <w:rPr>
                <w:color w:val="auto"/>
                <w:szCs w:val="21"/>
              </w:rPr>
            </w:pPr>
            <w:r>
              <w:rPr>
                <w:color w:val="auto"/>
                <w:szCs w:val="21"/>
              </w:rPr>
              <w:t>0.02</w:t>
            </w:r>
          </w:p>
        </w:tc>
        <w:tc>
          <w:tcPr>
            <w:tcW w:w="1256" w:type="dxa"/>
            <w:vAlign w:val="center"/>
          </w:tcPr>
          <w:p>
            <w:pPr>
              <w:pStyle w:val="31"/>
              <w:rPr>
                <w:color w:val="auto"/>
                <w:szCs w:val="21"/>
              </w:rPr>
            </w:pPr>
            <w:r>
              <w:rPr>
                <w:color w:val="auto"/>
                <w:szCs w:val="21"/>
              </w:rPr>
              <w:t>0</w:t>
            </w:r>
          </w:p>
        </w:tc>
        <w:tc>
          <w:tcPr>
            <w:tcW w:w="1356" w:type="dxa"/>
            <w:vAlign w:val="center"/>
          </w:tcPr>
          <w:p>
            <w:pPr>
              <w:pStyle w:val="31"/>
              <w:rPr>
                <w:color w:val="auto"/>
                <w:szCs w:val="21"/>
              </w:rPr>
            </w:pPr>
            <w:r>
              <w:rPr>
                <w:color w:val="auto"/>
                <w:szCs w:val="21"/>
              </w:rPr>
              <w:t>0.02</w:t>
            </w:r>
          </w:p>
        </w:tc>
        <w:tc>
          <w:tcPr>
            <w:tcW w:w="807" w:type="dxa"/>
            <w:vAlign w:val="center"/>
          </w:tcPr>
          <w:p>
            <w:pPr>
              <w:pStyle w:val="31"/>
              <w:rPr>
                <w:color w:val="auto"/>
                <w:szCs w:val="21"/>
              </w:rPr>
            </w:pPr>
            <w:r>
              <w:rPr>
                <w:color w:val="auto"/>
                <w:szCs w:val="21"/>
              </w:rPr>
              <w:t>0</w:t>
            </w:r>
          </w:p>
        </w:tc>
      </w:tr>
    </w:tbl>
    <w:p>
      <w:pPr>
        <w:ind w:firstLine="0" w:firstLineChars="0"/>
        <w:rPr>
          <w:color w:val="auto"/>
        </w:rPr>
      </w:pPr>
      <w:r>
        <w:rPr>
          <w:color w:val="auto"/>
        </w:rPr>
        <w:t>注：</w:t>
      </w:r>
      <w:r>
        <w:rPr>
          <w:rFonts w:ascii="Cambria Math" w:hAnsi="Cambria Math" w:cs="Cambria Math"/>
          <w:color w:val="auto"/>
        </w:rPr>
        <w:t>⑥</w:t>
      </w:r>
      <w:r>
        <w:rPr>
          <w:color w:val="auto"/>
        </w:rPr>
        <w:t>=</w:t>
      </w:r>
      <w:r>
        <w:rPr>
          <w:rFonts w:ascii="Cambria Math" w:hAnsi="Cambria Math" w:cs="Cambria Math"/>
          <w:color w:val="auto"/>
        </w:rPr>
        <w:t>①</w:t>
      </w:r>
      <w:r>
        <w:rPr>
          <w:color w:val="auto"/>
        </w:rPr>
        <w:t>+</w:t>
      </w:r>
      <w:r>
        <w:rPr>
          <w:rFonts w:ascii="Cambria Math" w:hAnsi="Cambria Math" w:cs="Cambria Math"/>
          <w:color w:val="auto"/>
        </w:rPr>
        <w:t>③</w:t>
      </w:r>
      <w:r>
        <w:rPr>
          <w:color w:val="auto"/>
        </w:rPr>
        <w:t>+</w:t>
      </w:r>
      <w:r>
        <w:rPr>
          <w:rFonts w:ascii="Cambria Math" w:hAnsi="Cambria Math" w:cs="Cambria Math"/>
          <w:color w:val="auto"/>
        </w:rPr>
        <w:t>④</w:t>
      </w:r>
      <w:r>
        <w:rPr>
          <w:color w:val="auto"/>
        </w:rPr>
        <w:t>-</w:t>
      </w:r>
      <w:r>
        <w:rPr>
          <w:rFonts w:ascii="Cambria Math" w:hAnsi="Cambria Math" w:cs="Cambria Math"/>
          <w:color w:val="auto"/>
        </w:rPr>
        <w:t>⑤</w:t>
      </w:r>
      <w:r>
        <w:rPr>
          <w:color w:val="auto"/>
        </w:rPr>
        <w:t>；</w:t>
      </w:r>
      <w:r>
        <w:rPr>
          <w:rFonts w:ascii="Cambria Math" w:hAnsi="Cambria Math" w:cs="Cambria Math"/>
          <w:color w:val="auto"/>
        </w:rPr>
        <w:t>⑦</w:t>
      </w:r>
      <w:r>
        <w:rPr>
          <w:color w:val="auto"/>
        </w:rPr>
        <w:t>=</w:t>
      </w:r>
      <w:r>
        <w:rPr>
          <w:rFonts w:ascii="Cambria Math" w:hAnsi="Cambria Math" w:cs="Cambria Math"/>
          <w:color w:val="auto"/>
        </w:rPr>
        <w:t>⑥</w:t>
      </w:r>
      <w:r>
        <w:rPr>
          <w:color w:val="auto"/>
        </w:rPr>
        <w:t>-</w:t>
      </w:r>
      <w:r>
        <w:rPr>
          <w:rFonts w:ascii="Cambria Math" w:hAnsi="Cambria Math" w:cs="Cambria Math"/>
          <w:color w:val="auto"/>
        </w:rPr>
        <w:t>①</w:t>
      </w:r>
    </w:p>
    <w:p>
      <w:pPr>
        <w:widowControl/>
        <w:spacing w:line="240" w:lineRule="auto"/>
        <w:ind w:firstLine="0" w:firstLineChars="0"/>
        <w:jc w:val="left"/>
        <w:rPr>
          <w:b/>
          <w:color w:val="auto"/>
          <w:sz w:val="21"/>
          <w:szCs w:val="21"/>
        </w:rPr>
      </w:pPr>
      <w:r>
        <w:rPr>
          <w:color w:val="auto"/>
          <w:sz w:val="21"/>
          <w:szCs w:val="21"/>
        </w:rPr>
        <w:br w:type="page"/>
      </w:r>
    </w:p>
    <w:p>
      <w:pPr>
        <w:pStyle w:val="4"/>
        <w:pageBreakBefore w:val="0"/>
        <w:widowControl w:val="0"/>
        <w:kinsoku/>
        <w:wordWrap/>
        <w:overflowPunct/>
        <w:topLinePunct w:val="0"/>
        <w:autoSpaceDE/>
        <w:autoSpaceDN/>
        <w:bidi w:val="0"/>
        <w:spacing w:line="240" w:lineRule="auto"/>
        <w:jc w:val="both"/>
        <w:textAlignment w:val="auto"/>
        <w:rPr>
          <w:rFonts w:eastAsia="宋体"/>
          <w:color w:val="auto"/>
        </w:rPr>
      </w:pPr>
      <w:bookmarkStart w:id="22" w:name="_Toc213108128"/>
      <w:r>
        <w:rPr>
          <w:rFonts w:eastAsia="宋体"/>
          <w:color w:val="auto"/>
        </w:rPr>
        <w:t>附图1 建设项目地理位置图</w:t>
      </w:r>
      <w:bookmarkEnd w:id="22"/>
    </w:p>
    <w:p>
      <w:pPr>
        <w:pageBreakBefore w:val="0"/>
        <w:widowControl w:val="0"/>
        <w:kinsoku/>
        <w:wordWrap/>
        <w:overflowPunct/>
        <w:topLinePunct w:val="0"/>
        <w:autoSpaceDE/>
        <w:autoSpaceDN/>
        <w:bidi w:val="0"/>
        <w:spacing w:line="240" w:lineRule="auto"/>
        <w:ind w:left="0" w:leftChars="0" w:firstLine="0" w:firstLineChars="0"/>
        <w:jc w:val="center"/>
        <w:textAlignment w:val="auto"/>
        <w:rPr>
          <w:rFonts w:hint="eastAsia" w:ascii="宋体" w:hAnsi="宋体" w:cs="宋体"/>
          <w:b w:val="0"/>
          <w:bCs w:val="0"/>
          <w:color w:val="auto"/>
        </w:rPr>
      </w:pPr>
      <w:r>
        <w:rPr>
          <w:color w:val="auto"/>
        </w:rPr>
        <w:drawing>
          <wp:inline distT="0" distB="0" distL="114300" distR="114300">
            <wp:extent cx="8181975" cy="4968240"/>
            <wp:effectExtent l="0" t="0" r="9525" b="381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19"/>
                    <a:stretch>
                      <a:fillRect/>
                    </a:stretch>
                  </pic:blipFill>
                  <pic:spPr>
                    <a:xfrm>
                      <a:off x="0" y="0"/>
                      <a:ext cx="8181975" cy="4968240"/>
                    </a:xfrm>
                    <a:prstGeom prst="rect">
                      <a:avLst/>
                    </a:prstGeom>
                    <a:noFill/>
                    <a:ln>
                      <a:noFill/>
                    </a:ln>
                  </pic:spPr>
                </pic:pic>
              </a:graphicData>
            </a:graphic>
          </wp:inline>
        </w:drawing>
      </w:r>
    </w:p>
    <w:p>
      <w:pPr>
        <w:pStyle w:val="5"/>
        <w:ind w:firstLine="0" w:firstLineChars="0"/>
        <w:rPr>
          <w:color w:val="auto"/>
        </w:rPr>
        <w:sectPr>
          <w:footerReference r:id="rId11" w:type="default"/>
          <w:pgSz w:w="16838" w:h="11906" w:orient="landscape"/>
          <w:pgMar w:top="1803" w:right="1440" w:bottom="1803" w:left="1440" w:header="851" w:footer="992" w:gutter="0"/>
          <w:cols w:space="0" w:num="1"/>
          <w:docGrid w:type="lines" w:linePitch="332" w:charSpace="0"/>
        </w:sectPr>
      </w:pPr>
    </w:p>
    <w:p>
      <w:pPr>
        <w:pStyle w:val="4"/>
        <w:pageBreakBefore w:val="0"/>
        <w:kinsoku/>
        <w:wordWrap/>
        <w:overflowPunct/>
        <w:topLinePunct w:val="0"/>
        <w:autoSpaceDE/>
        <w:autoSpaceDN/>
        <w:bidi w:val="0"/>
        <w:spacing w:line="240" w:lineRule="auto"/>
        <w:jc w:val="both"/>
        <w:textAlignment w:val="auto"/>
        <w:rPr>
          <w:rFonts w:eastAsia="宋体"/>
          <w:color w:val="auto"/>
        </w:rPr>
      </w:pPr>
      <w:bookmarkStart w:id="23" w:name="_Toc213108129"/>
      <w:r>
        <w:rPr>
          <w:rFonts w:eastAsia="宋体"/>
          <w:color w:val="auto"/>
        </w:rPr>
        <w:t>附图2 现有项目平面布置图</w:t>
      </w:r>
      <w:bookmarkEnd w:id="23"/>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b/>
          <w:color w:val="auto"/>
        </w:rPr>
      </w:pPr>
      <w:r>
        <w:rPr>
          <w:color w:val="auto"/>
        </w:rPr>
        <w:drawing>
          <wp:inline distT="0" distB="0" distL="114300" distR="114300">
            <wp:extent cx="7977505" cy="4968240"/>
            <wp:effectExtent l="0" t="0" r="4445" b="381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20"/>
                    <a:stretch>
                      <a:fillRect/>
                    </a:stretch>
                  </pic:blipFill>
                  <pic:spPr>
                    <a:xfrm>
                      <a:off x="0" y="0"/>
                      <a:ext cx="7977505" cy="4968240"/>
                    </a:xfrm>
                    <a:prstGeom prst="rect">
                      <a:avLst/>
                    </a:prstGeom>
                    <a:noFill/>
                    <a:ln>
                      <a:noFill/>
                    </a:ln>
                  </pic:spPr>
                </pic:pic>
              </a:graphicData>
            </a:graphic>
          </wp:inline>
        </w:drawing>
      </w:r>
      <w:r>
        <w:rPr>
          <w:color w:val="auto"/>
        </w:rPr>
        <w:br w:type="page"/>
      </w:r>
    </w:p>
    <w:p>
      <w:pPr>
        <w:pStyle w:val="4"/>
        <w:spacing w:line="360" w:lineRule="auto"/>
        <w:jc w:val="both"/>
        <w:rPr>
          <w:rFonts w:eastAsia="宋体"/>
          <w:color w:val="auto"/>
        </w:rPr>
      </w:pPr>
      <w:bookmarkStart w:id="24" w:name="_Toc213108130"/>
      <w:r>
        <w:rPr>
          <w:rFonts w:eastAsia="宋体"/>
          <w:color w:val="auto"/>
        </w:rPr>
        <w:t>附图3 环境保护目标分布图</w:t>
      </w:r>
      <w:bookmarkEnd w:id="24"/>
    </w:p>
    <w:p>
      <w:pPr>
        <w:widowControl/>
        <w:spacing w:line="240" w:lineRule="auto"/>
        <w:ind w:firstLine="0" w:firstLineChars="0"/>
        <w:jc w:val="left"/>
        <w:rPr>
          <w:rFonts w:hint="eastAsia"/>
          <w:b/>
          <w:color w:val="auto"/>
        </w:rPr>
      </w:pPr>
      <w:r>
        <w:rPr>
          <w:color w:val="auto"/>
        </w:rPr>
        <w:drawing>
          <wp:inline distT="0" distB="0" distL="114300" distR="114300">
            <wp:extent cx="8862060" cy="4417060"/>
            <wp:effectExtent l="0" t="0" r="15240" b="2540"/>
            <wp:docPr id="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4"/>
                    <pic:cNvPicPr>
                      <a:picLocks noChangeAspect="1"/>
                    </pic:cNvPicPr>
                  </pic:nvPicPr>
                  <pic:blipFill>
                    <a:blip r:embed="rId21"/>
                    <a:stretch>
                      <a:fillRect/>
                    </a:stretch>
                  </pic:blipFill>
                  <pic:spPr>
                    <a:xfrm>
                      <a:off x="0" y="0"/>
                      <a:ext cx="8862060" cy="4417060"/>
                    </a:xfrm>
                    <a:prstGeom prst="rect">
                      <a:avLst/>
                    </a:prstGeom>
                    <a:noFill/>
                    <a:ln>
                      <a:noFill/>
                    </a:ln>
                  </pic:spPr>
                </pic:pic>
              </a:graphicData>
            </a:graphic>
          </wp:inline>
        </w:drawing>
      </w:r>
      <w:r>
        <w:rPr>
          <w:color w:val="auto"/>
        </w:rPr>
        <w:br w:type="page"/>
      </w:r>
    </w:p>
    <w:p>
      <w:pPr>
        <w:pStyle w:val="4"/>
        <w:pageBreakBefore w:val="0"/>
        <w:kinsoku/>
        <w:wordWrap/>
        <w:overflowPunct/>
        <w:topLinePunct w:val="0"/>
        <w:autoSpaceDE/>
        <w:autoSpaceDN/>
        <w:bidi w:val="0"/>
        <w:spacing w:line="240" w:lineRule="auto"/>
        <w:jc w:val="both"/>
        <w:textAlignment w:val="auto"/>
        <w:rPr>
          <w:rFonts w:hint="eastAsia" w:eastAsia="宋体"/>
          <w:color w:val="auto"/>
        </w:rPr>
      </w:pPr>
      <w:bookmarkStart w:id="25" w:name="_Toc29231"/>
      <w:bookmarkStart w:id="26" w:name="_Toc8366"/>
      <w:bookmarkStart w:id="27" w:name="_Toc213108131"/>
      <w:bookmarkStart w:id="28" w:name="_Toc7526"/>
      <w:bookmarkStart w:id="29" w:name="_Toc27222"/>
      <w:bookmarkStart w:id="30" w:name="_Toc26985"/>
      <w:bookmarkStart w:id="31" w:name="_Toc14392"/>
      <w:bookmarkStart w:id="32" w:name="_Toc9701"/>
      <w:bookmarkStart w:id="33" w:name="_Toc17632"/>
      <w:r>
        <w:rPr>
          <w:rFonts w:eastAsia="宋体"/>
          <w:color w:val="auto"/>
        </w:rPr>
        <w:t>附图</w:t>
      </w:r>
      <w:r>
        <w:rPr>
          <w:rFonts w:hint="eastAsia" w:eastAsia="宋体"/>
          <w:color w:val="auto"/>
        </w:rPr>
        <w:t>4</w:t>
      </w:r>
      <w:r>
        <w:rPr>
          <w:rFonts w:eastAsia="宋体"/>
          <w:color w:val="auto"/>
        </w:rPr>
        <w:t xml:space="preserve"> </w:t>
      </w:r>
      <w:r>
        <w:rPr>
          <w:rFonts w:hint="eastAsia" w:eastAsia="宋体"/>
          <w:color w:val="auto"/>
        </w:rPr>
        <w:t>现状监测布点图</w:t>
      </w:r>
      <w:bookmarkEnd w:id="25"/>
      <w:bookmarkEnd w:id="26"/>
      <w:bookmarkEnd w:id="27"/>
      <w:bookmarkEnd w:id="28"/>
      <w:bookmarkEnd w:id="29"/>
      <w:bookmarkEnd w:id="30"/>
      <w:bookmarkEnd w:id="31"/>
      <w:bookmarkEnd w:id="32"/>
      <w:bookmarkEnd w:id="33"/>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auto"/>
        </w:rPr>
      </w:pPr>
      <w:r>
        <w:rPr>
          <w:color w:val="auto"/>
        </w:rPr>
        <w:drawing>
          <wp:inline distT="0" distB="0" distL="114300" distR="114300">
            <wp:extent cx="8714105" cy="4968240"/>
            <wp:effectExtent l="0" t="0" r="10795" b="381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2"/>
                    <a:stretch>
                      <a:fillRect/>
                    </a:stretch>
                  </pic:blipFill>
                  <pic:spPr>
                    <a:xfrm>
                      <a:off x="0" y="0"/>
                      <a:ext cx="8714105" cy="4968240"/>
                    </a:xfrm>
                    <a:prstGeom prst="rect">
                      <a:avLst/>
                    </a:prstGeom>
                    <a:noFill/>
                    <a:ln>
                      <a:noFill/>
                    </a:ln>
                  </pic:spPr>
                </pic:pic>
              </a:graphicData>
            </a:graphic>
          </wp:inline>
        </w:drawing>
      </w:r>
      <w:r>
        <w:rPr>
          <w:rFonts w:hint="eastAsia" w:eastAsia="宋体"/>
          <w:color w:val="auto"/>
        </w:rPr>
        <w:br w:type="page"/>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rPr>
      </w:pPr>
      <w:r>
        <w:rPr>
          <w:color w:val="auto"/>
        </w:rPr>
        <w:drawing>
          <wp:inline distT="0" distB="0" distL="114300" distR="114300">
            <wp:extent cx="8860790" cy="5013325"/>
            <wp:effectExtent l="0" t="0" r="16510" b="1587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23"/>
                    <a:stretch>
                      <a:fillRect/>
                    </a:stretch>
                  </pic:blipFill>
                  <pic:spPr>
                    <a:xfrm>
                      <a:off x="0" y="0"/>
                      <a:ext cx="8860790" cy="5013325"/>
                    </a:xfrm>
                    <a:prstGeom prst="rect">
                      <a:avLst/>
                    </a:prstGeom>
                    <a:noFill/>
                    <a:ln>
                      <a:noFill/>
                    </a:ln>
                  </pic:spPr>
                </pic:pic>
              </a:graphicData>
            </a:graphic>
          </wp:inline>
        </w:drawing>
      </w:r>
    </w:p>
    <w:p>
      <w:pPr>
        <w:pageBreakBefore w:val="0"/>
        <w:widowControl/>
        <w:kinsoku/>
        <w:wordWrap/>
        <w:overflowPunct/>
        <w:topLinePunct w:val="0"/>
        <w:autoSpaceDE/>
        <w:autoSpaceDN/>
        <w:bidi w:val="0"/>
        <w:spacing w:line="240" w:lineRule="auto"/>
        <w:ind w:firstLine="0" w:firstLineChars="0"/>
        <w:jc w:val="center"/>
        <w:textAlignment w:val="auto"/>
        <w:rPr>
          <w:color w:val="auto"/>
        </w:rPr>
      </w:pPr>
      <w:r>
        <w:rPr>
          <w:color w:val="auto"/>
        </w:rPr>
        <w:br w:type="page"/>
      </w:r>
    </w:p>
    <w:p>
      <w:pPr>
        <w:pStyle w:val="4"/>
        <w:pageBreakBefore w:val="0"/>
        <w:widowControl w:val="0"/>
        <w:kinsoku/>
        <w:wordWrap/>
        <w:overflowPunct/>
        <w:topLinePunct w:val="0"/>
        <w:autoSpaceDE/>
        <w:autoSpaceDN/>
        <w:bidi w:val="0"/>
        <w:spacing w:line="240" w:lineRule="auto"/>
        <w:jc w:val="both"/>
        <w:textAlignment w:val="auto"/>
        <w:rPr>
          <w:rFonts w:eastAsia="宋体"/>
          <w:color w:val="auto"/>
        </w:rPr>
      </w:pPr>
      <w:bookmarkStart w:id="34" w:name="_Toc213108132"/>
      <w:r>
        <w:rPr>
          <w:rFonts w:hint="eastAsia" w:eastAsia="宋体"/>
          <w:color w:val="auto"/>
        </w:rPr>
        <w:t>附件1 营业执照</w:t>
      </w:r>
      <w:bookmarkEnd w:id="34"/>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lang w:val="en-US" w:eastAsia="zh-CN"/>
        </w:rPr>
        <w:sectPr>
          <w:pgSz w:w="16838" w:h="11906" w:orient="landscape"/>
          <w:pgMar w:top="1803" w:right="1440" w:bottom="1803" w:left="1440" w:header="851" w:footer="992" w:gutter="0"/>
          <w:cols w:space="0" w:num="1"/>
          <w:docGrid w:type="lines" w:linePitch="332" w:charSpace="0"/>
        </w:sectPr>
      </w:pPr>
      <w:r>
        <w:rPr>
          <w:color w:val="auto"/>
        </w:rPr>
        <w:drawing>
          <wp:inline distT="0" distB="0" distL="114300" distR="114300">
            <wp:extent cx="7888605" cy="4567555"/>
            <wp:effectExtent l="0" t="0" r="17145" b="444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4"/>
                    <a:stretch>
                      <a:fillRect/>
                    </a:stretch>
                  </pic:blipFill>
                  <pic:spPr>
                    <a:xfrm>
                      <a:off x="0" y="0"/>
                      <a:ext cx="7888605" cy="4567555"/>
                    </a:xfrm>
                    <a:prstGeom prst="rect">
                      <a:avLst/>
                    </a:prstGeom>
                    <a:noFill/>
                    <a:ln>
                      <a:noFill/>
                    </a:ln>
                  </pic:spPr>
                </pic:pic>
              </a:graphicData>
            </a:graphic>
          </wp:inline>
        </w:drawing>
      </w:r>
    </w:p>
    <w:p>
      <w:pPr>
        <w:pStyle w:val="4"/>
        <w:pageBreakBefore w:val="0"/>
        <w:widowControl w:val="0"/>
        <w:kinsoku/>
        <w:wordWrap/>
        <w:overflowPunct/>
        <w:topLinePunct w:val="0"/>
        <w:autoSpaceDE/>
        <w:autoSpaceDN/>
        <w:bidi w:val="0"/>
        <w:spacing w:line="240" w:lineRule="auto"/>
        <w:ind w:firstLine="0" w:firstLineChars="0"/>
        <w:jc w:val="both"/>
        <w:textAlignment w:val="auto"/>
        <w:rPr>
          <w:color w:val="auto"/>
        </w:rPr>
      </w:pPr>
      <w:bookmarkStart w:id="35" w:name="_Toc213108133"/>
      <w:r>
        <w:rPr>
          <w:rFonts w:hint="eastAsia" w:eastAsia="宋体"/>
          <w:color w:val="auto"/>
        </w:rPr>
        <w:t>附件2 现有项目排污许可证</w:t>
      </w:r>
      <w:bookmarkEnd w:id="35"/>
    </w:p>
    <w:p>
      <w:pPr>
        <w:pageBreakBefore w:val="0"/>
        <w:widowControl w:val="0"/>
        <w:kinsoku/>
        <w:wordWrap/>
        <w:overflowPunct/>
        <w:topLinePunct w:val="0"/>
        <w:autoSpaceDE/>
        <w:autoSpaceDN/>
        <w:bidi w:val="0"/>
        <w:spacing w:line="240" w:lineRule="auto"/>
        <w:ind w:firstLine="0" w:firstLineChars="0"/>
        <w:jc w:val="center"/>
        <w:textAlignment w:val="auto"/>
        <w:rPr>
          <w:color w:val="auto"/>
        </w:rPr>
      </w:pPr>
      <w:r>
        <w:rPr>
          <w:color w:val="auto"/>
        </w:rPr>
        <w:drawing>
          <wp:inline distT="0" distB="0" distL="114300" distR="114300">
            <wp:extent cx="7855585" cy="4968240"/>
            <wp:effectExtent l="0" t="0" r="12065"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5"/>
                    <a:srcRect t="2949"/>
                    <a:stretch>
                      <a:fillRect/>
                    </a:stretch>
                  </pic:blipFill>
                  <pic:spPr>
                    <a:xfrm>
                      <a:off x="0" y="0"/>
                      <a:ext cx="7855585" cy="4968240"/>
                    </a:xfrm>
                    <a:prstGeom prst="rect">
                      <a:avLst/>
                    </a:prstGeom>
                    <a:noFill/>
                    <a:ln>
                      <a:noFill/>
                    </a:ln>
                  </pic:spPr>
                </pic:pic>
              </a:graphicData>
            </a:graphic>
          </wp:inline>
        </w:drawing>
      </w:r>
    </w:p>
    <w:p>
      <w:pPr>
        <w:ind w:firstLine="0" w:firstLineChars="0"/>
        <w:rPr>
          <w:color w:val="auto"/>
        </w:rPr>
        <w:sectPr>
          <w:pgSz w:w="16838" w:h="11906" w:orient="landscape"/>
          <w:pgMar w:top="1803" w:right="1440" w:bottom="1803" w:left="1440" w:header="851" w:footer="992" w:gutter="0"/>
          <w:cols w:space="0" w:num="1"/>
          <w:docGrid w:type="lines" w:linePitch="332" w:charSpace="0"/>
        </w:sectPr>
      </w:pPr>
    </w:p>
    <w:p>
      <w:pPr>
        <w:pStyle w:val="4"/>
        <w:pageBreakBefore w:val="0"/>
        <w:kinsoku/>
        <w:wordWrap/>
        <w:overflowPunct/>
        <w:topLinePunct w:val="0"/>
        <w:autoSpaceDE/>
        <w:autoSpaceDN/>
        <w:bidi w:val="0"/>
        <w:spacing w:line="240" w:lineRule="auto"/>
        <w:jc w:val="both"/>
        <w:textAlignment w:val="auto"/>
        <w:rPr>
          <w:rFonts w:eastAsia="宋体"/>
          <w:color w:val="auto"/>
        </w:rPr>
      </w:pPr>
      <w:bookmarkStart w:id="36" w:name="_Toc7705"/>
      <w:bookmarkStart w:id="37" w:name="_Toc20113"/>
      <w:bookmarkStart w:id="38" w:name="_Toc29067"/>
      <w:bookmarkStart w:id="39" w:name="_Toc29710"/>
      <w:bookmarkStart w:id="40" w:name="_Toc30372"/>
      <w:bookmarkStart w:id="41" w:name="_Toc15037"/>
      <w:bookmarkStart w:id="42" w:name="_Toc10461"/>
      <w:bookmarkStart w:id="43" w:name="_Toc213108134"/>
      <w:bookmarkStart w:id="44" w:name="_Toc18741"/>
      <w:r>
        <w:rPr>
          <w:rFonts w:hint="eastAsia" w:eastAsia="宋体"/>
          <w:color w:val="auto"/>
        </w:rPr>
        <w:t>附件3</w:t>
      </w:r>
      <w:r>
        <w:rPr>
          <w:rFonts w:eastAsia="宋体"/>
          <w:color w:val="auto"/>
        </w:rPr>
        <w:t xml:space="preserve"> </w:t>
      </w:r>
      <w:r>
        <w:rPr>
          <w:rFonts w:hint="eastAsia" w:eastAsia="宋体"/>
          <w:color w:val="auto"/>
        </w:rPr>
        <w:t>委托书</w:t>
      </w:r>
      <w:bookmarkEnd w:id="36"/>
      <w:bookmarkEnd w:id="37"/>
      <w:bookmarkEnd w:id="38"/>
      <w:bookmarkEnd w:id="39"/>
      <w:bookmarkEnd w:id="40"/>
      <w:bookmarkEnd w:id="41"/>
      <w:bookmarkEnd w:id="42"/>
      <w:bookmarkEnd w:id="43"/>
      <w:bookmarkEnd w:id="44"/>
    </w:p>
    <w:p>
      <w:pPr>
        <w:pageBreakBefore w:val="0"/>
        <w:widowControl/>
        <w:kinsoku/>
        <w:wordWrap/>
        <w:overflowPunct/>
        <w:topLinePunct w:val="0"/>
        <w:autoSpaceDE/>
        <w:autoSpaceDN/>
        <w:bidi w:val="0"/>
        <w:spacing w:line="240" w:lineRule="auto"/>
        <w:ind w:firstLine="0" w:firstLineChars="0"/>
        <w:jc w:val="left"/>
        <w:textAlignment w:val="auto"/>
        <w:rPr>
          <w:rFonts w:hint="eastAsia"/>
          <w:b/>
          <w:color w:val="auto"/>
        </w:rPr>
      </w:pPr>
      <w:r>
        <w:rPr>
          <w:color w:val="auto"/>
        </w:rPr>
        <w:drawing>
          <wp:inline distT="0" distB="0" distL="114300" distR="114300">
            <wp:extent cx="5248275" cy="7477125"/>
            <wp:effectExtent l="0" t="0" r="9525" b="952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26"/>
                    <a:stretch>
                      <a:fillRect/>
                    </a:stretch>
                  </pic:blipFill>
                  <pic:spPr>
                    <a:xfrm>
                      <a:off x="0" y="0"/>
                      <a:ext cx="5248275" cy="7477125"/>
                    </a:xfrm>
                    <a:prstGeom prst="rect">
                      <a:avLst/>
                    </a:prstGeom>
                    <a:noFill/>
                    <a:ln>
                      <a:noFill/>
                    </a:ln>
                  </pic:spPr>
                </pic:pic>
              </a:graphicData>
            </a:graphic>
          </wp:inline>
        </w:drawing>
      </w:r>
      <w:r>
        <w:rPr>
          <w:color w:val="auto"/>
        </w:rPr>
        <w:br w:type="page"/>
      </w:r>
    </w:p>
    <w:p>
      <w:pPr>
        <w:pStyle w:val="4"/>
        <w:pageBreakBefore w:val="0"/>
        <w:kinsoku/>
        <w:wordWrap/>
        <w:overflowPunct/>
        <w:topLinePunct w:val="0"/>
        <w:autoSpaceDE/>
        <w:autoSpaceDN/>
        <w:bidi w:val="0"/>
        <w:spacing w:line="240" w:lineRule="auto"/>
        <w:jc w:val="both"/>
        <w:textAlignment w:val="auto"/>
        <w:rPr>
          <w:rFonts w:eastAsia="宋体"/>
          <w:color w:val="auto"/>
        </w:rPr>
      </w:pPr>
      <w:bookmarkStart w:id="45" w:name="_Toc213108135"/>
      <w:r>
        <w:rPr>
          <w:rFonts w:hint="eastAsia" w:eastAsia="宋体"/>
          <w:color w:val="auto"/>
        </w:rPr>
        <w:t>附件4 法人身份证</w:t>
      </w:r>
      <w:bookmarkEnd w:id="45"/>
    </w:p>
    <w:p>
      <w:pPr>
        <w:pageBreakBefore w:val="0"/>
        <w:widowControl/>
        <w:kinsoku/>
        <w:wordWrap/>
        <w:overflowPunct/>
        <w:topLinePunct w:val="0"/>
        <w:autoSpaceDE/>
        <w:autoSpaceDN/>
        <w:bidi w:val="0"/>
        <w:spacing w:line="240" w:lineRule="auto"/>
        <w:ind w:firstLine="0" w:firstLineChars="0"/>
        <w:jc w:val="left"/>
        <w:textAlignment w:val="auto"/>
        <w:rPr>
          <w:rFonts w:hint="eastAsia"/>
          <w:b/>
          <w:color w:val="auto"/>
        </w:rPr>
      </w:pPr>
      <w:r>
        <w:rPr>
          <w:color w:val="auto"/>
        </w:rPr>
        <w:drawing>
          <wp:inline distT="0" distB="0" distL="114300" distR="114300">
            <wp:extent cx="5248275" cy="7429500"/>
            <wp:effectExtent l="0" t="0" r="9525" b="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27"/>
                    <a:stretch>
                      <a:fillRect/>
                    </a:stretch>
                  </pic:blipFill>
                  <pic:spPr>
                    <a:xfrm>
                      <a:off x="0" y="0"/>
                      <a:ext cx="5248275" cy="7429500"/>
                    </a:xfrm>
                    <a:prstGeom prst="rect">
                      <a:avLst/>
                    </a:prstGeom>
                    <a:noFill/>
                    <a:ln>
                      <a:noFill/>
                    </a:ln>
                  </pic:spPr>
                </pic:pic>
              </a:graphicData>
            </a:graphic>
          </wp:inline>
        </w:drawing>
      </w:r>
      <w:r>
        <w:rPr>
          <w:color w:val="auto"/>
        </w:rPr>
        <w:br w:type="page"/>
      </w:r>
    </w:p>
    <w:p>
      <w:pPr>
        <w:pStyle w:val="4"/>
        <w:pageBreakBefore w:val="0"/>
        <w:widowControl w:val="0"/>
        <w:kinsoku/>
        <w:wordWrap/>
        <w:overflowPunct/>
        <w:topLinePunct w:val="0"/>
        <w:autoSpaceDE/>
        <w:autoSpaceDN/>
        <w:bidi w:val="0"/>
        <w:spacing w:line="240" w:lineRule="auto"/>
        <w:jc w:val="both"/>
        <w:textAlignment w:val="auto"/>
        <w:rPr>
          <w:rFonts w:hint="eastAsia" w:eastAsia="宋体"/>
          <w:color w:val="auto"/>
        </w:rPr>
      </w:pPr>
      <w:bookmarkStart w:id="46" w:name="_Toc213108136"/>
      <w:r>
        <w:rPr>
          <w:rFonts w:hint="eastAsia" w:eastAsia="宋体"/>
          <w:color w:val="auto"/>
        </w:rPr>
        <w:t>附件5 现有项目环评批复</w:t>
      </w:r>
      <w:bookmarkEnd w:id="46"/>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rPr>
        <w:sectPr>
          <w:pgSz w:w="11906" w:h="16838"/>
          <w:pgMar w:top="1440" w:right="1803" w:bottom="1440" w:left="1803" w:header="851" w:footer="992" w:gutter="0"/>
          <w:cols w:space="0" w:num="1"/>
          <w:docGrid w:type="lines" w:linePitch="332" w:charSpace="0"/>
        </w:sectPr>
      </w:pPr>
      <w:r>
        <w:rPr>
          <w:color w:val="auto"/>
        </w:rPr>
        <w:drawing>
          <wp:inline distT="0" distB="0" distL="114300" distR="114300">
            <wp:extent cx="5262880" cy="7379970"/>
            <wp:effectExtent l="0" t="0" r="13970" b="1143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28"/>
                    <a:stretch>
                      <a:fillRect/>
                    </a:stretch>
                  </pic:blipFill>
                  <pic:spPr>
                    <a:xfrm>
                      <a:off x="0" y="0"/>
                      <a:ext cx="5262880" cy="7379970"/>
                    </a:xfrm>
                    <a:prstGeom prst="rect">
                      <a:avLst/>
                    </a:prstGeom>
                    <a:noFill/>
                    <a:ln>
                      <a:noFill/>
                    </a:ln>
                  </pic:spPr>
                </pic:pic>
              </a:graphicData>
            </a:graphic>
          </wp:inline>
        </w:drawing>
      </w:r>
      <w:r>
        <w:rPr>
          <w:color w:val="auto"/>
        </w:rPr>
        <w:drawing>
          <wp:inline distT="0" distB="0" distL="114300" distR="114300">
            <wp:extent cx="5269865" cy="7379970"/>
            <wp:effectExtent l="0" t="0" r="6985" b="11430"/>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29"/>
                    <a:stretch>
                      <a:fillRect/>
                    </a:stretch>
                  </pic:blipFill>
                  <pic:spPr>
                    <a:xfrm>
                      <a:off x="0" y="0"/>
                      <a:ext cx="5269865" cy="7379970"/>
                    </a:xfrm>
                    <a:prstGeom prst="rect">
                      <a:avLst/>
                    </a:prstGeom>
                    <a:noFill/>
                    <a:ln>
                      <a:noFill/>
                    </a:ln>
                  </pic:spPr>
                </pic:pic>
              </a:graphicData>
            </a:graphic>
          </wp:inline>
        </w:drawing>
      </w:r>
      <w:r>
        <w:rPr>
          <w:color w:val="auto"/>
        </w:rPr>
        <w:drawing>
          <wp:inline distT="0" distB="0" distL="114300" distR="114300">
            <wp:extent cx="5253990" cy="7524115"/>
            <wp:effectExtent l="0" t="0" r="3810" b="63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30"/>
                    <a:stretch>
                      <a:fillRect/>
                    </a:stretch>
                  </pic:blipFill>
                  <pic:spPr>
                    <a:xfrm>
                      <a:off x="0" y="0"/>
                      <a:ext cx="5253990" cy="7524115"/>
                    </a:xfrm>
                    <a:prstGeom prst="rect">
                      <a:avLst/>
                    </a:prstGeom>
                    <a:noFill/>
                    <a:ln>
                      <a:noFill/>
                    </a:ln>
                  </pic:spPr>
                </pic:pic>
              </a:graphicData>
            </a:graphic>
          </wp:inline>
        </w:drawing>
      </w:r>
      <w:r>
        <w:rPr>
          <w:color w:val="auto"/>
        </w:rPr>
        <w:drawing>
          <wp:inline distT="0" distB="0" distL="114300" distR="114300">
            <wp:extent cx="5260975" cy="7451725"/>
            <wp:effectExtent l="0" t="0" r="15875" b="15875"/>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31"/>
                    <a:stretch>
                      <a:fillRect/>
                    </a:stretch>
                  </pic:blipFill>
                  <pic:spPr>
                    <a:xfrm>
                      <a:off x="0" y="0"/>
                      <a:ext cx="5260975" cy="7451725"/>
                    </a:xfrm>
                    <a:prstGeom prst="rect">
                      <a:avLst/>
                    </a:prstGeom>
                    <a:noFill/>
                    <a:ln>
                      <a:noFill/>
                    </a:ln>
                  </pic:spPr>
                </pic:pic>
              </a:graphicData>
            </a:graphic>
          </wp:inline>
        </w:drawing>
      </w:r>
      <w:r>
        <w:rPr>
          <w:color w:val="auto"/>
        </w:rPr>
        <w:drawing>
          <wp:inline distT="0" distB="0" distL="114300" distR="114300">
            <wp:extent cx="5282565" cy="7776210"/>
            <wp:effectExtent l="0" t="0" r="13335" b="15240"/>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32"/>
                    <a:stretch>
                      <a:fillRect/>
                    </a:stretch>
                  </pic:blipFill>
                  <pic:spPr>
                    <a:xfrm>
                      <a:off x="0" y="0"/>
                      <a:ext cx="5282565" cy="7776210"/>
                    </a:xfrm>
                    <a:prstGeom prst="rect">
                      <a:avLst/>
                    </a:prstGeom>
                    <a:noFill/>
                    <a:ln>
                      <a:noFill/>
                    </a:ln>
                  </pic:spPr>
                </pic:pic>
              </a:graphicData>
            </a:graphic>
          </wp:inline>
        </w:drawing>
      </w:r>
      <w:r>
        <w:rPr>
          <w:color w:val="auto"/>
        </w:rPr>
        <w:drawing>
          <wp:inline distT="0" distB="0" distL="114300" distR="114300">
            <wp:extent cx="5234305" cy="7668260"/>
            <wp:effectExtent l="0" t="0" r="4445" b="8890"/>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33"/>
                    <a:stretch>
                      <a:fillRect/>
                    </a:stretch>
                  </pic:blipFill>
                  <pic:spPr>
                    <a:xfrm>
                      <a:off x="0" y="0"/>
                      <a:ext cx="5234305" cy="7668260"/>
                    </a:xfrm>
                    <a:prstGeom prst="rect">
                      <a:avLst/>
                    </a:prstGeom>
                    <a:noFill/>
                    <a:ln>
                      <a:noFill/>
                    </a:ln>
                  </pic:spPr>
                </pic:pic>
              </a:graphicData>
            </a:graphic>
          </wp:inline>
        </w:drawing>
      </w:r>
      <w:r>
        <w:rPr>
          <w:color w:val="auto"/>
        </w:rPr>
        <w:drawing>
          <wp:inline distT="0" distB="0" distL="114300" distR="114300">
            <wp:extent cx="5255260" cy="8063865"/>
            <wp:effectExtent l="0" t="0" r="2540" b="13335"/>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34"/>
                    <a:stretch>
                      <a:fillRect/>
                    </a:stretch>
                  </pic:blipFill>
                  <pic:spPr>
                    <a:xfrm>
                      <a:off x="0" y="0"/>
                      <a:ext cx="5255260" cy="8063865"/>
                    </a:xfrm>
                    <a:prstGeom prst="rect">
                      <a:avLst/>
                    </a:prstGeom>
                    <a:noFill/>
                    <a:ln>
                      <a:noFill/>
                    </a:ln>
                  </pic:spPr>
                </pic:pic>
              </a:graphicData>
            </a:graphic>
          </wp:inline>
        </w:drawing>
      </w:r>
      <w:r>
        <w:rPr>
          <w:color w:val="auto"/>
        </w:rPr>
        <w:drawing>
          <wp:inline distT="0" distB="0" distL="114300" distR="114300">
            <wp:extent cx="5248275" cy="7272020"/>
            <wp:effectExtent l="0" t="0" r="9525" b="5080"/>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35"/>
                    <a:stretch>
                      <a:fillRect/>
                    </a:stretch>
                  </pic:blipFill>
                  <pic:spPr>
                    <a:xfrm>
                      <a:off x="0" y="0"/>
                      <a:ext cx="5248275" cy="7272020"/>
                    </a:xfrm>
                    <a:prstGeom prst="rect">
                      <a:avLst/>
                    </a:prstGeom>
                    <a:noFill/>
                    <a:ln>
                      <a:noFill/>
                    </a:ln>
                  </pic:spPr>
                </pic:pic>
              </a:graphicData>
            </a:graphic>
          </wp:inline>
        </w:drawing>
      </w:r>
      <w:r>
        <w:rPr>
          <w:color w:val="auto"/>
        </w:rPr>
        <w:drawing>
          <wp:inline distT="0" distB="0" distL="114300" distR="114300">
            <wp:extent cx="5252720" cy="8028305"/>
            <wp:effectExtent l="0" t="0" r="5080" b="10795"/>
            <wp:docPr id="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pic:cNvPicPr>
                      <a:picLocks noChangeAspect="1"/>
                    </pic:cNvPicPr>
                  </pic:nvPicPr>
                  <pic:blipFill>
                    <a:blip r:embed="rId36"/>
                    <a:stretch>
                      <a:fillRect/>
                    </a:stretch>
                  </pic:blipFill>
                  <pic:spPr>
                    <a:xfrm>
                      <a:off x="0" y="0"/>
                      <a:ext cx="5252720" cy="8028305"/>
                    </a:xfrm>
                    <a:prstGeom prst="rect">
                      <a:avLst/>
                    </a:prstGeom>
                    <a:noFill/>
                    <a:ln>
                      <a:noFill/>
                    </a:ln>
                  </pic:spPr>
                </pic:pic>
              </a:graphicData>
            </a:graphic>
          </wp:inline>
        </w:drawing>
      </w:r>
      <w:r>
        <w:rPr>
          <w:color w:val="auto"/>
        </w:rPr>
        <w:drawing>
          <wp:inline distT="0" distB="0" distL="114300" distR="114300">
            <wp:extent cx="5230495" cy="7343775"/>
            <wp:effectExtent l="0" t="0" r="8255" b="9525"/>
            <wp:docPr id="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6"/>
                    <pic:cNvPicPr>
                      <a:picLocks noChangeAspect="1"/>
                    </pic:cNvPicPr>
                  </pic:nvPicPr>
                  <pic:blipFill>
                    <a:blip r:embed="rId37"/>
                    <a:stretch>
                      <a:fillRect/>
                    </a:stretch>
                  </pic:blipFill>
                  <pic:spPr>
                    <a:xfrm>
                      <a:off x="0" y="0"/>
                      <a:ext cx="5230495" cy="7343775"/>
                    </a:xfrm>
                    <a:prstGeom prst="rect">
                      <a:avLst/>
                    </a:prstGeom>
                    <a:noFill/>
                    <a:ln>
                      <a:noFill/>
                    </a:ln>
                  </pic:spPr>
                </pic:pic>
              </a:graphicData>
            </a:graphic>
          </wp:inline>
        </w:drawing>
      </w:r>
      <w:r>
        <w:rPr>
          <w:color w:val="auto"/>
        </w:rPr>
        <w:drawing>
          <wp:inline distT="0" distB="0" distL="114300" distR="114300">
            <wp:extent cx="5248275" cy="7200900"/>
            <wp:effectExtent l="0" t="0" r="9525" b="0"/>
            <wp:docPr id="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7"/>
                    <pic:cNvPicPr>
                      <a:picLocks noChangeAspect="1"/>
                    </pic:cNvPicPr>
                  </pic:nvPicPr>
                  <pic:blipFill>
                    <a:blip r:embed="rId38"/>
                    <a:stretch>
                      <a:fillRect/>
                    </a:stretch>
                  </pic:blipFill>
                  <pic:spPr>
                    <a:xfrm>
                      <a:off x="0" y="0"/>
                      <a:ext cx="5248275" cy="7200900"/>
                    </a:xfrm>
                    <a:prstGeom prst="rect">
                      <a:avLst/>
                    </a:prstGeom>
                    <a:noFill/>
                    <a:ln>
                      <a:noFill/>
                    </a:ln>
                  </pic:spPr>
                </pic:pic>
              </a:graphicData>
            </a:graphic>
          </wp:inline>
        </w:drawing>
      </w:r>
      <w:r>
        <w:rPr>
          <w:color w:val="auto"/>
        </w:rPr>
        <w:drawing>
          <wp:inline distT="0" distB="0" distL="114300" distR="114300">
            <wp:extent cx="5219700" cy="7019925"/>
            <wp:effectExtent l="0" t="0" r="0" b="9525"/>
            <wp:docPr id="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pic:cNvPicPr>
                      <a:picLocks noChangeAspect="1"/>
                    </pic:cNvPicPr>
                  </pic:nvPicPr>
                  <pic:blipFill>
                    <a:blip r:embed="rId39"/>
                    <a:stretch>
                      <a:fillRect/>
                    </a:stretch>
                  </pic:blipFill>
                  <pic:spPr>
                    <a:xfrm>
                      <a:off x="0" y="0"/>
                      <a:ext cx="5219700" cy="7019925"/>
                    </a:xfrm>
                    <a:prstGeom prst="rect">
                      <a:avLst/>
                    </a:prstGeom>
                    <a:noFill/>
                    <a:ln>
                      <a:noFill/>
                    </a:ln>
                  </pic:spPr>
                </pic:pic>
              </a:graphicData>
            </a:graphic>
          </wp:inline>
        </w:drawing>
      </w:r>
      <w:r>
        <w:rPr>
          <w:color w:val="auto"/>
        </w:rPr>
        <w:drawing>
          <wp:inline distT="0" distB="0" distL="114300" distR="114300">
            <wp:extent cx="5268595" cy="7099935"/>
            <wp:effectExtent l="0" t="0" r="8255" b="5715"/>
            <wp:docPr id="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9"/>
                    <pic:cNvPicPr>
                      <a:picLocks noChangeAspect="1"/>
                    </pic:cNvPicPr>
                  </pic:nvPicPr>
                  <pic:blipFill>
                    <a:blip r:embed="rId40"/>
                    <a:stretch>
                      <a:fillRect/>
                    </a:stretch>
                  </pic:blipFill>
                  <pic:spPr>
                    <a:xfrm>
                      <a:off x="0" y="0"/>
                      <a:ext cx="5268595" cy="7099935"/>
                    </a:xfrm>
                    <a:prstGeom prst="rect">
                      <a:avLst/>
                    </a:prstGeom>
                    <a:noFill/>
                    <a:ln>
                      <a:noFill/>
                    </a:ln>
                  </pic:spPr>
                </pic:pic>
              </a:graphicData>
            </a:graphic>
          </wp:inline>
        </w:drawing>
      </w:r>
      <w:r>
        <w:rPr>
          <w:color w:val="auto"/>
        </w:rPr>
        <w:drawing>
          <wp:inline distT="0" distB="0" distL="114300" distR="114300">
            <wp:extent cx="5264785" cy="7464425"/>
            <wp:effectExtent l="0" t="0" r="12065" b="3175"/>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41"/>
                    <a:stretch>
                      <a:fillRect/>
                    </a:stretch>
                  </pic:blipFill>
                  <pic:spPr>
                    <a:xfrm>
                      <a:off x="0" y="0"/>
                      <a:ext cx="5264785" cy="7464425"/>
                    </a:xfrm>
                    <a:prstGeom prst="rect">
                      <a:avLst/>
                    </a:prstGeom>
                    <a:noFill/>
                    <a:ln>
                      <a:noFill/>
                    </a:ln>
                  </pic:spPr>
                </pic:pic>
              </a:graphicData>
            </a:graphic>
          </wp:inline>
        </w:drawing>
      </w:r>
      <w:r>
        <w:rPr>
          <w:color w:val="auto"/>
        </w:rPr>
        <w:drawing>
          <wp:inline distT="0" distB="0" distL="114300" distR="114300">
            <wp:extent cx="5264785" cy="7491730"/>
            <wp:effectExtent l="0" t="0" r="12065" b="13970"/>
            <wp:docPr id="3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pic:cNvPicPr>
                      <a:picLocks noChangeAspect="1"/>
                    </pic:cNvPicPr>
                  </pic:nvPicPr>
                  <pic:blipFill>
                    <a:blip r:embed="rId42"/>
                    <a:stretch>
                      <a:fillRect/>
                    </a:stretch>
                  </pic:blipFill>
                  <pic:spPr>
                    <a:xfrm>
                      <a:off x="0" y="0"/>
                      <a:ext cx="5264785" cy="7491730"/>
                    </a:xfrm>
                    <a:prstGeom prst="rect">
                      <a:avLst/>
                    </a:prstGeom>
                    <a:noFill/>
                    <a:ln>
                      <a:noFill/>
                    </a:ln>
                  </pic:spPr>
                </pic:pic>
              </a:graphicData>
            </a:graphic>
          </wp:inline>
        </w:drawing>
      </w:r>
      <w:r>
        <w:rPr>
          <w:color w:val="auto"/>
        </w:rPr>
        <w:drawing>
          <wp:inline distT="0" distB="0" distL="114300" distR="114300">
            <wp:extent cx="5293995" cy="7416165"/>
            <wp:effectExtent l="0" t="0" r="1905" b="13335"/>
            <wp:docPr id="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2"/>
                    <pic:cNvPicPr>
                      <a:picLocks noChangeAspect="1"/>
                    </pic:cNvPicPr>
                  </pic:nvPicPr>
                  <pic:blipFill>
                    <a:blip r:embed="rId43"/>
                    <a:stretch>
                      <a:fillRect/>
                    </a:stretch>
                  </pic:blipFill>
                  <pic:spPr>
                    <a:xfrm>
                      <a:off x="0" y="0"/>
                      <a:ext cx="5293995" cy="7416165"/>
                    </a:xfrm>
                    <a:prstGeom prst="rect">
                      <a:avLst/>
                    </a:prstGeom>
                    <a:noFill/>
                    <a:ln>
                      <a:noFill/>
                    </a:ln>
                  </pic:spPr>
                </pic:pic>
              </a:graphicData>
            </a:graphic>
          </wp:inline>
        </w:drawing>
      </w:r>
      <w:r>
        <w:rPr>
          <w:color w:val="auto"/>
        </w:rPr>
        <w:drawing>
          <wp:inline distT="0" distB="0" distL="114300" distR="114300">
            <wp:extent cx="5285105" cy="7451725"/>
            <wp:effectExtent l="0" t="0" r="10795" b="15875"/>
            <wp:docPr id="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3"/>
                    <pic:cNvPicPr>
                      <a:picLocks noChangeAspect="1"/>
                    </pic:cNvPicPr>
                  </pic:nvPicPr>
                  <pic:blipFill>
                    <a:blip r:embed="rId44"/>
                    <a:stretch>
                      <a:fillRect/>
                    </a:stretch>
                  </pic:blipFill>
                  <pic:spPr>
                    <a:xfrm>
                      <a:off x="0" y="0"/>
                      <a:ext cx="5285105" cy="7451725"/>
                    </a:xfrm>
                    <a:prstGeom prst="rect">
                      <a:avLst/>
                    </a:prstGeom>
                    <a:noFill/>
                    <a:ln>
                      <a:noFill/>
                    </a:ln>
                  </pic:spPr>
                </pic:pic>
              </a:graphicData>
            </a:graphic>
          </wp:inline>
        </w:drawing>
      </w:r>
    </w:p>
    <w:p>
      <w:pPr>
        <w:pStyle w:val="4"/>
        <w:spacing w:line="360" w:lineRule="auto"/>
        <w:jc w:val="both"/>
        <w:rPr>
          <w:rFonts w:eastAsia="宋体"/>
          <w:color w:val="auto"/>
        </w:rPr>
      </w:pPr>
      <w:bookmarkStart w:id="47" w:name="_Toc213108138"/>
      <w:r>
        <w:rPr>
          <w:rFonts w:hint="eastAsia" w:eastAsia="宋体"/>
          <w:color w:val="auto"/>
        </w:rPr>
        <w:t>附件</w:t>
      </w:r>
      <w:r>
        <w:rPr>
          <w:rFonts w:hint="eastAsia" w:eastAsia="宋体"/>
          <w:color w:val="auto"/>
          <w:lang w:val="en-US" w:eastAsia="zh-CN"/>
        </w:rPr>
        <w:t>6</w:t>
      </w:r>
      <w:r>
        <w:rPr>
          <w:rFonts w:hint="eastAsia" w:eastAsia="宋体"/>
          <w:color w:val="auto"/>
        </w:rPr>
        <w:t xml:space="preserve"> 环境质量现状监测报告</w:t>
      </w:r>
      <w:bookmarkEnd w:id="47"/>
    </w:p>
    <w:p>
      <w:pPr>
        <w:ind w:firstLine="0" w:firstLineChars="0"/>
        <w:jc w:val="center"/>
        <w:rPr>
          <w:color w:val="auto"/>
        </w:rPr>
        <w:sectPr>
          <w:pgSz w:w="11906" w:h="16838"/>
          <w:pgMar w:top="1440" w:right="1803" w:bottom="1440" w:left="1803" w:header="851" w:footer="992" w:gutter="0"/>
          <w:cols w:space="0" w:num="1"/>
          <w:docGrid w:type="lines" w:linePitch="332" w:charSpace="0"/>
        </w:sectPr>
      </w:pPr>
    </w:p>
    <w:p>
      <w:pPr>
        <w:pStyle w:val="4"/>
        <w:pageBreakBefore w:val="0"/>
        <w:widowControl w:val="0"/>
        <w:kinsoku/>
        <w:wordWrap/>
        <w:overflowPunct/>
        <w:topLinePunct w:val="0"/>
        <w:autoSpaceDE/>
        <w:autoSpaceDN/>
        <w:bidi w:val="0"/>
        <w:spacing w:line="240" w:lineRule="auto"/>
        <w:jc w:val="both"/>
        <w:textAlignment w:val="auto"/>
        <w:rPr>
          <w:rFonts w:eastAsia="宋体"/>
          <w:color w:val="auto"/>
        </w:rPr>
      </w:pPr>
      <w:bookmarkStart w:id="48" w:name="_Toc213108139"/>
      <w:r>
        <w:rPr>
          <w:rFonts w:hint="eastAsia" w:eastAsia="宋体"/>
          <w:color w:val="auto"/>
        </w:rPr>
        <w:t>附件</w:t>
      </w:r>
      <w:r>
        <w:rPr>
          <w:rFonts w:hint="eastAsia" w:eastAsia="宋体"/>
          <w:color w:val="auto"/>
          <w:lang w:val="en-US" w:eastAsia="zh-CN"/>
        </w:rPr>
        <w:t>7</w:t>
      </w:r>
      <w:r>
        <w:rPr>
          <w:rFonts w:hint="eastAsia" w:eastAsia="宋体"/>
          <w:color w:val="auto"/>
        </w:rPr>
        <w:t xml:space="preserve"> 现有项目沼气检测报告</w:t>
      </w:r>
      <w:bookmarkEnd w:id="48"/>
    </w:p>
    <w:p>
      <w:pPr>
        <w:pageBreakBefore w:val="0"/>
        <w:widowControl w:val="0"/>
        <w:kinsoku/>
        <w:wordWrap/>
        <w:overflowPunct/>
        <w:topLinePunct w:val="0"/>
        <w:autoSpaceDE/>
        <w:autoSpaceDN/>
        <w:bidi w:val="0"/>
        <w:spacing w:line="240" w:lineRule="auto"/>
        <w:ind w:firstLine="0" w:firstLineChars="0"/>
        <w:textAlignment w:val="auto"/>
        <w:rPr>
          <w:rFonts w:hint="eastAsia"/>
          <w:color w:val="auto"/>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rPr>
        <w:sectPr>
          <w:pgSz w:w="11906" w:h="16838"/>
          <w:pgMar w:top="1440" w:right="1803" w:bottom="1440" w:left="1803" w:header="851" w:footer="992" w:gutter="0"/>
          <w:cols w:space="0" w:num="1"/>
          <w:docGrid w:type="lines" w:linePitch="332" w:charSpace="0"/>
        </w:sectPr>
      </w:pPr>
      <w:r>
        <w:rPr>
          <w:color w:val="auto"/>
        </w:rPr>
        <w:drawing>
          <wp:inline distT="0" distB="0" distL="114300" distR="114300">
            <wp:extent cx="5172075" cy="7505700"/>
            <wp:effectExtent l="0" t="0" r="9525"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45"/>
                    <a:stretch>
                      <a:fillRect/>
                    </a:stretch>
                  </pic:blipFill>
                  <pic:spPr>
                    <a:xfrm>
                      <a:off x="0" y="0"/>
                      <a:ext cx="5172075" cy="7505700"/>
                    </a:xfrm>
                    <a:prstGeom prst="rect">
                      <a:avLst/>
                    </a:prstGeom>
                    <a:noFill/>
                    <a:ln>
                      <a:noFill/>
                    </a:ln>
                  </pic:spPr>
                </pic:pic>
              </a:graphicData>
            </a:graphic>
          </wp:inline>
        </w:drawing>
      </w:r>
      <w:r>
        <w:rPr>
          <w:color w:val="auto"/>
        </w:rPr>
        <w:drawing>
          <wp:inline distT="0" distB="0" distL="114300" distR="114300">
            <wp:extent cx="5257800" cy="7448550"/>
            <wp:effectExtent l="0" t="0" r="0" b="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46"/>
                    <a:stretch>
                      <a:fillRect/>
                    </a:stretch>
                  </pic:blipFill>
                  <pic:spPr>
                    <a:xfrm>
                      <a:off x="0" y="0"/>
                      <a:ext cx="5257800" cy="7448550"/>
                    </a:xfrm>
                    <a:prstGeom prst="rect">
                      <a:avLst/>
                    </a:prstGeom>
                    <a:noFill/>
                    <a:ln>
                      <a:noFill/>
                    </a:ln>
                  </pic:spPr>
                </pic:pic>
              </a:graphicData>
            </a:graphic>
          </wp:inline>
        </w:drawing>
      </w:r>
      <w:r>
        <w:rPr>
          <w:color w:val="auto"/>
        </w:rPr>
        <w:drawing>
          <wp:inline distT="0" distB="0" distL="114300" distR="114300">
            <wp:extent cx="5248275" cy="7400925"/>
            <wp:effectExtent l="0" t="0" r="9525" b="952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47"/>
                    <a:stretch>
                      <a:fillRect/>
                    </a:stretch>
                  </pic:blipFill>
                  <pic:spPr>
                    <a:xfrm>
                      <a:off x="0" y="0"/>
                      <a:ext cx="5248275" cy="7400925"/>
                    </a:xfrm>
                    <a:prstGeom prst="rect">
                      <a:avLst/>
                    </a:prstGeom>
                    <a:noFill/>
                    <a:ln>
                      <a:noFill/>
                    </a:ln>
                  </pic:spPr>
                </pic:pic>
              </a:graphicData>
            </a:graphic>
          </wp:inline>
        </w:drawing>
      </w:r>
    </w:p>
    <w:p>
      <w:pPr>
        <w:pStyle w:val="4"/>
        <w:spacing w:line="360" w:lineRule="auto"/>
        <w:jc w:val="both"/>
        <w:rPr>
          <w:rFonts w:eastAsia="宋体"/>
          <w:color w:val="auto"/>
        </w:rPr>
      </w:pPr>
      <w:bookmarkStart w:id="49" w:name="_Toc213108140"/>
      <w:bookmarkStart w:id="50" w:name="_Toc15839"/>
      <w:r>
        <w:rPr>
          <w:rFonts w:hint="eastAsia" w:eastAsia="宋体"/>
          <w:color w:val="auto"/>
        </w:rPr>
        <w:t>附件</w:t>
      </w:r>
      <w:r>
        <w:rPr>
          <w:rFonts w:hint="eastAsia" w:eastAsia="宋体"/>
          <w:color w:val="auto"/>
          <w:lang w:val="en-US" w:eastAsia="zh-CN"/>
        </w:rPr>
        <w:t>8</w:t>
      </w:r>
      <w:r>
        <w:rPr>
          <w:rFonts w:hint="eastAsia" w:eastAsia="宋体"/>
          <w:color w:val="auto"/>
        </w:rPr>
        <w:t xml:space="preserve"> 专家评审意见</w:t>
      </w:r>
      <w:bookmarkEnd w:id="49"/>
    </w:p>
    <w:p>
      <w:pPr>
        <w:ind w:firstLine="0" w:firstLineChars="0"/>
        <w:jc w:val="center"/>
        <w:rPr>
          <w:color w:val="auto"/>
        </w:rPr>
      </w:pPr>
    </w:p>
    <w:p>
      <w:pPr>
        <w:ind w:firstLine="0" w:firstLineChars="0"/>
        <w:jc w:val="center"/>
        <w:rPr>
          <w:color w:val="auto"/>
        </w:rPr>
        <w:sectPr>
          <w:pgSz w:w="11906" w:h="16838"/>
          <w:pgMar w:top="1440" w:right="1803" w:bottom="1440" w:left="1803" w:header="851" w:footer="992" w:gutter="0"/>
          <w:cols w:space="0" w:num="1"/>
          <w:docGrid w:type="lines" w:linePitch="332" w:charSpace="0"/>
        </w:sectPr>
      </w:pPr>
    </w:p>
    <w:p>
      <w:pPr>
        <w:pStyle w:val="4"/>
        <w:spacing w:line="360" w:lineRule="auto"/>
        <w:jc w:val="both"/>
        <w:rPr>
          <w:rFonts w:eastAsia="宋体"/>
          <w:color w:val="auto"/>
        </w:rPr>
      </w:pPr>
      <w:bookmarkStart w:id="51" w:name="_Toc213108141"/>
      <w:r>
        <w:rPr>
          <w:rFonts w:hint="eastAsia" w:eastAsia="宋体"/>
          <w:color w:val="auto"/>
        </w:rPr>
        <w:t>附件</w:t>
      </w:r>
      <w:r>
        <w:rPr>
          <w:rFonts w:hint="eastAsia" w:eastAsia="宋体"/>
          <w:color w:val="auto"/>
          <w:lang w:val="en-US" w:eastAsia="zh-CN"/>
        </w:rPr>
        <w:t>9</w:t>
      </w:r>
      <w:r>
        <w:rPr>
          <w:rFonts w:hint="eastAsia" w:eastAsia="宋体"/>
          <w:color w:val="auto"/>
        </w:rPr>
        <w:t xml:space="preserve"> 专家签到表</w:t>
      </w:r>
      <w:bookmarkEnd w:id="50"/>
      <w:bookmarkEnd w:id="51"/>
    </w:p>
    <w:p>
      <w:pPr>
        <w:ind w:firstLine="0" w:firstLineChars="0"/>
        <w:jc w:val="center"/>
        <w:rPr>
          <w:color w:val="auto"/>
        </w:rPr>
        <w:sectPr>
          <w:pgSz w:w="16838" w:h="11906" w:orient="landscape"/>
          <w:pgMar w:top="1803" w:right="1440" w:bottom="1803" w:left="1440" w:header="851" w:footer="992" w:gutter="0"/>
          <w:cols w:space="0" w:num="1"/>
          <w:docGrid w:type="lines" w:linePitch="332" w:charSpace="0"/>
        </w:sectPr>
      </w:pPr>
    </w:p>
    <w:p>
      <w:pPr>
        <w:pStyle w:val="4"/>
        <w:spacing w:line="360" w:lineRule="auto"/>
        <w:jc w:val="both"/>
        <w:rPr>
          <w:rFonts w:hint="eastAsia" w:eastAsia="宋体"/>
          <w:color w:val="auto"/>
        </w:rPr>
      </w:pPr>
      <w:bookmarkStart w:id="52" w:name="_Toc213108142"/>
      <w:bookmarkStart w:id="53" w:name="_Toc10337"/>
      <w:r>
        <w:rPr>
          <w:rFonts w:hint="eastAsia" w:eastAsia="宋体"/>
          <w:color w:val="auto"/>
        </w:rPr>
        <w:t>附件1</w:t>
      </w:r>
      <w:r>
        <w:rPr>
          <w:rFonts w:hint="eastAsia" w:eastAsia="宋体"/>
          <w:color w:val="auto"/>
          <w:lang w:val="en-US" w:eastAsia="zh-CN"/>
        </w:rPr>
        <w:t>0</w:t>
      </w:r>
      <w:r>
        <w:rPr>
          <w:rFonts w:hint="eastAsia" w:eastAsia="宋体"/>
          <w:color w:val="auto"/>
        </w:rPr>
        <w:t xml:space="preserve"> 日常考核专家意见</w:t>
      </w:r>
      <w:bookmarkEnd w:id="52"/>
      <w:bookmarkEnd w:id="53"/>
    </w:p>
    <w:sectPr>
      <w:pgSz w:w="11906" w:h="16838"/>
      <w:pgMar w:top="1440" w:right="1803" w:bottom="1440" w:left="1803" w:header="851" w:footer="992" w:gutter="0"/>
      <w:cols w:space="0" w:num="1"/>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_GB2312">
    <w:altName w:val="宋体"/>
    <w:panose1 w:val="00000000000000000000"/>
    <w:charset w:val="86"/>
    <w:family w:val="modern"/>
    <w:pitch w:val="default"/>
    <w:sig w:usb0="00000000" w:usb1="00000000" w:usb2="00000000" w:usb3="00000000" w:csb0="00040000" w:csb1="00000000"/>
  </w:font>
  <w:font w:name="方正小标宋_GBK">
    <w:altName w:val="宋体"/>
    <w:panose1 w:val="00000000000000000000"/>
    <w:charset w:val="86"/>
    <w:family w:val="script"/>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华文仿宋">
    <w:altName w:val="仿宋"/>
    <w:panose1 w:val="02010600040101010101"/>
    <w:charset w:val="86"/>
    <w:family w:val="auto"/>
    <w:pitch w:val="default"/>
    <w:sig w:usb0="00000000" w:usb1="00000000" w:usb2="00000010" w:usb3="00000000" w:csb0="0004009F" w:csb1="0000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楷体">
    <w:panose1 w:val="02010609060101010101"/>
    <w:charset w:val="86"/>
    <w:family w:val="auto"/>
    <w:pitch w:val="default"/>
    <w:sig w:usb0="800002BF" w:usb1="38CF7CFA" w:usb2="00000016" w:usb3="00000000" w:csb0="00040001"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ind w:firstLine="480"/>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pPr>
                      <w:tabs>
                        <w:tab w:val="center" w:pos="4153"/>
                        <w:tab w:val="right" w:pos="8306"/>
                      </w:tabs>
                      <w:ind w:firstLine="480"/>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420"/>
      <w:jc w:val="center"/>
      <w:rPr>
        <w:sz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420"/>
      <w:jc w:val="center"/>
      <w:rPr>
        <w:sz w:val="21"/>
      </w:rP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0" w:firstLineChars="0"/>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E1eNA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sTV40CwCAABXBAAADgAAAAAAAAABACAAAAAfAQAAZHJzL2Uyb0RvYy54bWxQSwUGAAAAAAYA&#10;BgBZAQAAvQUAAAAA&#10;">
              <v:fill on="f" focussize="0,0"/>
              <v:stroke on="f" weight="0.5pt"/>
              <v:imagedata o:title=""/>
              <o:lock v:ext="edit" aspectratio="f"/>
              <v:textbox inset="0mm,0mm,0mm,0mm" style="mso-fit-shape-to-text:t;">
                <w:txbxContent>
                  <w:p>
                    <w:pPr>
                      <w:ind w:firstLine="0" w:firstLineChars="0"/>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480"/>
                          </w:pPr>
                          <w:r>
                            <w:fldChar w:fldCharType="begin"/>
                          </w:r>
                          <w:r>
                            <w:instrText xml:space="preserve"> PAGE  \* MERGEFORMAT </w:instrText>
                          </w:r>
                          <w:r>
                            <w:fldChar w:fldCharType="separate"/>
                          </w:r>
                          <w:r>
                            <w:rPr>
                              <w:rFonts w:hint="eastAsia"/>
                            </w:rPr>
                            <w:t>47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Qpd1gtAgAAW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Qpd1gtAgAAWQQAAA4AAAAAAAAAAQAgAAAAHwEAAGRycy9lMm9Eb2MueG1sUEsFBgAAAAAG&#10;AAYAWQEAAL4FAAAAAA==&#10;">
              <v:fill on="f" focussize="0,0"/>
              <v:stroke on="f" weight="0.5pt"/>
              <v:imagedata o:title=""/>
              <o:lock v:ext="edit" aspectratio="f"/>
              <v:textbox inset="0mm,0mm,0mm,0mm" style="mso-fit-shape-to-text:t;">
                <w:txbxContent>
                  <w:p>
                    <w:pPr>
                      <w:ind w:firstLine="480"/>
                    </w:pPr>
                    <w:r>
                      <w:fldChar w:fldCharType="begin"/>
                    </w:r>
                    <w:r>
                      <w:instrText xml:space="preserve"> PAGE  \* MERGEFORMAT </w:instrText>
                    </w:r>
                    <w:r>
                      <w:fldChar w:fldCharType="separate"/>
                    </w:r>
                    <w:r>
                      <w:rPr>
                        <w:rFonts w:hint="eastAsia"/>
                      </w:rPr>
                      <w:t>47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FD2483"/>
    <w:multiLevelType w:val="singleLevel"/>
    <w:tmpl w:val="99FD2483"/>
    <w:lvl w:ilvl="0" w:tentative="0">
      <w:start w:val="4"/>
      <w:numFmt w:val="decimal"/>
      <w:suff w:val="nothing"/>
      <w:lvlText w:val="（%1）"/>
      <w:lvlJc w:val="left"/>
    </w:lvl>
  </w:abstractNum>
  <w:abstractNum w:abstractNumId="1">
    <w:nsid w:val="1866B7DB"/>
    <w:multiLevelType w:val="singleLevel"/>
    <w:tmpl w:val="1866B7DB"/>
    <w:lvl w:ilvl="0" w:tentative="0">
      <w:start w:val="2"/>
      <w:numFmt w:val="decimal"/>
      <w:suff w:val="nothing"/>
      <w:lvlText w:val="（%1）"/>
      <w:lvlJc w:val="left"/>
    </w:lvl>
  </w:abstractNum>
  <w:abstractNum w:abstractNumId="2">
    <w:nsid w:val="5AC866AD"/>
    <w:multiLevelType w:val="multilevel"/>
    <w:tmpl w:val="5AC866AD"/>
    <w:lvl w:ilvl="0" w:tentative="0">
      <w:start w:val="1"/>
      <w:numFmt w:val="decimalEnclosedCircle"/>
      <w:lvlText w:val="%1"/>
      <w:lvlJc w:val="left"/>
      <w:pPr>
        <w:ind w:left="840" w:hanging="360"/>
      </w:pPr>
      <w:rPr>
        <w:rFonts w:hint="default" w:ascii="宋体" w:hAnsi="宋体" w:cs="宋体"/>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3">
    <w:nsid w:val="5EAD4F48"/>
    <w:multiLevelType w:val="multilevel"/>
    <w:tmpl w:val="5EAD4F48"/>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420"/>
  <w:drawingGridVerticalSpacing w:val="16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IzOWY2Y2I5NDJjYWRlN2MzZWNlZmYyZWU2ZjE1NGIifQ=="/>
  </w:docVars>
  <w:rsids>
    <w:rsidRoot w:val="00172A27"/>
    <w:rsid w:val="000142AC"/>
    <w:rsid w:val="000667E4"/>
    <w:rsid w:val="001107D1"/>
    <w:rsid w:val="00172A27"/>
    <w:rsid w:val="001734AA"/>
    <w:rsid w:val="00191F61"/>
    <w:rsid w:val="001D3A6E"/>
    <w:rsid w:val="00266ED0"/>
    <w:rsid w:val="00270BE1"/>
    <w:rsid w:val="00276E33"/>
    <w:rsid w:val="00295E61"/>
    <w:rsid w:val="002C3BC7"/>
    <w:rsid w:val="002C5F30"/>
    <w:rsid w:val="002E75DF"/>
    <w:rsid w:val="00363EF1"/>
    <w:rsid w:val="003A582C"/>
    <w:rsid w:val="003C28DE"/>
    <w:rsid w:val="00413113"/>
    <w:rsid w:val="00466AD7"/>
    <w:rsid w:val="00494C56"/>
    <w:rsid w:val="00522102"/>
    <w:rsid w:val="00523EB0"/>
    <w:rsid w:val="00534439"/>
    <w:rsid w:val="00583558"/>
    <w:rsid w:val="00586FEC"/>
    <w:rsid w:val="005C088A"/>
    <w:rsid w:val="00605016"/>
    <w:rsid w:val="00643BE3"/>
    <w:rsid w:val="006805CB"/>
    <w:rsid w:val="00704336"/>
    <w:rsid w:val="00726300"/>
    <w:rsid w:val="00732078"/>
    <w:rsid w:val="0076664C"/>
    <w:rsid w:val="007A6F63"/>
    <w:rsid w:val="007B233E"/>
    <w:rsid w:val="008B20D4"/>
    <w:rsid w:val="00943975"/>
    <w:rsid w:val="009B7885"/>
    <w:rsid w:val="00A262C3"/>
    <w:rsid w:val="00A348A3"/>
    <w:rsid w:val="00AA65B5"/>
    <w:rsid w:val="00B12BC5"/>
    <w:rsid w:val="00B22269"/>
    <w:rsid w:val="00B25A44"/>
    <w:rsid w:val="00B34FD9"/>
    <w:rsid w:val="00B51202"/>
    <w:rsid w:val="00B62F33"/>
    <w:rsid w:val="00B87A8B"/>
    <w:rsid w:val="00BF317E"/>
    <w:rsid w:val="00C823C4"/>
    <w:rsid w:val="00C84172"/>
    <w:rsid w:val="00CD79DA"/>
    <w:rsid w:val="00D04926"/>
    <w:rsid w:val="00D64775"/>
    <w:rsid w:val="00D81084"/>
    <w:rsid w:val="00D83C7D"/>
    <w:rsid w:val="00E10ED3"/>
    <w:rsid w:val="00E13127"/>
    <w:rsid w:val="00E30FAC"/>
    <w:rsid w:val="00E63BF2"/>
    <w:rsid w:val="00EF45B7"/>
    <w:rsid w:val="00F05477"/>
    <w:rsid w:val="00F1191B"/>
    <w:rsid w:val="00F45053"/>
    <w:rsid w:val="00F9440E"/>
    <w:rsid w:val="00FC206D"/>
    <w:rsid w:val="00FD203C"/>
    <w:rsid w:val="01001B5E"/>
    <w:rsid w:val="011473B7"/>
    <w:rsid w:val="011837C3"/>
    <w:rsid w:val="01225E03"/>
    <w:rsid w:val="012E467C"/>
    <w:rsid w:val="012F41F1"/>
    <w:rsid w:val="01311D17"/>
    <w:rsid w:val="0136557F"/>
    <w:rsid w:val="01460128"/>
    <w:rsid w:val="014621AF"/>
    <w:rsid w:val="014B1603"/>
    <w:rsid w:val="014D28C9"/>
    <w:rsid w:val="015A6C07"/>
    <w:rsid w:val="01634AB8"/>
    <w:rsid w:val="016519C1"/>
    <w:rsid w:val="01657C13"/>
    <w:rsid w:val="01712F37"/>
    <w:rsid w:val="01826A17"/>
    <w:rsid w:val="01830A06"/>
    <w:rsid w:val="01855ED4"/>
    <w:rsid w:val="01863F3E"/>
    <w:rsid w:val="019674B7"/>
    <w:rsid w:val="01973B44"/>
    <w:rsid w:val="01981D96"/>
    <w:rsid w:val="019D55FE"/>
    <w:rsid w:val="01A06F09"/>
    <w:rsid w:val="01A324E9"/>
    <w:rsid w:val="01A47FC5"/>
    <w:rsid w:val="01A7022B"/>
    <w:rsid w:val="01AB63B3"/>
    <w:rsid w:val="01AF359B"/>
    <w:rsid w:val="01B0049B"/>
    <w:rsid w:val="01B0177E"/>
    <w:rsid w:val="01BF5783"/>
    <w:rsid w:val="01C50C99"/>
    <w:rsid w:val="01C81F50"/>
    <w:rsid w:val="01CA0989"/>
    <w:rsid w:val="01CC7C92"/>
    <w:rsid w:val="01D0547E"/>
    <w:rsid w:val="01D31020"/>
    <w:rsid w:val="01D34B7C"/>
    <w:rsid w:val="01D90B26"/>
    <w:rsid w:val="01E16896"/>
    <w:rsid w:val="01E40A42"/>
    <w:rsid w:val="01E53899"/>
    <w:rsid w:val="01EA0118"/>
    <w:rsid w:val="01F82835"/>
    <w:rsid w:val="02054F52"/>
    <w:rsid w:val="020C008E"/>
    <w:rsid w:val="020C4532"/>
    <w:rsid w:val="02135010"/>
    <w:rsid w:val="021B0C3E"/>
    <w:rsid w:val="021C60FD"/>
    <w:rsid w:val="021D70DF"/>
    <w:rsid w:val="021F4265"/>
    <w:rsid w:val="025008C3"/>
    <w:rsid w:val="02502671"/>
    <w:rsid w:val="02511F45"/>
    <w:rsid w:val="02551ABA"/>
    <w:rsid w:val="0262557B"/>
    <w:rsid w:val="02682B2A"/>
    <w:rsid w:val="02783976"/>
    <w:rsid w:val="027C3466"/>
    <w:rsid w:val="028B36A9"/>
    <w:rsid w:val="02940EEB"/>
    <w:rsid w:val="02991C12"/>
    <w:rsid w:val="029D33DC"/>
    <w:rsid w:val="02A242C8"/>
    <w:rsid w:val="02A33EF4"/>
    <w:rsid w:val="02A91D81"/>
    <w:rsid w:val="02A9449A"/>
    <w:rsid w:val="02B10067"/>
    <w:rsid w:val="02C11E20"/>
    <w:rsid w:val="02D068C5"/>
    <w:rsid w:val="02D212D8"/>
    <w:rsid w:val="02D563DB"/>
    <w:rsid w:val="02DD12AE"/>
    <w:rsid w:val="02E01C88"/>
    <w:rsid w:val="02EC17A0"/>
    <w:rsid w:val="02ED1C6E"/>
    <w:rsid w:val="02FB3EF3"/>
    <w:rsid w:val="02FC1009"/>
    <w:rsid w:val="03060470"/>
    <w:rsid w:val="03096CD6"/>
    <w:rsid w:val="030A0A72"/>
    <w:rsid w:val="030D2310"/>
    <w:rsid w:val="0318693E"/>
    <w:rsid w:val="031C2E9A"/>
    <w:rsid w:val="031F2043"/>
    <w:rsid w:val="03241A2B"/>
    <w:rsid w:val="032D516F"/>
    <w:rsid w:val="032D650E"/>
    <w:rsid w:val="0334789D"/>
    <w:rsid w:val="033C0D43"/>
    <w:rsid w:val="033F6241"/>
    <w:rsid w:val="03404493"/>
    <w:rsid w:val="034C108A"/>
    <w:rsid w:val="03561F09"/>
    <w:rsid w:val="03567E23"/>
    <w:rsid w:val="03595555"/>
    <w:rsid w:val="035A3DC7"/>
    <w:rsid w:val="035D3297"/>
    <w:rsid w:val="03653EFA"/>
    <w:rsid w:val="036C4650"/>
    <w:rsid w:val="03716D43"/>
    <w:rsid w:val="0374422E"/>
    <w:rsid w:val="037C7496"/>
    <w:rsid w:val="03874A2A"/>
    <w:rsid w:val="038E7E58"/>
    <w:rsid w:val="039842CF"/>
    <w:rsid w:val="03996320"/>
    <w:rsid w:val="039B5B6E"/>
    <w:rsid w:val="03A30A78"/>
    <w:rsid w:val="03AA4003"/>
    <w:rsid w:val="03B43D86"/>
    <w:rsid w:val="03B76871"/>
    <w:rsid w:val="03BA435F"/>
    <w:rsid w:val="03D52D80"/>
    <w:rsid w:val="03D54953"/>
    <w:rsid w:val="03D70B20"/>
    <w:rsid w:val="03E272F9"/>
    <w:rsid w:val="03E56DE9"/>
    <w:rsid w:val="03E70DB3"/>
    <w:rsid w:val="03E9435F"/>
    <w:rsid w:val="03EF1A15"/>
    <w:rsid w:val="03F00F1E"/>
    <w:rsid w:val="03F52E4D"/>
    <w:rsid w:val="03F82FC0"/>
    <w:rsid w:val="03F86B1C"/>
    <w:rsid w:val="040B7F24"/>
    <w:rsid w:val="04182E27"/>
    <w:rsid w:val="041A2F36"/>
    <w:rsid w:val="042D760F"/>
    <w:rsid w:val="042E3CD4"/>
    <w:rsid w:val="042F62B6"/>
    <w:rsid w:val="043153AE"/>
    <w:rsid w:val="04387860"/>
    <w:rsid w:val="045E7AFB"/>
    <w:rsid w:val="04620439"/>
    <w:rsid w:val="04642403"/>
    <w:rsid w:val="047201D0"/>
    <w:rsid w:val="04732647"/>
    <w:rsid w:val="047563BF"/>
    <w:rsid w:val="047A31BD"/>
    <w:rsid w:val="049F51EA"/>
    <w:rsid w:val="04A10F62"/>
    <w:rsid w:val="04A63ABD"/>
    <w:rsid w:val="04AB0032"/>
    <w:rsid w:val="04AC7907"/>
    <w:rsid w:val="04B2485C"/>
    <w:rsid w:val="04BD1516"/>
    <w:rsid w:val="04C74740"/>
    <w:rsid w:val="04C82CD0"/>
    <w:rsid w:val="04CB5FDF"/>
    <w:rsid w:val="04D53E12"/>
    <w:rsid w:val="04D5688A"/>
    <w:rsid w:val="04DA26C6"/>
    <w:rsid w:val="04E17939"/>
    <w:rsid w:val="04F47116"/>
    <w:rsid w:val="04FB47EF"/>
    <w:rsid w:val="05031C1C"/>
    <w:rsid w:val="05077628"/>
    <w:rsid w:val="050E411D"/>
    <w:rsid w:val="050F1C5D"/>
    <w:rsid w:val="050F6813"/>
    <w:rsid w:val="0512137B"/>
    <w:rsid w:val="0512669F"/>
    <w:rsid w:val="05166BE7"/>
    <w:rsid w:val="0518118F"/>
    <w:rsid w:val="052213B6"/>
    <w:rsid w:val="053A4F12"/>
    <w:rsid w:val="053B16C5"/>
    <w:rsid w:val="053E0EA6"/>
    <w:rsid w:val="053F69CD"/>
    <w:rsid w:val="05467C14"/>
    <w:rsid w:val="054D1803"/>
    <w:rsid w:val="055C30DB"/>
    <w:rsid w:val="056205D6"/>
    <w:rsid w:val="05726DA2"/>
    <w:rsid w:val="05776876"/>
    <w:rsid w:val="057C19CF"/>
    <w:rsid w:val="057D1AFC"/>
    <w:rsid w:val="058014BF"/>
    <w:rsid w:val="058212B9"/>
    <w:rsid w:val="05874960"/>
    <w:rsid w:val="058F34B0"/>
    <w:rsid w:val="05A20840"/>
    <w:rsid w:val="05A36F5B"/>
    <w:rsid w:val="05A90A29"/>
    <w:rsid w:val="05AF5900"/>
    <w:rsid w:val="05BC1DD4"/>
    <w:rsid w:val="05BD626F"/>
    <w:rsid w:val="05BE457B"/>
    <w:rsid w:val="05BE78F1"/>
    <w:rsid w:val="05C41034"/>
    <w:rsid w:val="05C53620"/>
    <w:rsid w:val="05CF7753"/>
    <w:rsid w:val="05D709B3"/>
    <w:rsid w:val="05F24570"/>
    <w:rsid w:val="05FA6691"/>
    <w:rsid w:val="05FB28F4"/>
    <w:rsid w:val="060F2B77"/>
    <w:rsid w:val="061816F7"/>
    <w:rsid w:val="06246C26"/>
    <w:rsid w:val="06293905"/>
    <w:rsid w:val="06316315"/>
    <w:rsid w:val="0636392C"/>
    <w:rsid w:val="0639341C"/>
    <w:rsid w:val="063D3F02"/>
    <w:rsid w:val="064249C6"/>
    <w:rsid w:val="0642670C"/>
    <w:rsid w:val="06475B39"/>
    <w:rsid w:val="064D79F0"/>
    <w:rsid w:val="065169B7"/>
    <w:rsid w:val="066640B1"/>
    <w:rsid w:val="066F6E3E"/>
    <w:rsid w:val="067032E2"/>
    <w:rsid w:val="067262F2"/>
    <w:rsid w:val="0677683B"/>
    <w:rsid w:val="06782196"/>
    <w:rsid w:val="068B17DF"/>
    <w:rsid w:val="06932108"/>
    <w:rsid w:val="06A20FC1"/>
    <w:rsid w:val="06A27213"/>
    <w:rsid w:val="06B036DE"/>
    <w:rsid w:val="06BA2C89"/>
    <w:rsid w:val="06C5252B"/>
    <w:rsid w:val="06CD5C66"/>
    <w:rsid w:val="06D91527"/>
    <w:rsid w:val="06DC25CA"/>
    <w:rsid w:val="06EE5866"/>
    <w:rsid w:val="06FA56D2"/>
    <w:rsid w:val="06FD08ED"/>
    <w:rsid w:val="07027CB2"/>
    <w:rsid w:val="07097292"/>
    <w:rsid w:val="070A1DFF"/>
    <w:rsid w:val="070E64AF"/>
    <w:rsid w:val="07124399"/>
    <w:rsid w:val="07133C6D"/>
    <w:rsid w:val="07293490"/>
    <w:rsid w:val="073360BD"/>
    <w:rsid w:val="0737795B"/>
    <w:rsid w:val="073851E7"/>
    <w:rsid w:val="074A1D85"/>
    <w:rsid w:val="074B78AB"/>
    <w:rsid w:val="074F4C03"/>
    <w:rsid w:val="075229E7"/>
    <w:rsid w:val="07542558"/>
    <w:rsid w:val="075B5D40"/>
    <w:rsid w:val="07691ADF"/>
    <w:rsid w:val="077D7F4A"/>
    <w:rsid w:val="078955EB"/>
    <w:rsid w:val="07926EFD"/>
    <w:rsid w:val="07966D78"/>
    <w:rsid w:val="07A07BF6"/>
    <w:rsid w:val="07AA2823"/>
    <w:rsid w:val="07C86D9E"/>
    <w:rsid w:val="07CD02C0"/>
    <w:rsid w:val="07CE6099"/>
    <w:rsid w:val="07D17DB0"/>
    <w:rsid w:val="07D51B1F"/>
    <w:rsid w:val="07D653C6"/>
    <w:rsid w:val="07E06245"/>
    <w:rsid w:val="07E80BE7"/>
    <w:rsid w:val="07E8334B"/>
    <w:rsid w:val="07EF6488"/>
    <w:rsid w:val="07F4584C"/>
    <w:rsid w:val="07FE491D"/>
    <w:rsid w:val="08023127"/>
    <w:rsid w:val="080C1C00"/>
    <w:rsid w:val="08123F22"/>
    <w:rsid w:val="081D1247"/>
    <w:rsid w:val="082500FC"/>
    <w:rsid w:val="082654C2"/>
    <w:rsid w:val="08326375"/>
    <w:rsid w:val="08397703"/>
    <w:rsid w:val="08444A26"/>
    <w:rsid w:val="08471F78"/>
    <w:rsid w:val="084A1910"/>
    <w:rsid w:val="084D5F20"/>
    <w:rsid w:val="084E7652"/>
    <w:rsid w:val="0858227F"/>
    <w:rsid w:val="0858732C"/>
    <w:rsid w:val="08674270"/>
    <w:rsid w:val="087221D9"/>
    <w:rsid w:val="088023BD"/>
    <w:rsid w:val="088766C0"/>
    <w:rsid w:val="08940648"/>
    <w:rsid w:val="089B6610"/>
    <w:rsid w:val="08AC4379"/>
    <w:rsid w:val="08B61B9F"/>
    <w:rsid w:val="08B62664"/>
    <w:rsid w:val="08B76626"/>
    <w:rsid w:val="08B80F70"/>
    <w:rsid w:val="08C40E3F"/>
    <w:rsid w:val="08C8043F"/>
    <w:rsid w:val="08C94F2B"/>
    <w:rsid w:val="08CB69A2"/>
    <w:rsid w:val="08DE0311"/>
    <w:rsid w:val="08DF02AB"/>
    <w:rsid w:val="08E91129"/>
    <w:rsid w:val="08F55D20"/>
    <w:rsid w:val="09063A89"/>
    <w:rsid w:val="09150170"/>
    <w:rsid w:val="092C1AD5"/>
    <w:rsid w:val="092D4411"/>
    <w:rsid w:val="093A4236"/>
    <w:rsid w:val="093C2D9C"/>
    <w:rsid w:val="09542451"/>
    <w:rsid w:val="0962248A"/>
    <w:rsid w:val="09774987"/>
    <w:rsid w:val="0992251A"/>
    <w:rsid w:val="099A2423"/>
    <w:rsid w:val="099F7A3A"/>
    <w:rsid w:val="09A14208"/>
    <w:rsid w:val="09A432A2"/>
    <w:rsid w:val="09AD7869"/>
    <w:rsid w:val="09B75F35"/>
    <w:rsid w:val="09BE0882"/>
    <w:rsid w:val="09BE5A69"/>
    <w:rsid w:val="09C114D9"/>
    <w:rsid w:val="09CD45A7"/>
    <w:rsid w:val="09D07B3E"/>
    <w:rsid w:val="09D516AE"/>
    <w:rsid w:val="09DA460A"/>
    <w:rsid w:val="09DA5C70"/>
    <w:rsid w:val="09E03467"/>
    <w:rsid w:val="09E110D4"/>
    <w:rsid w:val="09E55641"/>
    <w:rsid w:val="09F91493"/>
    <w:rsid w:val="09FE780C"/>
    <w:rsid w:val="0A0A75A9"/>
    <w:rsid w:val="0A14523B"/>
    <w:rsid w:val="0A2774C3"/>
    <w:rsid w:val="0A3E5BBE"/>
    <w:rsid w:val="0A3E7253"/>
    <w:rsid w:val="0A424F95"/>
    <w:rsid w:val="0A4B121E"/>
    <w:rsid w:val="0A4B19F4"/>
    <w:rsid w:val="0A6524C9"/>
    <w:rsid w:val="0A660045"/>
    <w:rsid w:val="0A7333A0"/>
    <w:rsid w:val="0A776860"/>
    <w:rsid w:val="0A786C09"/>
    <w:rsid w:val="0A7B04A7"/>
    <w:rsid w:val="0A814716"/>
    <w:rsid w:val="0A8E01DA"/>
    <w:rsid w:val="0AAF5D38"/>
    <w:rsid w:val="0AB84672"/>
    <w:rsid w:val="0AC45666"/>
    <w:rsid w:val="0AC7549A"/>
    <w:rsid w:val="0AC77248"/>
    <w:rsid w:val="0AD35BED"/>
    <w:rsid w:val="0ADB0F46"/>
    <w:rsid w:val="0AE50463"/>
    <w:rsid w:val="0AE62839"/>
    <w:rsid w:val="0AED76B8"/>
    <w:rsid w:val="0AFA5870"/>
    <w:rsid w:val="0B040718"/>
    <w:rsid w:val="0B07016A"/>
    <w:rsid w:val="0B074CA6"/>
    <w:rsid w:val="0B0A2510"/>
    <w:rsid w:val="0B0B2B07"/>
    <w:rsid w:val="0B0C7351"/>
    <w:rsid w:val="0B0D6C7C"/>
    <w:rsid w:val="0B325009"/>
    <w:rsid w:val="0B3C1635"/>
    <w:rsid w:val="0B3C4C73"/>
    <w:rsid w:val="0B3D750A"/>
    <w:rsid w:val="0B500265"/>
    <w:rsid w:val="0B61144B"/>
    <w:rsid w:val="0B652E6A"/>
    <w:rsid w:val="0B667E62"/>
    <w:rsid w:val="0B6B051B"/>
    <w:rsid w:val="0B7A075E"/>
    <w:rsid w:val="0B7A69B0"/>
    <w:rsid w:val="0B8213C1"/>
    <w:rsid w:val="0B8B3A99"/>
    <w:rsid w:val="0BA11C3B"/>
    <w:rsid w:val="0BA231ED"/>
    <w:rsid w:val="0BA23811"/>
    <w:rsid w:val="0BA657FD"/>
    <w:rsid w:val="0BAE5E3B"/>
    <w:rsid w:val="0BB335B1"/>
    <w:rsid w:val="0BB53545"/>
    <w:rsid w:val="0BBA5096"/>
    <w:rsid w:val="0BCB2D68"/>
    <w:rsid w:val="0BD404DD"/>
    <w:rsid w:val="0BD7795F"/>
    <w:rsid w:val="0BDE2A9B"/>
    <w:rsid w:val="0BEA5E1A"/>
    <w:rsid w:val="0BFC73C5"/>
    <w:rsid w:val="0C012C2E"/>
    <w:rsid w:val="0C087B18"/>
    <w:rsid w:val="0C152235"/>
    <w:rsid w:val="0C1B382B"/>
    <w:rsid w:val="0C2A5CE1"/>
    <w:rsid w:val="0C2B07C0"/>
    <w:rsid w:val="0C306AE2"/>
    <w:rsid w:val="0C311A10"/>
    <w:rsid w:val="0C3678DF"/>
    <w:rsid w:val="0C3C75BA"/>
    <w:rsid w:val="0C4169D6"/>
    <w:rsid w:val="0C460641"/>
    <w:rsid w:val="0C476893"/>
    <w:rsid w:val="0C4D1EAA"/>
    <w:rsid w:val="0C525237"/>
    <w:rsid w:val="0C56212C"/>
    <w:rsid w:val="0C5965C6"/>
    <w:rsid w:val="0C627450"/>
    <w:rsid w:val="0C702C68"/>
    <w:rsid w:val="0C7D0506"/>
    <w:rsid w:val="0C823D01"/>
    <w:rsid w:val="0C851169"/>
    <w:rsid w:val="0C915D60"/>
    <w:rsid w:val="0C963376"/>
    <w:rsid w:val="0CA5180B"/>
    <w:rsid w:val="0CB668F4"/>
    <w:rsid w:val="0CC127BB"/>
    <w:rsid w:val="0CC55A8E"/>
    <w:rsid w:val="0CC9374C"/>
    <w:rsid w:val="0CDD71F7"/>
    <w:rsid w:val="0CEC1C98"/>
    <w:rsid w:val="0CEF15E1"/>
    <w:rsid w:val="0D0004F7"/>
    <w:rsid w:val="0D002EE5"/>
    <w:rsid w:val="0D096323"/>
    <w:rsid w:val="0D0F4ED6"/>
    <w:rsid w:val="0D122F22"/>
    <w:rsid w:val="0D145253"/>
    <w:rsid w:val="0D1878DF"/>
    <w:rsid w:val="0D1C18CB"/>
    <w:rsid w:val="0D2E4F5F"/>
    <w:rsid w:val="0D31309F"/>
    <w:rsid w:val="0D387F7A"/>
    <w:rsid w:val="0D4E21C4"/>
    <w:rsid w:val="0D505C1B"/>
    <w:rsid w:val="0D531267"/>
    <w:rsid w:val="0D533015"/>
    <w:rsid w:val="0D605732"/>
    <w:rsid w:val="0D75742F"/>
    <w:rsid w:val="0D7C07BE"/>
    <w:rsid w:val="0D906CA2"/>
    <w:rsid w:val="0D945FE2"/>
    <w:rsid w:val="0D9C0EFA"/>
    <w:rsid w:val="0D9F26FE"/>
    <w:rsid w:val="0DA10224"/>
    <w:rsid w:val="0DA815B3"/>
    <w:rsid w:val="0DAE2941"/>
    <w:rsid w:val="0DAE5526"/>
    <w:rsid w:val="0DAF07AE"/>
    <w:rsid w:val="0DB60FC5"/>
    <w:rsid w:val="0DBE687C"/>
    <w:rsid w:val="0DC67C8B"/>
    <w:rsid w:val="0DC92286"/>
    <w:rsid w:val="0DCD1019"/>
    <w:rsid w:val="0DD84DFE"/>
    <w:rsid w:val="0DE5743D"/>
    <w:rsid w:val="0DEC297A"/>
    <w:rsid w:val="0DEF71E2"/>
    <w:rsid w:val="0DF32803"/>
    <w:rsid w:val="0DFC18FF"/>
    <w:rsid w:val="0E0A7C5F"/>
    <w:rsid w:val="0E1603BE"/>
    <w:rsid w:val="0E19600D"/>
    <w:rsid w:val="0E1E7AC7"/>
    <w:rsid w:val="0E2B6F3D"/>
    <w:rsid w:val="0E370B89"/>
    <w:rsid w:val="0E3C7F4D"/>
    <w:rsid w:val="0E430569"/>
    <w:rsid w:val="0E460DCC"/>
    <w:rsid w:val="0E4B0521"/>
    <w:rsid w:val="0E4F4A42"/>
    <w:rsid w:val="0E5B0BA4"/>
    <w:rsid w:val="0E5B4877"/>
    <w:rsid w:val="0E63372C"/>
    <w:rsid w:val="0E6D360D"/>
    <w:rsid w:val="0E786196"/>
    <w:rsid w:val="0E7C47EE"/>
    <w:rsid w:val="0E7E40C2"/>
    <w:rsid w:val="0E850F7B"/>
    <w:rsid w:val="0E8559ED"/>
    <w:rsid w:val="0E925FDE"/>
    <w:rsid w:val="0E9802BF"/>
    <w:rsid w:val="0E981627"/>
    <w:rsid w:val="0E99145B"/>
    <w:rsid w:val="0EA04065"/>
    <w:rsid w:val="0EA24254"/>
    <w:rsid w:val="0EB34CA3"/>
    <w:rsid w:val="0EBE0962"/>
    <w:rsid w:val="0EC341CA"/>
    <w:rsid w:val="0EC817E1"/>
    <w:rsid w:val="0ED42339"/>
    <w:rsid w:val="0EDF39F1"/>
    <w:rsid w:val="0EDF64BB"/>
    <w:rsid w:val="0EE76800"/>
    <w:rsid w:val="0EEE56EB"/>
    <w:rsid w:val="0EF34C60"/>
    <w:rsid w:val="0EF83E74"/>
    <w:rsid w:val="0EF97BEC"/>
    <w:rsid w:val="0EFC26D1"/>
    <w:rsid w:val="0F0B78D7"/>
    <w:rsid w:val="0F1215AA"/>
    <w:rsid w:val="0F193842"/>
    <w:rsid w:val="0F1B7B63"/>
    <w:rsid w:val="0F225634"/>
    <w:rsid w:val="0F230302"/>
    <w:rsid w:val="0F264E85"/>
    <w:rsid w:val="0F2A1392"/>
    <w:rsid w:val="0F2E7896"/>
    <w:rsid w:val="0F3C6FCB"/>
    <w:rsid w:val="0F4313D0"/>
    <w:rsid w:val="0F492922"/>
    <w:rsid w:val="0F5A4B2F"/>
    <w:rsid w:val="0F6556CA"/>
    <w:rsid w:val="0F6B527E"/>
    <w:rsid w:val="0F746AD2"/>
    <w:rsid w:val="0F8503B2"/>
    <w:rsid w:val="0F957915"/>
    <w:rsid w:val="0FAB0EE6"/>
    <w:rsid w:val="0FB716A9"/>
    <w:rsid w:val="0FC621C4"/>
    <w:rsid w:val="0FC93A62"/>
    <w:rsid w:val="0FCB39CA"/>
    <w:rsid w:val="0FD7617F"/>
    <w:rsid w:val="0FDD23B2"/>
    <w:rsid w:val="0FEE34C9"/>
    <w:rsid w:val="0FEE5277"/>
    <w:rsid w:val="0FF33B0F"/>
    <w:rsid w:val="0FF705D0"/>
    <w:rsid w:val="0FF76B27"/>
    <w:rsid w:val="0FFE2177"/>
    <w:rsid w:val="101E5130"/>
    <w:rsid w:val="102672D1"/>
    <w:rsid w:val="1040132B"/>
    <w:rsid w:val="104D6442"/>
    <w:rsid w:val="1053255D"/>
    <w:rsid w:val="10563548"/>
    <w:rsid w:val="105A46BB"/>
    <w:rsid w:val="105C1028"/>
    <w:rsid w:val="105E41AB"/>
    <w:rsid w:val="1061620D"/>
    <w:rsid w:val="1068327B"/>
    <w:rsid w:val="10692CD1"/>
    <w:rsid w:val="106A0DA2"/>
    <w:rsid w:val="106F460A"/>
    <w:rsid w:val="107B1E9B"/>
    <w:rsid w:val="10811D72"/>
    <w:rsid w:val="108B0D18"/>
    <w:rsid w:val="108C6F6A"/>
    <w:rsid w:val="108F6A5A"/>
    <w:rsid w:val="109E4EEF"/>
    <w:rsid w:val="10A02A15"/>
    <w:rsid w:val="10BE2844"/>
    <w:rsid w:val="10D40911"/>
    <w:rsid w:val="10D91A83"/>
    <w:rsid w:val="10E01064"/>
    <w:rsid w:val="10E5667A"/>
    <w:rsid w:val="10EA7AB9"/>
    <w:rsid w:val="10F5757C"/>
    <w:rsid w:val="10F93ED3"/>
    <w:rsid w:val="110C1E59"/>
    <w:rsid w:val="112E0021"/>
    <w:rsid w:val="11357601"/>
    <w:rsid w:val="11362897"/>
    <w:rsid w:val="11380EA0"/>
    <w:rsid w:val="114D3796"/>
    <w:rsid w:val="115817C6"/>
    <w:rsid w:val="115D0AA5"/>
    <w:rsid w:val="118E7C72"/>
    <w:rsid w:val="11900E7F"/>
    <w:rsid w:val="11916802"/>
    <w:rsid w:val="119A3908"/>
    <w:rsid w:val="119C3706"/>
    <w:rsid w:val="11A46535"/>
    <w:rsid w:val="11B33C3D"/>
    <w:rsid w:val="11B7581E"/>
    <w:rsid w:val="11C24C0D"/>
    <w:rsid w:val="11C646FD"/>
    <w:rsid w:val="11C73FD2"/>
    <w:rsid w:val="11C95F9C"/>
    <w:rsid w:val="11C97B52"/>
    <w:rsid w:val="11CE5437"/>
    <w:rsid w:val="11D2399F"/>
    <w:rsid w:val="11E224D7"/>
    <w:rsid w:val="11E22BBA"/>
    <w:rsid w:val="12045226"/>
    <w:rsid w:val="120713DA"/>
    <w:rsid w:val="12090259"/>
    <w:rsid w:val="120D5E88"/>
    <w:rsid w:val="1212349F"/>
    <w:rsid w:val="121D6578"/>
    <w:rsid w:val="121E0096"/>
    <w:rsid w:val="12274A70"/>
    <w:rsid w:val="122B4561"/>
    <w:rsid w:val="123549FC"/>
    <w:rsid w:val="124524A3"/>
    <w:rsid w:val="125F5AF8"/>
    <w:rsid w:val="12601E40"/>
    <w:rsid w:val="12673340"/>
    <w:rsid w:val="127C6B6A"/>
    <w:rsid w:val="12805118"/>
    <w:rsid w:val="128771E6"/>
    <w:rsid w:val="12A460C1"/>
    <w:rsid w:val="12A66E32"/>
    <w:rsid w:val="12B24C82"/>
    <w:rsid w:val="12D1348F"/>
    <w:rsid w:val="12D24236"/>
    <w:rsid w:val="12D270D2"/>
    <w:rsid w:val="12D6271E"/>
    <w:rsid w:val="12DD3105"/>
    <w:rsid w:val="12DE5A77"/>
    <w:rsid w:val="12E60488"/>
    <w:rsid w:val="12EF6BEC"/>
    <w:rsid w:val="12F62DC0"/>
    <w:rsid w:val="12FD4DE5"/>
    <w:rsid w:val="130A0018"/>
    <w:rsid w:val="131B5E0D"/>
    <w:rsid w:val="13211258"/>
    <w:rsid w:val="132D569E"/>
    <w:rsid w:val="13347445"/>
    <w:rsid w:val="134C3F3E"/>
    <w:rsid w:val="134D130F"/>
    <w:rsid w:val="134E23CB"/>
    <w:rsid w:val="134E3C35"/>
    <w:rsid w:val="13517FF7"/>
    <w:rsid w:val="13573133"/>
    <w:rsid w:val="135B00D5"/>
    <w:rsid w:val="13621DFA"/>
    <w:rsid w:val="13654E03"/>
    <w:rsid w:val="13815D9F"/>
    <w:rsid w:val="138C020E"/>
    <w:rsid w:val="138C7281"/>
    <w:rsid w:val="13907DDF"/>
    <w:rsid w:val="139A199E"/>
    <w:rsid w:val="13AA65E4"/>
    <w:rsid w:val="13BB14CF"/>
    <w:rsid w:val="13C4392E"/>
    <w:rsid w:val="13C93A45"/>
    <w:rsid w:val="13CA1B57"/>
    <w:rsid w:val="13CC020C"/>
    <w:rsid w:val="13CD70D5"/>
    <w:rsid w:val="13CE2FB7"/>
    <w:rsid w:val="13D80BF4"/>
    <w:rsid w:val="13D90B23"/>
    <w:rsid w:val="13DC37BD"/>
    <w:rsid w:val="13E2683E"/>
    <w:rsid w:val="13E36487"/>
    <w:rsid w:val="13F015BE"/>
    <w:rsid w:val="13F15336"/>
    <w:rsid w:val="14016119"/>
    <w:rsid w:val="14053F9F"/>
    <w:rsid w:val="140E413A"/>
    <w:rsid w:val="14123C2A"/>
    <w:rsid w:val="141352AC"/>
    <w:rsid w:val="141B0DC8"/>
    <w:rsid w:val="141B23B3"/>
    <w:rsid w:val="141C48E7"/>
    <w:rsid w:val="142257E9"/>
    <w:rsid w:val="14382F65"/>
    <w:rsid w:val="143F0B7A"/>
    <w:rsid w:val="14475E70"/>
    <w:rsid w:val="14510786"/>
    <w:rsid w:val="145204CA"/>
    <w:rsid w:val="14674E87"/>
    <w:rsid w:val="14691370"/>
    <w:rsid w:val="14867784"/>
    <w:rsid w:val="148D505F"/>
    <w:rsid w:val="149A223F"/>
    <w:rsid w:val="149C1746"/>
    <w:rsid w:val="149E479D"/>
    <w:rsid w:val="14AB3737"/>
    <w:rsid w:val="14AC1300"/>
    <w:rsid w:val="14AD74AF"/>
    <w:rsid w:val="14AF1479"/>
    <w:rsid w:val="14B06C45"/>
    <w:rsid w:val="14BD1BEA"/>
    <w:rsid w:val="14BE346A"/>
    <w:rsid w:val="14C60571"/>
    <w:rsid w:val="14C8253B"/>
    <w:rsid w:val="14D40EDF"/>
    <w:rsid w:val="14D462E5"/>
    <w:rsid w:val="14D709D0"/>
    <w:rsid w:val="14E13279"/>
    <w:rsid w:val="14E54E1F"/>
    <w:rsid w:val="14E629C1"/>
    <w:rsid w:val="14F31C4F"/>
    <w:rsid w:val="14F873AE"/>
    <w:rsid w:val="14FE5F5C"/>
    <w:rsid w:val="150177FB"/>
    <w:rsid w:val="15041AB7"/>
    <w:rsid w:val="151A40FB"/>
    <w:rsid w:val="151B6B0E"/>
    <w:rsid w:val="152D26FB"/>
    <w:rsid w:val="152E3367"/>
    <w:rsid w:val="154D0C92"/>
    <w:rsid w:val="154F0477"/>
    <w:rsid w:val="155618F4"/>
    <w:rsid w:val="156A08D9"/>
    <w:rsid w:val="156C736A"/>
    <w:rsid w:val="15763D45"/>
    <w:rsid w:val="158346B4"/>
    <w:rsid w:val="1585042C"/>
    <w:rsid w:val="15853F88"/>
    <w:rsid w:val="158A3C94"/>
    <w:rsid w:val="158A5A42"/>
    <w:rsid w:val="1594066F"/>
    <w:rsid w:val="1595223A"/>
    <w:rsid w:val="15AC7766"/>
    <w:rsid w:val="15B036FB"/>
    <w:rsid w:val="15B66808"/>
    <w:rsid w:val="15B8435D"/>
    <w:rsid w:val="15D32F45"/>
    <w:rsid w:val="15EC2259"/>
    <w:rsid w:val="15F25829"/>
    <w:rsid w:val="15FF01DE"/>
    <w:rsid w:val="16173694"/>
    <w:rsid w:val="162304BC"/>
    <w:rsid w:val="162A5D8F"/>
    <w:rsid w:val="1638724C"/>
    <w:rsid w:val="163A7468"/>
    <w:rsid w:val="164834D4"/>
    <w:rsid w:val="164B6F7F"/>
    <w:rsid w:val="164D5520"/>
    <w:rsid w:val="165618EC"/>
    <w:rsid w:val="16636121"/>
    <w:rsid w:val="16652C9E"/>
    <w:rsid w:val="166533B0"/>
    <w:rsid w:val="166737E1"/>
    <w:rsid w:val="166E6C2D"/>
    <w:rsid w:val="1674169C"/>
    <w:rsid w:val="167E7CA0"/>
    <w:rsid w:val="16807D7F"/>
    <w:rsid w:val="16826719"/>
    <w:rsid w:val="168D4FBD"/>
    <w:rsid w:val="169D3553"/>
    <w:rsid w:val="16A11295"/>
    <w:rsid w:val="16A93786"/>
    <w:rsid w:val="16AB2114"/>
    <w:rsid w:val="16AD35FE"/>
    <w:rsid w:val="16AE0CBE"/>
    <w:rsid w:val="16B8213B"/>
    <w:rsid w:val="16BE65B8"/>
    <w:rsid w:val="16CA07EC"/>
    <w:rsid w:val="16D50F3F"/>
    <w:rsid w:val="16E86EC4"/>
    <w:rsid w:val="16F1354F"/>
    <w:rsid w:val="16F2389F"/>
    <w:rsid w:val="16F47617"/>
    <w:rsid w:val="17033CFE"/>
    <w:rsid w:val="1703785A"/>
    <w:rsid w:val="170830C2"/>
    <w:rsid w:val="17101F77"/>
    <w:rsid w:val="17127598"/>
    <w:rsid w:val="17155834"/>
    <w:rsid w:val="172F4AF3"/>
    <w:rsid w:val="172F68A1"/>
    <w:rsid w:val="17381469"/>
    <w:rsid w:val="1739327C"/>
    <w:rsid w:val="175575F1"/>
    <w:rsid w:val="175F3626"/>
    <w:rsid w:val="17602EFE"/>
    <w:rsid w:val="17604CAC"/>
    <w:rsid w:val="17626C76"/>
    <w:rsid w:val="17743256"/>
    <w:rsid w:val="177C7D81"/>
    <w:rsid w:val="179B3F36"/>
    <w:rsid w:val="179C380B"/>
    <w:rsid w:val="179D1A5D"/>
    <w:rsid w:val="17A33199"/>
    <w:rsid w:val="17B1375A"/>
    <w:rsid w:val="17B31280"/>
    <w:rsid w:val="17B706AC"/>
    <w:rsid w:val="17BC0652"/>
    <w:rsid w:val="17C50FB3"/>
    <w:rsid w:val="17CC0594"/>
    <w:rsid w:val="17CE60BA"/>
    <w:rsid w:val="17D66D1D"/>
    <w:rsid w:val="17DB2585"/>
    <w:rsid w:val="17EE22B8"/>
    <w:rsid w:val="17EF6030"/>
    <w:rsid w:val="17F11DA8"/>
    <w:rsid w:val="17F67EE0"/>
    <w:rsid w:val="18041ADC"/>
    <w:rsid w:val="1809145D"/>
    <w:rsid w:val="181066D2"/>
    <w:rsid w:val="1816180F"/>
    <w:rsid w:val="1817095A"/>
    <w:rsid w:val="181827E6"/>
    <w:rsid w:val="18196BCE"/>
    <w:rsid w:val="181A7F72"/>
    <w:rsid w:val="181D2B9D"/>
    <w:rsid w:val="18251A52"/>
    <w:rsid w:val="182B52BA"/>
    <w:rsid w:val="18365A0D"/>
    <w:rsid w:val="183A54FD"/>
    <w:rsid w:val="18420856"/>
    <w:rsid w:val="18702CCD"/>
    <w:rsid w:val="187529D9"/>
    <w:rsid w:val="187A2EAF"/>
    <w:rsid w:val="188046D4"/>
    <w:rsid w:val="18952734"/>
    <w:rsid w:val="189866C8"/>
    <w:rsid w:val="189A41EE"/>
    <w:rsid w:val="18A715D9"/>
    <w:rsid w:val="18B1379B"/>
    <w:rsid w:val="18B57F73"/>
    <w:rsid w:val="18B943EA"/>
    <w:rsid w:val="18C025DC"/>
    <w:rsid w:val="18C1177B"/>
    <w:rsid w:val="18C33745"/>
    <w:rsid w:val="18D314AE"/>
    <w:rsid w:val="18D45952"/>
    <w:rsid w:val="18F02060"/>
    <w:rsid w:val="18F029FA"/>
    <w:rsid w:val="18F74886"/>
    <w:rsid w:val="19033B41"/>
    <w:rsid w:val="1909568D"/>
    <w:rsid w:val="190B71BC"/>
    <w:rsid w:val="190D676E"/>
    <w:rsid w:val="190E5179"/>
    <w:rsid w:val="19193365"/>
    <w:rsid w:val="191A70DD"/>
    <w:rsid w:val="19235F91"/>
    <w:rsid w:val="19341F4D"/>
    <w:rsid w:val="19375EE1"/>
    <w:rsid w:val="19381D5E"/>
    <w:rsid w:val="19391FFF"/>
    <w:rsid w:val="194D74B2"/>
    <w:rsid w:val="195174D6"/>
    <w:rsid w:val="19537AAF"/>
    <w:rsid w:val="19575C3B"/>
    <w:rsid w:val="19601F50"/>
    <w:rsid w:val="196721D6"/>
    <w:rsid w:val="19715B13"/>
    <w:rsid w:val="19762C7A"/>
    <w:rsid w:val="19793E03"/>
    <w:rsid w:val="197E141A"/>
    <w:rsid w:val="19856C4C"/>
    <w:rsid w:val="198D78AF"/>
    <w:rsid w:val="19A25F67"/>
    <w:rsid w:val="19B80DD0"/>
    <w:rsid w:val="19BD31DA"/>
    <w:rsid w:val="19C11F86"/>
    <w:rsid w:val="19C77265"/>
    <w:rsid w:val="19DC576F"/>
    <w:rsid w:val="19E2747D"/>
    <w:rsid w:val="19EF056A"/>
    <w:rsid w:val="19F174E1"/>
    <w:rsid w:val="19F22A0D"/>
    <w:rsid w:val="1A0A53A3"/>
    <w:rsid w:val="1A165AF6"/>
    <w:rsid w:val="1A1A3838"/>
    <w:rsid w:val="1A2975D8"/>
    <w:rsid w:val="1A2F5158"/>
    <w:rsid w:val="1A3A17E5"/>
    <w:rsid w:val="1A4017EB"/>
    <w:rsid w:val="1A4563DB"/>
    <w:rsid w:val="1A48332C"/>
    <w:rsid w:val="1A526BE7"/>
    <w:rsid w:val="1A592BA3"/>
    <w:rsid w:val="1A6C2BCA"/>
    <w:rsid w:val="1A6D09D1"/>
    <w:rsid w:val="1A6E498C"/>
    <w:rsid w:val="1A725422"/>
    <w:rsid w:val="1A7840BB"/>
    <w:rsid w:val="1A7C004F"/>
    <w:rsid w:val="1A7F18ED"/>
    <w:rsid w:val="1A83699C"/>
    <w:rsid w:val="1A84767D"/>
    <w:rsid w:val="1A882CBF"/>
    <w:rsid w:val="1A8B65D6"/>
    <w:rsid w:val="1A8D6EC2"/>
    <w:rsid w:val="1A964EAC"/>
    <w:rsid w:val="1A981E7A"/>
    <w:rsid w:val="1A9D6217"/>
    <w:rsid w:val="1A9E092D"/>
    <w:rsid w:val="1AB07CF9"/>
    <w:rsid w:val="1AB84739"/>
    <w:rsid w:val="1ABA0AB0"/>
    <w:rsid w:val="1ABC669E"/>
    <w:rsid w:val="1AC13CB4"/>
    <w:rsid w:val="1AC30F08"/>
    <w:rsid w:val="1ACE4623"/>
    <w:rsid w:val="1AD079FC"/>
    <w:rsid w:val="1AD17028"/>
    <w:rsid w:val="1AD474B4"/>
    <w:rsid w:val="1AE874C5"/>
    <w:rsid w:val="1AFC4CEC"/>
    <w:rsid w:val="1B03607B"/>
    <w:rsid w:val="1B0700AB"/>
    <w:rsid w:val="1B072F7B"/>
    <w:rsid w:val="1B0911B7"/>
    <w:rsid w:val="1B157B5C"/>
    <w:rsid w:val="1B1809BF"/>
    <w:rsid w:val="1B2730A7"/>
    <w:rsid w:val="1B2D785E"/>
    <w:rsid w:val="1B3B23A6"/>
    <w:rsid w:val="1B3F337A"/>
    <w:rsid w:val="1B4855C5"/>
    <w:rsid w:val="1B656D35"/>
    <w:rsid w:val="1B6E0A8D"/>
    <w:rsid w:val="1B701255"/>
    <w:rsid w:val="1B723200"/>
    <w:rsid w:val="1B776A68"/>
    <w:rsid w:val="1B781269"/>
    <w:rsid w:val="1B7944F6"/>
    <w:rsid w:val="1B8054EF"/>
    <w:rsid w:val="1B8352F4"/>
    <w:rsid w:val="1B8931C6"/>
    <w:rsid w:val="1B8D003A"/>
    <w:rsid w:val="1B9E2247"/>
    <w:rsid w:val="1BA07D6D"/>
    <w:rsid w:val="1BA36420"/>
    <w:rsid w:val="1BA57132"/>
    <w:rsid w:val="1BAB04C0"/>
    <w:rsid w:val="1BBE2AED"/>
    <w:rsid w:val="1BCB4CB7"/>
    <w:rsid w:val="1BDF0761"/>
    <w:rsid w:val="1BE662A8"/>
    <w:rsid w:val="1C21175D"/>
    <w:rsid w:val="1C365FDC"/>
    <w:rsid w:val="1C374F8D"/>
    <w:rsid w:val="1C4050AC"/>
    <w:rsid w:val="1C4E1577"/>
    <w:rsid w:val="1C644272"/>
    <w:rsid w:val="1C6C5EA1"/>
    <w:rsid w:val="1C6E39C8"/>
    <w:rsid w:val="1C764160"/>
    <w:rsid w:val="1C784846"/>
    <w:rsid w:val="1C796955"/>
    <w:rsid w:val="1C7E0DAB"/>
    <w:rsid w:val="1C851F4E"/>
    <w:rsid w:val="1C941320"/>
    <w:rsid w:val="1C952F92"/>
    <w:rsid w:val="1CAB4C1C"/>
    <w:rsid w:val="1CB02232"/>
    <w:rsid w:val="1CB33AD0"/>
    <w:rsid w:val="1CB3762C"/>
    <w:rsid w:val="1CB810E7"/>
    <w:rsid w:val="1CC161ED"/>
    <w:rsid w:val="1CC25AC1"/>
    <w:rsid w:val="1CD32082"/>
    <w:rsid w:val="1CD51C99"/>
    <w:rsid w:val="1CE10DA4"/>
    <w:rsid w:val="1CE27F12"/>
    <w:rsid w:val="1CE8385C"/>
    <w:rsid w:val="1CEB326A"/>
    <w:rsid w:val="1CF24FB3"/>
    <w:rsid w:val="1CF57DE0"/>
    <w:rsid w:val="1CF80740"/>
    <w:rsid w:val="1D1327C1"/>
    <w:rsid w:val="1D1C3424"/>
    <w:rsid w:val="1D1D0F4A"/>
    <w:rsid w:val="1D230C56"/>
    <w:rsid w:val="1D2B1AC6"/>
    <w:rsid w:val="1D31345B"/>
    <w:rsid w:val="1D34383D"/>
    <w:rsid w:val="1D383FD6"/>
    <w:rsid w:val="1D4027FB"/>
    <w:rsid w:val="1D444728"/>
    <w:rsid w:val="1D456945"/>
    <w:rsid w:val="1D48246B"/>
    <w:rsid w:val="1D494FEE"/>
    <w:rsid w:val="1D4B3D09"/>
    <w:rsid w:val="1D5C4168"/>
    <w:rsid w:val="1D5E3A3C"/>
    <w:rsid w:val="1D6B7F07"/>
    <w:rsid w:val="1D7417D3"/>
    <w:rsid w:val="1D8B05A9"/>
    <w:rsid w:val="1D8F1E47"/>
    <w:rsid w:val="1D900FF2"/>
    <w:rsid w:val="1D9C6312"/>
    <w:rsid w:val="1DA04055"/>
    <w:rsid w:val="1DA21A12"/>
    <w:rsid w:val="1DAB1E82"/>
    <w:rsid w:val="1DAB29F9"/>
    <w:rsid w:val="1DAD49C3"/>
    <w:rsid w:val="1DAF441C"/>
    <w:rsid w:val="1DCA2FA5"/>
    <w:rsid w:val="1DDF4B06"/>
    <w:rsid w:val="1DE026A3"/>
    <w:rsid w:val="1DE676BF"/>
    <w:rsid w:val="1DE94AC8"/>
    <w:rsid w:val="1DED4DC0"/>
    <w:rsid w:val="1DEF28E6"/>
    <w:rsid w:val="1DF0665E"/>
    <w:rsid w:val="1E026ABD"/>
    <w:rsid w:val="1E1A5A9D"/>
    <w:rsid w:val="1E1E4F79"/>
    <w:rsid w:val="1E20277C"/>
    <w:rsid w:val="1E220F0E"/>
    <w:rsid w:val="1E4A0464"/>
    <w:rsid w:val="1E4A5D6E"/>
    <w:rsid w:val="1E515559"/>
    <w:rsid w:val="1E5254F4"/>
    <w:rsid w:val="1E5E17D3"/>
    <w:rsid w:val="1E605592"/>
    <w:rsid w:val="1E6A11E7"/>
    <w:rsid w:val="1E6C2189"/>
    <w:rsid w:val="1E6D1A7F"/>
    <w:rsid w:val="1E7E3C6A"/>
    <w:rsid w:val="1E870D71"/>
    <w:rsid w:val="1E8E6298"/>
    <w:rsid w:val="1E911BEF"/>
    <w:rsid w:val="1E915E56"/>
    <w:rsid w:val="1E962389"/>
    <w:rsid w:val="1EA062D6"/>
    <w:rsid w:val="1EA731C1"/>
    <w:rsid w:val="1EC91389"/>
    <w:rsid w:val="1EC93137"/>
    <w:rsid w:val="1ED3045A"/>
    <w:rsid w:val="1ED815CC"/>
    <w:rsid w:val="1EDD4E34"/>
    <w:rsid w:val="1EE45D0E"/>
    <w:rsid w:val="1EE461C3"/>
    <w:rsid w:val="1EE75CB3"/>
    <w:rsid w:val="1EED06C1"/>
    <w:rsid w:val="1EF5018E"/>
    <w:rsid w:val="1EFF636F"/>
    <w:rsid w:val="1F093E7B"/>
    <w:rsid w:val="1F0B3750"/>
    <w:rsid w:val="1F110DE9"/>
    <w:rsid w:val="1F12480D"/>
    <w:rsid w:val="1F1A1BE5"/>
    <w:rsid w:val="1F1A7A1E"/>
    <w:rsid w:val="1F1C0DD2"/>
    <w:rsid w:val="1F1D7373"/>
    <w:rsid w:val="1F1F71FB"/>
    <w:rsid w:val="1F243563"/>
    <w:rsid w:val="1F265A78"/>
    <w:rsid w:val="1F2962CC"/>
    <w:rsid w:val="1F2B1756"/>
    <w:rsid w:val="1F337C3F"/>
    <w:rsid w:val="1F354E12"/>
    <w:rsid w:val="1F3F5AEF"/>
    <w:rsid w:val="1F4A5497"/>
    <w:rsid w:val="1F516CF8"/>
    <w:rsid w:val="1F53483C"/>
    <w:rsid w:val="1F552C1D"/>
    <w:rsid w:val="1F640F4B"/>
    <w:rsid w:val="1F6B4575"/>
    <w:rsid w:val="1F7D37A4"/>
    <w:rsid w:val="1F7F7C9A"/>
    <w:rsid w:val="1F824A45"/>
    <w:rsid w:val="1F837548"/>
    <w:rsid w:val="1F8658CD"/>
    <w:rsid w:val="1F8B0180"/>
    <w:rsid w:val="1F974FE3"/>
    <w:rsid w:val="1FA80A9A"/>
    <w:rsid w:val="1FB42039"/>
    <w:rsid w:val="1FB97650"/>
    <w:rsid w:val="1FBB33C8"/>
    <w:rsid w:val="1FC14756"/>
    <w:rsid w:val="1FD10C80"/>
    <w:rsid w:val="1FD72E25"/>
    <w:rsid w:val="1FDE05CD"/>
    <w:rsid w:val="1FDF698A"/>
    <w:rsid w:val="1FE26DE0"/>
    <w:rsid w:val="1FE41804"/>
    <w:rsid w:val="1FEA5A5B"/>
    <w:rsid w:val="1FED3FBD"/>
    <w:rsid w:val="1FF42436"/>
    <w:rsid w:val="1FF72308"/>
    <w:rsid w:val="2017058A"/>
    <w:rsid w:val="201D3F72"/>
    <w:rsid w:val="20254CE5"/>
    <w:rsid w:val="20262D8D"/>
    <w:rsid w:val="202A5E57"/>
    <w:rsid w:val="202B4E35"/>
    <w:rsid w:val="202B697C"/>
    <w:rsid w:val="203A6ABE"/>
    <w:rsid w:val="203F5E7C"/>
    <w:rsid w:val="204A184E"/>
    <w:rsid w:val="205B14EB"/>
    <w:rsid w:val="20601D7D"/>
    <w:rsid w:val="206155F1"/>
    <w:rsid w:val="206750B4"/>
    <w:rsid w:val="206C7B8B"/>
    <w:rsid w:val="207B0AA0"/>
    <w:rsid w:val="20831A0C"/>
    <w:rsid w:val="208C2829"/>
    <w:rsid w:val="209854B7"/>
    <w:rsid w:val="20A025BE"/>
    <w:rsid w:val="20AC0F62"/>
    <w:rsid w:val="20B01EB3"/>
    <w:rsid w:val="20BA2A49"/>
    <w:rsid w:val="20BD6CCC"/>
    <w:rsid w:val="20C52DD8"/>
    <w:rsid w:val="20C87813"/>
    <w:rsid w:val="20CD1665"/>
    <w:rsid w:val="20D11476"/>
    <w:rsid w:val="20D44015"/>
    <w:rsid w:val="20D44D53"/>
    <w:rsid w:val="20D66A29"/>
    <w:rsid w:val="20DD2ECA"/>
    <w:rsid w:val="20DD2F1A"/>
    <w:rsid w:val="20DD3991"/>
    <w:rsid w:val="20E06E5E"/>
    <w:rsid w:val="20E3054D"/>
    <w:rsid w:val="20E74DDD"/>
    <w:rsid w:val="20E95D13"/>
    <w:rsid w:val="20ED7432"/>
    <w:rsid w:val="20F6042F"/>
    <w:rsid w:val="20FD531A"/>
    <w:rsid w:val="21050673"/>
    <w:rsid w:val="21086CE7"/>
    <w:rsid w:val="210963B5"/>
    <w:rsid w:val="2113439B"/>
    <w:rsid w:val="211663DC"/>
    <w:rsid w:val="211E0E7D"/>
    <w:rsid w:val="212034BB"/>
    <w:rsid w:val="212D458E"/>
    <w:rsid w:val="21307AC4"/>
    <w:rsid w:val="213276BA"/>
    <w:rsid w:val="213351E0"/>
    <w:rsid w:val="21353FAA"/>
    <w:rsid w:val="213F1DD6"/>
    <w:rsid w:val="214765E7"/>
    <w:rsid w:val="214F7EDA"/>
    <w:rsid w:val="215415F9"/>
    <w:rsid w:val="2159252D"/>
    <w:rsid w:val="21596C18"/>
    <w:rsid w:val="215A09BE"/>
    <w:rsid w:val="215A16AD"/>
    <w:rsid w:val="215D487C"/>
    <w:rsid w:val="21626C26"/>
    <w:rsid w:val="216676A7"/>
    <w:rsid w:val="21676C37"/>
    <w:rsid w:val="216A7F7F"/>
    <w:rsid w:val="216B2BCB"/>
    <w:rsid w:val="2176531A"/>
    <w:rsid w:val="2177331E"/>
    <w:rsid w:val="217A4BBD"/>
    <w:rsid w:val="217C6B87"/>
    <w:rsid w:val="217F7AAE"/>
    <w:rsid w:val="21843C8D"/>
    <w:rsid w:val="21853A37"/>
    <w:rsid w:val="219F705E"/>
    <w:rsid w:val="21A25EC1"/>
    <w:rsid w:val="21A8797C"/>
    <w:rsid w:val="21AF6FE9"/>
    <w:rsid w:val="21B62F8E"/>
    <w:rsid w:val="21BE0F4D"/>
    <w:rsid w:val="21BF4251"/>
    <w:rsid w:val="21C04E3F"/>
    <w:rsid w:val="21D610A3"/>
    <w:rsid w:val="21D72533"/>
    <w:rsid w:val="21E464DA"/>
    <w:rsid w:val="21EA40DB"/>
    <w:rsid w:val="21EB5ABA"/>
    <w:rsid w:val="21F20BF7"/>
    <w:rsid w:val="21FF5A78"/>
    <w:rsid w:val="2208041A"/>
    <w:rsid w:val="220A5F40"/>
    <w:rsid w:val="2210107D"/>
    <w:rsid w:val="221118C6"/>
    <w:rsid w:val="22160D89"/>
    <w:rsid w:val="22200DEB"/>
    <w:rsid w:val="2221328A"/>
    <w:rsid w:val="22237002"/>
    <w:rsid w:val="222A4ED3"/>
    <w:rsid w:val="22452DF5"/>
    <w:rsid w:val="2249522E"/>
    <w:rsid w:val="22521696"/>
    <w:rsid w:val="22524DE9"/>
    <w:rsid w:val="22554825"/>
    <w:rsid w:val="22586201"/>
    <w:rsid w:val="225B2C40"/>
    <w:rsid w:val="225D6382"/>
    <w:rsid w:val="225E18C8"/>
    <w:rsid w:val="22657A78"/>
    <w:rsid w:val="228F0E57"/>
    <w:rsid w:val="22912EED"/>
    <w:rsid w:val="22963288"/>
    <w:rsid w:val="229819D1"/>
    <w:rsid w:val="229E2B2D"/>
    <w:rsid w:val="22A5210D"/>
    <w:rsid w:val="22AF0896"/>
    <w:rsid w:val="22BB36DF"/>
    <w:rsid w:val="22CC28B6"/>
    <w:rsid w:val="22D25C8C"/>
    <w:rsid w:val="22D3046A"/>
    <w:rsid w:val="22D7603D"/>
    <w:rsid w:val="22E520E8"/>
    <w:rsid w:val="22E542B8"/>
    <w:rsid w:val="22EA5D72"/>
    <w:rsid w:val="22EC304A"/>
    <w:rsid w:val="22F8223D"/>
    <w:rsid w:val="22FF35CB"/>
    <w:rsid w:val="22FF7A6F"/>
    <w:rsid w:val="2309269C"/>
    <w:rsid w:val="23103A2A"/>
    <w:rsid w:val="23104D3E"/>
    <w:rsid w:val="23141757"/>
    <w:rsid w:val="23194E8C"/>
    <w:rsid w:val="231B4A22"/>
    <w:rsid w:val="231D6147"/>
    <w:rsid w:val="23244DE0"/>
    <w:rsid w:val="23294AEC"/>
    <w:rsid w:val="235A2EF8"/>
    <w:rsid w:val="23613733"/>
    <w:rsid w:val="236B2A0F"/>
    <w:rsid w:val="23701B7E"/>
    <w:rsid w:val="237F64BA"/>
    <w:rsid w:val="237F738F"/>
    <w:rsid w:val="238910E7"/>
    <w:rsid w:val="23963804"/>
    <w:rsid w:val="239A0867"/>
    <w:rsid w:val="239D4B92"/>
    <w:rsid w:val="239E04F7"/>
    <w:rsid w:val="239F18B6"/>
    <w:rsid w:val="23A3664D"/>
    <w:rsid w:val="23A67EEB"/>
    <w:rsid w:val="23AA0FEC"/>
    <w:rsid w:val="23C01E9C"/>
    <w:rsid w:val="23C245F9"/>
    <w:rsid w:val="23C93BD9"/>
    <w:rsid w:val="23D06D16"/>
    <w:rsid w:val="23D20CE0"/>
    <w:rsid w:val="23D762F6"/>
    <w:rsid w:val="23DC1B5F"/>
    <w:rsid w:val="23DD6D00"/>
    <w:rsid w:val="23EA6E28"/>
    <w:rsid w:val="23F24EDE"/>
    <w:rsid w:val="24291D21"/>
    <w:rsid w:val="24305A06"/>
    <w:rsid w:val="24311054"/>
    <w:rsid w:val="24335324"/>
    <w:rsid w:val="243472A5"/>
    <w:rsid w:val="243E0123"/>
    <w:rsid w:val="24415E66"/>
    <w:rsid w:val="24417C14"/>
    <w:rsid w:val="24422247"/>
    <w:rsid w:val="244629C1"/>
    <w:rsid w:val="244B4A3A"/>
    <w:rsid w:val="244D44E5"/>
    <w:rsid w:val="2452597D"/>
    <w:rsid w:val="24611673"/>
    <w:rsid w:val="24690F5C"/>
    <w:rsid w:val="24743B45"/>
    <w:rsid w:val="248024EA"/>
    <w:rsid w:val="248D13A2"/>
    <w:rsid w:val="248D4C07"/>
    <w:rsid w:val="2499705F"/>
    <w:rsid w:val="249D04D6"/>
    <w:rsid w:val="24AA05AE"/>
    <w:rsid w:val="24B02CB6"/>
    <w:rsid w:val="24B36070"/>
    <w:rsid w:val="24B95082"/>
    <w:rsid w:val="24C50845"/>
    <w:rsid w:val="24CC1BD3"/>
    <w:rsid w:val="24D42836"/>
    <w:rsid w:val="24D53AD6"/>
    <w:rsid w:val="24F06121"/>
    <w:rsid w:val="24F6082E"/>
    <w:rsid w:val="24F72995"/>
    <w:rsid w:val="2505376E"/>
    <w:rsid w:val="25070E5D"/>
    <w:rsid w:val="25145328"/>
    <w:rsid w:val="252202D5"/>
    <w:rsid w:val="2532574B"/>
    <w:rsid w:val="25341526"/>
    <w:rsid w:val="2535089A"/>
    <w:rsid w:val="253E7682"/>
    <w:rsid w:val="254479BB"/>
    <w:rsid w:val="25453733"/>
    <w:rsid w:val="2551032A"/>
    <w:rsid w:val="255705C9"/>
    <w:rsid w:val="2558427C"/>
    <w:rsid w:val="25585215"/>
    <w:rsid w:val="255A0F8D"/>
    <w:rsid w:val="25780A5F"/>
    <w:rsid w:val="258567C1"/>
    <w:rsid w:val="258778A8"/>
    <w:rsid w:val="258F065A"/>
    <w:rsid w:val="2590282B"/>
    <w:rsid w:val="25946857"/>
    <w:rsid w:val="259C6F3E"/>
    <w:rsid w:val="25A77F4A"/>
    <w:rsid w:val="25A8619C"/>
    <w:rsid w:val="25A94E60"/>
    <w:rsid w:val="25AB0DF8"/>
    <w:rsid w:val="25B74631"/>
    <w:rsid w:val="25BC1C48"/>
    <w:rsid w:val="25BC39F6"/>
    <w:rsid w:val="25C1100C"/>
    <w:rsid w:val="25C66622"/>
    <w:rsid w:val="25CB1E8B"/>
    <w:rsid w:val="25CE2E97"/>
    <w:rsid w:val="25CF181F"/>
    <w:rsid w:val="25DC5D6A"/>
    <w:rsid w:val="25E1520A"/>
    <w:rsid w:val="25E927C7"/>
    <w:rsid w:val="25ED1E01"/>
    <w:rsid w:val="25EE5B79"/>
    <w:rsid w:val="25F07709"/>
    <w:rsid w:val="25F3318F"/>
    <w:rsid w:val="25F56F08"/>
    <w:rsid w:val="25FB5886"/>
    <w:rsid w:val="25FC0296"/>
    <w:rsid w:val="25FE721C"/>
    <w:rsid w:val="260311ED"/>
    <w:rsid w:val="2607029E"/>
    <w:rsid w:val="260E0833"/>
    <w:rsid w:val="26103D41"/>
    <w:rsid w:val="26123616"/>
    <w:rsid w:val="26244763"/>
    <w:rsid w:val="262D7AF6"/>
    <w:rsid w:val="2631318D"/>
    <w:rsid w:val="26345C82"/>
    <w:rsid w:val="263F63D5"/>
    <w:rsid w:val="264A1B0E"/>
    <w:rsid w:val="266100F9"/>
    <w:rsid w:val="26617BB7"/>
    <w:rsid w:val="266320C3"/>
    <w:rsid w:val="26680690"/>
    <w:rsid w:val="266863F9"/>
    <w:rsid w:val="266B541C"/>
    <w:rsid w:val="26773DC1"/>
    <w:rsid w:val="267D718F"/>
    <w:rsid w:val="268D5392"/>
    <w:rsid w:val="268E39D0"/>
    <w:rsid w:val="269130CA"/>
    <w:rsid w:val="26976211"/>
    <w:rsid w:val="26993D37"/>
    <w:rsid w:val="26997893"/>
    <w:rsid w:val="269C765D"/>
    <w:rsid w:val="26A60202"/>
    <w:rsid w:val="26B50445"/>
    <w:rsid w:val="26B56AD8"/>
    <w:rsid w:val="26C62652"/>
    <w:rsid w:val="26D44D6F"/>
    <w:rsid w:val="26D51168"/>
    <w:rsid w:val="26D92385"/>
    <w:rsid w:val="26D94B49"/>
    <w:rsid w:val="26DA3BCC"/>
    <w:rsid w:val="26DC4D40"/>
    <w:rsid w:val="26DD7622"/>
    <w:rsid w:val="26E31456"/>
    <w:rsid w:val="26EC20B9"/>
    <w:rsid w:val="26FE3B9A"/>
    <w:rsid w:val="27044D8F"/>
    <w:rsid w:val="27147FEE"/>
    <w:rsid w:val="27181100"/>
    <w:rsid w:val="271E5889"/>
    <w:rsid w:val="2725763D"/>
    <w:rsid w:val="272A2BE1"/>
    <w:rsid w:val="273541D5"/>
    <w:rsid w:val="27383550"/>
    <w:rsid w:val="273E043A"/>
    <w:rsid w:val="274517C9"/>
    <w:rsid w:val="27546E33"/>
    <w:rsid w:val="275B723E"/>
    <w:rsid w:val="27680FB1"/>
    <w:rsid w:val="276C31F9"/>
    <w:rsid w:val="276E51C4"/>
    <w:rsid w:val="277327DA"/>
    <w:rsid w:val="27750300"/>
    <w:rsid w:val="277D0F20"/>
    <w:rsid w:val="27933CD9"/>
    <w:rsid w:val="279613A3"/>
    <w:rsid w:val="27AC5CEC"/>
    <w:rsid w:val="27B21092"/>
    <w:rsid w:val="27B21F35"/>
    <w:rsid w:val="27B30954"/>
    <w:rsid w:val="27B506FD"/>
    <w:rsid w:val="27BD1CA7"/>
    <w:rsid w:val="27C16E28"/>
    <w:rsid w:val="27C6088F"/>
    <w:rsid w:val="27CB7F20"/>
    <w:rsid w:val="27CD2A2E"/>
    <w:rsid w:val="27D35027"/>
    <w:rsid w:val="27DA76D2"/>
    <w:rsid w:val="27E2170E"/>
    <w:rsid w:val="27E532D7"/>
    <w:rsid w:val="27E55EA8"/>
    <w:rsid w:val="27E96DDF"/>
    <w:rsid w:val="27F51441"/>
    <w:rsid w:val="28011B94"/>
    <w:rsid w:val="28090A48"/>
    <w:rsid w:val="2815563F"/>
    <w:rsid w:val="28184F1B"/>
    <w:rsid w:val="282E6701"/>
    <w:rsid w:val="28373807"/>
    <w:rsid w:val="283A2C41"/>
    <w:rsid w:val="283C2BCC"/>
    <w:rsid w:val="283D06F2"/>
    <w:rsid w:val="284E0B51"/>
    <w:rsid w:val="2852419D"/>
    <w:rsid w:val="28532AB4"/>
    <w:rsid w:val="28695A0E"/>
    <w:rsid w:val="286D547B"/>
    <w:rsid w:val="28795BCE"/>
    <w:rsid w:val="288134BB"/>
    <w:rsid w:val="28844573"/>
    <w:rsid w:val="288B3B53"/>
    <w:rsid w:val="28A977A4"/>
    <w:rsid w:val="28B46C06"/>
    <w:rsid w:val="28BC3D0D"/>
    <w:rsid w:val="28BE5CD7"/>
    <w:rsid w:val="28C3509B"/>
    <w:rsid w:val="28D3799D"/>
    <w:rsid w:val="28DB0637"/>
    <w:rsid w:val="28DE3C83"/>
    <w:rsid w:val="28E31299"/>
    <w:rsid w:val="28EB1C01"/>
    <w:rsid w:val="28F11C08"/>
    <w:rsid w:val="28F65471"/>
    <w:rsid w:val="29053906"/>
    <w:rsid w:val="29070626"/>
    <w:rsid w:val="2908648D"/>
    <w:rsid w:val="2913439A"/>
    <w:rsid w:val="29146FF1"/>
    <w:rsid w:val="29226266"/>
    <w:rsid w:val="29233D8C"/>
    <w:rsid w:val="292F2731"/>
    <w:rsid w:val="29514455"/>
    <w:rsid w:val="295C1B4B"/>
    <w:rsid w:val="29606D8E"/>
    <w:rsid w:val="296248B4"/>
    <w:rsid w:val="296D5007"/>
    <w:rsid w:val="297168A5"/>
    <w:rsid w:val="29763E13"/>
    <w:rsid w:val="29804D3A"/>
    <w:rsid w:val="298567F4"/>
    <w:rsid w:val="299535FE"/>
    <w:rsid w:val="29A7676B"/>
    <w:rsid w:val="29A819CE"/>
    <w:rsid w:val="29AC3D81"/>
    <w:rsid w:val="29AE18A7"/>
    <w:rsid w:val="29BE5CAF"/>
    <w:rsid w:val="29C46D05"/>
    <w:rsid w:val="29D5454D"/>
    <w:rsid w:val="29D74F02"/>
    <w:rsid w:val="29DB7BAD"/>
    <w:rsid w:val="29F14F71"/>
    <w:rsid w:val="29F415F6"/>
    <w:rsid w:val="29F86FC6"/>
    <w:rsid w:val="2A02504D"/>
    <w:rsid w:val="2A067935"/>
    <w:rsid w:val="2A0B2A05"/>
    <w:rsid w:val="2A125ACA"/>
    <w:rsid w:val="2A127D1E"/>
    <w:rsid w:val="2A1B6213"/>
    <w:rsid w:val="2A1D6B46"/>
    <w:rsid w:val="2A257690"/>
    <w:rsid w:val="2A3049B2"/>
    <w:rsid w:val="2A3E0EFE"/>
    <w:rsid w:val="2A403FBB"/>
    <w:rsid w:val="2A46319B"/>
    <w:rsid w:val="2A467D32"/>
    <w:rsid w:val="2A473AAA"/>
    <w:rsid w:val="2A474B0A"/>
    <w:rsid w:val="2A475858"/>
    <w:rsid w:val="2A4A36B6"/>
    <w:rsid w:val="2A502E83"/>
    <w:rsid w:val="2A5804DF"/>
    <w:rsid w:val="2A5A3485"/>
    <w:rsid w:val="2A5A405F"/>
    <w:rsid w:val="2A5A4DB3"/>
    <w:rsid w:val="2A6115A6"/>
    <w:rsid w:val="2A6428AE"/>
    <w:rsid w:val="2A7453AA"/>
    <w:rsid w:val="2A780A72"/>
    <w:rsid w:val="2A833231"/>
    <w:rsid w:val="2A85507B"/>
    <w:rsid w:val="2A97233B"/>
    <w:rsid w:val="2A9D74EC"/>
    <w:rsid w:val="2A9F7442"/>
    <w:rsid w:val="2AA50EFC"/>
    <w:rsid w:val="2AA66A22"/>
    <w:rsid w:val="2AAD6003"/>
    <w:rsid w:val="2AAF41C5"/>
    <w:rsid w:val="2AB033FD"/>
    <w:rsid w:val="2AB96F22"/>
    <w:rsid w:val="2ABA62BC"/>
    <w:rsid w:val="2AC33130"/>
    <w:rsid w:val="2ACA46F6"/>
    <w:rsid w:val="2ACB6960"/>
    <w:rsid w:val="2AD46BE7"/>
    <w:rsid w:val="2AD6555A"/>
    <w:rsid w:val="2AD83E79"/>
    <w:rsid w:val="2AD96DF8"/>
    <w:rsid w:val="2AE00186"/>
    <w:rsid w:val="2AE42870"/>
    <w:rsid w:val="2AE8703B"/>
    <w:rsid w:val="2AED36B5"/>
    <w:rsid w:val="2AF43C32"/>
    <w:rsid w:val="2AFC2AE6"/>
    <w:rsid w:val="2B093073"/>
    <w:rsid w:val="2B0A71F9"/>
    <w:rsid w:val="2B0B042D"/>
    <w:rsid w:val="2B0C41BF"/>
    <w:rsid w:val="2B1517CD"/>
    <w:rsid w:val="2B1716CE"/>
    <w:rsid w:val="2B177920"/>
    <w:rsid w:val="2B1863F7"/>
    <w:rsid w:val="2B1F115A"/>
    <w:rsid w:val="2B207AD9"/>
    <w:rsid w:val="2B2251B9"/>
    <w:rsid w:val="2B254B22"/>
    <w:rsid w:val="2B377151"/>
    <w:rsid w:val="2B430715"/>
    <w:rsid w:val="2B4732EF"/>
    <w:rsid w:val="2B4902D9"/>
    <w:rsid w:val="2B4E4BF3"/>
    <w:rsid w:val="2B593A95"/>
    <w:rsid w:val="2B695699"/>
    <w:rsid w:val="2B740F80"/>
    <w:rsid w:val="2B7B1F76"/>
    <w:rsid w:val="2B847127"/>
    <w:rsid w:val="2B885423"/>
    <w:rsid w:val="2B897E38"/>
    <w:rsid w:val="2B8A6344"/>
    <w:rsid w:val="2B8C607D"/>
    <w:rsid w:val="2B996587"/>
    <w:rsid w:val="2B9B22FF"/>
    <w:rsid w:val="2B9B27DC"/>
    <w:rsid w:val="2BA411B4"/>
    <w:rsid w:val="2BA83487"/>
    <w:rsid w:val="2BAA087A"/>
    <w:rsid w:val="2BAB4F71"/>
    <w:rsid w:val="2BAC027F"/>
    <w:rsid w:val="2BBE7D9C"/>
    <w:rsid w:val="2BC929C8"/>
    <w:rsid w:val="2BCE5BED"/>
    <w:rsid w:val="2BD4007F"/>
    <w:rsid w:val="2BDD46C6"/>
    <w:rsid w:val="2BE27F2E"/>
    <w:rsid w:val="2BE40904"/>
    <w:rsid w:val="2BEE0FDB"/>
    <w:rsid w:val="2C032EF2"/>
    <w:rsid w:val="2C0A1621"/>
    <w:rsid w:val="2C0E0D23"/>
    <w:rsid w:val="2C1B32EB"/>
    <w:rsid w:val="2C1C51EE"/>
    <w:rsid w:val="2C370C0C"/>
    <w:rsid w:val="2C3A325C"/>
    <w:rsid w:val="2C4C53A8"/>
    <w:rsid w:val="2C523D97"/>
    <w:rsid w:val="2C530892"/>
    <w:rsid w:val="2C5865F5"/>
    <w:rsid w:val="2C5B711F"/>
    <w:rsid w:val="2C5D5807"/>
    <w:rsid w:val="2C78619D"/>
    <w:rsid w:val="2C7D5EBB"/>
    <w:rsid w:val="2C7D7DCC"/>
    <w:rsid w:val="2C876F1D"/>
    <w:rsid w:val="2CA90A4C"/>
    <w:rsid w:val="2CB93892"/>
    <w:rsid w:val="2CBA4A07"/>
    <w:rsid w:val="2CBD0053"/>
    <w:rsid w:val="2CC15006"/>
    <w:rsid w:val="2CC43190"/>
    <w:rsid w:val="2CC94C4A"/>
    <w:rsid w:val="2CC97392"/>
    <w:rsid w:val="2CC97407"/>
    <w:rsid w:val="2CD75A0F"/>
    <w:rsid w:val="2CE23C7B"/>
    <w:rsid w:val="2CE90E48"/>
    <w:rsid w:val="2CEB00D0"/>
    <w:rsid w:val="2CF0667B"/>
    <w:rsid w:val="2CF4338A"/>
    <w:rsid w:val="2CF47F19"/>
    <w:rsid w:val="2CFA3055"/>
    <w:rsid w:val="2CFF1CFF"/>
    <w:rsid w:val="2D016192"/>
    <w:rsid w:val="2D061055"/>
    <w:rsid w:val="2D0D4B37"/>
    <w:rsid w:val="2D197980"/>
    <w:rsid w:val="2D1E513E"/>
    <w:rsid w:val="2D2307FE"/>
    <w:rsid w:val="2D23435A"/>
    <w:rsid w:val="2D2C76B3"/>
    <w:rsid w:val="2D34475F"/>
    <w:rsid w:val="2D3E1194"/>
    <w:rsid w:val="2D473809"/>
    <w:rsid w:val="2D564730"/>
    <w:rsid w:val="2D574004"/>
    <w:rsid w:val="2D5B1D46"/>
    <w:rsid w:val="2D5C5ABE"/>
    <w:rsid w:val="2D5D27CC"/>
    <w:rsid w:val="2D5D28FD"/>
    <w:rsid w:val="2D61426A"/>
    <w:rsid w:val="2D6A01DB"/>
    <w:rsid w:val="2D6A057A"/>
    <w:rsid w:val="2D776454"/>
    <w:rsid w:val="2D7C4C3C"/>
    <w:rsid w:val="2D7E3FA1"/>
    <w:rsid w:val="2D8267E6"/>
    <w:rsid w:val="2D932A64"/>
    <w:rsid w:val="2D935C4B"/>
    <w:rsid w:val="2D960FD0"/>
    <w:rsid w:val="2D9708A4"/>
    <w:rsid w:val="2DB24B95"/>
    <w:rsid w:val="2DB80F46"/>
    <w:rsid w:val="2DBE3D56"/>
    <w:rsid w:val="2DC518B5"/>
    <w:rsid w:val="2DCE2518"/>
    <w:rsid w:val="2DEC0BF0"/>
    <w:rsid w:val="2DED6716"/>
    <w:rsid w:val="2E0028ED"/>
    <w:rsid w:val="2E00469C"/>
    <w:rsid w:val="2E0C3364"/>
    <w:rsid w:val="2E163EBF"/>
    <w:rsid w:val="2E1B7727"/>
    <w:rsid w:val="2E2C36E3"/>
    <w:rsid w:val="2E402CEA"/>
    <w:rsid w:val="2E40449A"/>
    <w:rsid w:val="2E426A62"/>
    <w:rsid w:val="2E480EB4"/>
    <w:rsid w:val="2E4B32AE"/>
    <w:rsid w:val="2E5A32AF"/>
    <w:rsid w:val="2E666BF4"/>
    <w:rsid w:val="2E6C1D31"/>
    <w:rsid w:val="2E76670C"/>
    <w:rsid w:val="2E7F3812"/>
    <w:rsid w:val="2E80654C"/>
    <w:rsid w:val="2E8452CD"/>
    <w:rsid w:val="2E8E1CA7"/>
    <w:rsid w:val="2E903C71"/>
    <w:rsid w:val="2E9C43C4"/>
    <w:rsid w:val="2EA91927"/>
    <w:rsid w:val="2EAB0AAB"/>
    <w:rsid w:val="2EB536D8"/>
    <w:rsid w:val="2EB86D24"/>
    <w:rsid w:val="2EBF0A2B"/>
    <w:rsid w:val="2EC401AC"/>
    <w:rsid w:val="2EC56A28"/>
    <w:rsid w:val="2EC658E5"/>
    <w:rsid w:val="2ECE6548"/>
    <w:rsid w:val="2ED2428A"/>
    <w:rsid w:val="2ED74AF1"/>
    <w:rsid w:val="2EDA5137"/>
    <w:rsid w:val="2EDE49DD"/>
    <w:rsid w:val="2EE3584F"/>
    <w:rsid w:val="2EE634AB"/>
    <w:rsid w:val="2EEA11CE"/>
    <w:rsid w:val="2EEA663A"/>
    <w:rsid w:val="2EF83286"/>
    <w:rsid w:val="2F0957D2"/>
    <w:rsid w:val="2F0E4B96"/>
    <w:rsid w:val="2F104C34"/>
    <w:rsid w:val="2F1624F9"/>
    <w:rsid w:val="2F1877C3"/>
    <w:rsid w:val="2F1A353B"/>
    <w:rsid w:val="2F1D6035"/>
    <w:rsid w:val="2F274695"/>
    <w:rsid w:val="2F2820FC"/>
    <w:rsid w:val="2F2D14C0"/>
    <w:rsid w:val="2F2F348A"/>
    <w:rsid w:val="2F3029A9"/>
    <w:rsid w:val="2F3D2E8E"/>
    <w:rsid w:val="2F440296"/>
    <w:rsid w:val="2F575B54"/>
    <w:rsid w:val="2F593715"/>
    <w:rsid w:val="2F5B3A07"/>
    <w:rsid w:val="2F7013AD"/>
    <w:rsid w:val="2F794705"/>
    <w:rsid w:val="2F875074"/>
    <w:rsid w:val="2F947791"/>
    <w:rsid w:val="2F9C6646"/>
    <w:rsid w:val="2F9E23BE"/>
    <w:rsid w:val="2FA31782"/>
    <w:rsid w:val="2FA33530"/>
    <w:rsid w:val="2FA5487A"/>
    <w:rsid w:val="2FAA2B11"/>
    <w:rsid w:val="2FAC2C2F"/>
    <w:rsid w:val="2FB44791"/>
    <w:rsid w:val="2FBC180A"/>
    <w:rsid w:val="2FBE0C87"/>
    <w:rsid w:val="2FBE38EC"/>
    <w:rsid w:val="2FC811E9"/>
    <w:rsid w:val="2FD172E1"/>
    <w:rsid w:val="2FDB2CCA"/>
    <w:rsid w:val="2FDE27BA"/>
    <w:rsid w:val="2FE96F27"/>
    <w:rsid w:val="2FF124EE"/>
    <w:rsid w:val="2FF65D56"/>
    <w:rsid w:val="2FF90CF6"/>
    <w:rsid w:val="2FFD0E93"/>
    <w:rsid w:val="300264A9"/>
    <w:rsid w:val="30040748"/>
    <w:rsid w:val="30055F99"/>
    <w:rsid w:val="300C7328"/>
    <w:rsid w:val="300E626A"/>
    <w:rsid w:val="30172D3B"/>
    <w:rsid w:val="301937F3"/>
    <w:rsid w:val="301B3A0F"/>
    <w:rsid w:val="30201025"/>
    <w:rsid w:val="302059F3"/>
    <w:rsid w:val="30311084"/>
    <w:rsid w:val="30316D8E"/>
    <w:rsid w:val="30336FAA"/>
    <w:rsid w:val="30425944"/>
    <w:rsid w:val="30435150"/>
    <w:rsid w:val="30455292"/>
    <w:rsid w:val="304B3C1C"/>
    <w:rsid w:val="30566085"/>
    <w:rsid w:val="305D4027"/>
    <w:rsid w:val="306058C5"/>
    <w:rsid w:val="30607673"/>
    <w:rsid w:val="306727B0"/>
    <w:rsid w:val="306929CC"/>
    <w:rsid w:val="306E7FE2"/>
    <w:rsid w:val="307024B6"/>
    <w:rsid w:val="307355F9"/>
    <w:rsid w:val="30760C45"/>
    <w:rsid w:val="30853C4C"/>
    <w:rsid w:val="309264FA"/>
    <w:rsid w:val="309A66A0"/>
    <w:rsid w:val="30A11411"/>
    <w:rsid w:val="30A21A3A"/>
    <w:rsid w:val="30A27C8C"/>
    <w:rsid w:val="30AF7E29"/>
    <w:rsid w:val="30B3386D"/>
    <w:rsid w:val="30B55C11"/>
    <w:rsid w:val="30B67293"/>
    <w:rsid w:val="30BD0622"/>
    <w:rsid w:val="30C90DC5"/>
    <w:rsid w:val="30C96FC7"/>
    <w:rsid w:val="30CE10FD"/>
    <w:rsid w:val="30D00355"/>
    <w:rsid w:val="30D047F9"/>
    <w:rsid w:val="30D14E34"/>
    <w:rsid w:val="30D2151E"/>
    <w:rsid w:val="30D91BF6"/>
    <w:rsid w:val="30DC13F0"/>
    <w:rsid w:val="30E3452C"/>
    <w:rsid w:val="30E43E01"/>
    <w:rsid w:val="30EE2ED1"/>
    <w:rsid w:val="30F229C1"/>
    <w:rsid w:val="30F32296"/>
    <w:rsid w:val="30F93841"/>
    <w:rsid w:val="30FE1C60"/>
    <w:rsid w:val="310077E3"/>
    <w:rsid w:val="31073F26"/>
    <w:rsid w:val="310821E5"/>
    <w:rsid w:val="310D4304"/>
    <w:rsid w:val="310D47D5"/>
    <w:rsid w:val="310E70CF"/>
    <w:rsid w:val="311D196D"/>
    <w:rsid w:val="311F4E17"/>
    <w:rsid w:val="312132A7"/>
    <w:rsid w:val="312B7C81"/>
    <w:rsid w:val="312D39F9"/>
    <w:rsid w:val="312F7772"/>
    <w:rsid w:val="3136348E"/>
    <w:rsid w:val="3140750D"/>
    <w:rsid w:val="31436D79"/>
    <w:rsid w:val="314825E1"/>
    <w:rsid w:val="3150593A"/>
    <w:rsid w:val="31644F41"/>
    <w:rsid w:val="31701B38"/>
    <w:rsid w:val="317433D6"/>
    <w:rsid w:val="31747736"/>
    <w:rsid w:val="317653A0"/>
    <w:rsid w:val="31880C30"/>
    <w:rsid w:val="31973569"/>
    <w:rsid w:val="31A41D5F"/>
    <w:rsid w:val="31AA115B"/>
    <w:rsid w:val="31AB5F53"/>
    <w:rsid w:val="31B23EFF"/>
    <w:rsid w:val="31BC6B2B"/>
    <w:rsid w:val="31BE4652"/>
    <w:rsid w:val="31C3610C"/>
    <w:rsid w:val="31CA05A6"/>
    <w:rsid w:val="31CD6F8B"/>
    <w:rsid w:val="31CE04BB"/>
    <w:rsid w:val="31D73965"/>
    <w:rsid w:val="31DA4319"/>
    <w:rsid w:val="31DE6AA2"/>
    <w:rsid w:val="31E00A6C"/>
    <w:rsid w:val="31E93671"/>
    <w:rsid w:val="31EC602F"/>
    <w:rsid w:val="31EC7411"/>
    <w:rsid w:val="31F14A27"/>
    <w:rsid w:val="31F369F1"/>
    <w:rsid w:val="31F633D9"/>
    <w:rsid w:val="31F75DB5"/>
    <w:rsid w:val="31F84007"/>
    <w:rsid w:val="31FB2228"/>
    <w:rsid w:val="32002EBC"/>
    <w:rsid w:val="320B5596"/>
    <w:rsid w:val="3217410E"/>
    <w:rsid w:val="32242B7A"/>
    <w:rsid w:val="32250E4F"/>
    <w:rsid w:val="322F554F"/>
    <w:rsid w:val="32342B66"/>
    <w:rsid w:val="32384404"/>
    <w:rsid w:val="32403562"/>
    <w:rsid w:val="324165D9"/>
    <w:rsid w:val="324C0530"/>
    <w:rsid w:val="32562ADC"/>
    <w:rsid w:val="32580F24"/>
    <w:rsid w:val="326D4F88"/>
    <w:rsid w:val="32742471"/>
    <w:rsid w:val="32755658"/>
    <w:rsid w:val="32805DAB"/>
    <w:rsid w:val="328324B8"/>
    <w:rsid w:val="32935ADE"/>
    <w:rsid w:val="3293788C"/>
    <w:rsid w:val="32986CFD"/>
    <w:rsid w:val="32997EC6"/>
    <w:rsid w:val="32A9576A"/>
    <w:rsid w:val="32AB107A"/>
    <w:rsid w:val="32B37F2E"/>
    <w:rsid w:val="32B9185D"/>
    <w:rsid w:val="32BA306B"/>
    <w:rsid w:val="32BC1A8D"/>
    <w:rsid w:val="32CB5278"/>
    <w:rsid w:val="32CD7BC7"/>
    <w:rsid w:val="32D0288E"/>
    <w:rsid w:val="32D103B5"/>
    <w:rsid w:val="32DA195F"/>
    <w:rsid w:val="32DF2AD1"/>
    <w:rsid w:val="32EB1476"/>
    <w:rsid w:val="32F04CDF"/>
    <w:rsid w:val="32F3060F"/>
    <w:rsid w:val="33013EE5"/>
    <w:rsid w:val="330C5891"/>
    <w:rsid w:val="33240E2C"/>
    <w:rsid w:val="33242BDA"/>
    <w:rsid w:val="33274478"/>
    <w:rsid w:val="332F611B"/>
    <w:rsid w:val="333867CE"/>
    <w:rsid w:val="333C2603"/>
    <w:rsid w:val="33423F49"/>
    <w:rsid w:val="3344502A"/>
    <w:rsid w:val="334E5EA9"/>
    <w:rsid w:val="334F6734"/>
    <w:rsid w:val="335039CF"/>
    <w:rsid w:val="336456CD"/>
    <w:rsid w:val="3364747B"/>
    <w:rsid w:val="33667C7F"/>
    <w:rsid w:val="33691AE3"/>
    <w:rsid w:val="33743B62"/>
    <w:rsid w:val="33751688"/>
    <w:rsid w:val="3381627F"/>
    <w:rsid w:val="33AE06F6"/>
    <w:rsid w:val="33B57189"/>
    <w:rsid w:val="33B57CD6"/>
    <w:rsid w:val="33BA52ED"/>
    <w:rsid w:val="33BC1065"/>
    <w:rsid w:val="33CB1BCD"/>
    <w:rsid w:val="33CB74FA"/>
    <w:rsid w:val="33CF6FEA"/>
    <w:rsid w:val="33D07732"/>
    <w:rsid w:val="33E80CAA"/>
    <w:rsid w:val="33E83EB7"/>
    <w:rsid w:val="33EA3E24"/>
    <w:rsid w:val="33F67B02"/>
    <w:rsid w:val="33F94067"/>
    <w:rsid w:val="33FC76B3"/>
    <w:rsid w:val="34044EE1"/>
    <w:rsid w:val="340F3C54"/>
    <w:rsid w:val="340F5638"/>
    <w:rsid w:val="34107796"/>
    <w:rsid w:val="341B3117"/>
    <w:rsid w:val="34204528"/>
    <w:rsid w:val="342866FA"/>
    <w:rsid w:val="342C15DE"/>
    <w:rsid w:val="34300B2E"/>
    <w:rsid w:val="34360E17"/>
    <w:rsid w:val="344352E2"/>
    <w:rsid w:val="345422DB"/>
    <w:rsid w:val="34632299"/>
    <w:rsid w:val="34677222"/>
    <w:rsid w:val="346C0F8D"/>
    <w:rsid w:val="34714439"/>
    <w:rsid w:val="347D6A46"/>
    <w:rsid w:val="348311E2"/>
    <w:rsid w:val="348865FC"/>
    <w:rsid w:val="348F55F6"/>
    <w:rsid w:val="34A00986"/>
    <w:rsid w:val="34AE3328"/>
    <w:rsid w:val="34B53443"/>
    <w:rsid w:val="34B87A7E"/>
    <w:rsid w:val="34C651D8"/>
    <w:rsid w:val="34CE205D"/>
    <w:rsid w:val="34D97170"/>
    <w:rsid w:val="34E64B0A"/>
    <w:rsid w:val="34E658CA"/>
    <w:rsid w:val="34F027BA"/>
    <w:rsid w:val="34F83F59"/>
    <w:rsid w:val="350E58F0"/>
    <w:rsid w:val="3511718E"/>
    <w:rsid w:val="35247985"/>
    <w:rsid w:val="352842A7"/>
    <w:rsid w:val="352932DB"/>
    <w:rsid w:val="353335A8"/>
    <w:rsid w:val="3538471B"/>
    <w:rsid w:val="353B48A1"/>
    <w:rsid w:val="35415D24"/>
    <w:rsid w:val="354C0F96"/>
    <w:rsid w:val="354F3995"/>
    <w:rsid w:val="35507CB7"/>
    <w:rsid w:val="3552352E"/>
    <w:rsid w:val="35540C3D"/>
    <w:rsid w:val="35585FE3"/>
    <w:rsid w:val="356053C8"/>
    <w:rsid w:val="35643762"/>
    <w:rsid w:val="3567552A"/>
    <w:rsid w:val="35683252"/>
    <w:rsid w:val="3569521C"/>
    <w:rsid w:val="356B689E"/>
    <w:rsid w:val="357A11D7"/>
    <w:rsid w:val="357B204A"/>
    <w:rsid w:val="358838F4"/>
    <w:rsid w:val="35942299"/>
    <w:rsid w:val="35A46254"/>
    <w:rsid w:val="35AB6865"/>
    <w:rsid w:val="35B75F88"/>
    <w:rsid w:val="35D2691D"/>
    <w:rsid w:val="35D97CAC"/>
    <w:rsid w:val="35DB7EC8"/>
    <w:rsid w:val="35E33BF3"/>
    <w:rsid w:val="35ED6CDF"/>
    <w:rsid w:val="35EE24EF"/>
    <w:rsid w:val="35F40F8A"/>
    <w:rsid w:val="35F647FD"/>
    <w:rsid w:val="35FA182D"/>
    <w:rsid w:val="35FA7F90"/>
    <w:rsid w:val="36010FB1"/>
    <w:rsid w:val="360329FA"/>
    <w:rsid w:val="36066BE9"/>
    <w:rsid w:val="3611559E"/>
    <w:rsid w:val="36143A30"/>
    <w:rsid w:val="361C02F8"/>
    <w:rsid w:val="36211653"/>
    <w:rsid w:val="362E240F"/>
    <w:rsid w:val="36342496"/>
    <w:rsid w:val="363B0967"/>
    <w:rsid w:val="36423817"/>
    <w:rsid w:val="366559E4"/>
    <w:rsid w:val="36721EAF"/>
    <w:rsid w:val="36815669"/>
    <w:rsid w:val="36861CA2"/>
    <w:rsid w:val="368D0A96"/>
    <w:rsid w:val="36940077"/>
    <w:rsid w:val="3699743B"/>
    <w:rsid w:val="36A244E2"/>
    <w:rsid w:val="36AA1648"/>
    <w:rsid w:val="36AA590E"/>
    <w:rsid w:val="36B10C29"/>
    <w:rsid w:val="36B145DA"/>
    <w:rsid w:val="36B204FD"/>
    <w:rsid w:val="36BF26F8"/>
    <w:rsid w:val="36C3270A"/>
    <w:rsid w:val="36C73FA8"/>
    <w:rsid w:val="36D60091"/>
    <w:rsid w:val="36DA1F2E"/>
    <w:rsid w:val="36DC14DB"/>
    <w:rsid w:val="36E7464B"/>
    <w:rsid w:val="36E96615"/>
    <w:rsid w:val="36EE7787"/>
    <w:rsid w:val="36EF34FF"/>
    <w:rsid w:val="36EF52AD"/>
    <w:rsid w:val="36F06D6B"/>
    <w:rsid w:val="36F154C9"/>
    <w:rsid w:val="36F30FAF"/>
    <w:rsid w:val="36F62AE0"/>
    <w:rsid w:val="36FF7BE6"/>
    <w:rsid w:val="3715770A"/>
    <w:rsid w:val="37180C1D"/>
    <w:rsid w:val="371C74D7"/>
    <w:rsid w:val="372829E4"/>
    <w:rsid w:val="372907BF"/>
    <w:rsid w:val="37362EDC"/>
    <w:rsid w:val="374E46CA"/>
    <w:rsid w:val="3756532C"/>
    <w:rsid w:val="37661A13"/>
    <w:rsid w:val="37734130"/>
    <w:rsid w:val="377E76D4"/>
    <w:rsid w:val="377F2AD5"/>
    <w:rsid w:val="37826121"/>
    <w:rsid w:val="3783337A"/>
    <w:rsid w:val="379C5435"/>
    <w:rsid w:val="37A4078E"/>
    <w:rsid w:val="37BB693F"/>
    <w:rsid w:val="37C16C4A"/>
    <w:rsid w:val="37C4498C"/>
    <w:rsid w:val="37C565AA"/>
    <w:rsid w:val="37CA161C"/>
    <w:rsid w:val="37D7646D"/>
    <w:rsid w:val="37DF7C9E"/>
    <w:rsid w:val="37EE37B7"/>
    <w:rsid w:val="37EF3797"/>
    <w:rsid w:val="37F214F9"/>
    <w:rsid w:val="37F25055"/>
    <w:rsid w:val="37F45271"/>
    <w:rsid w:val="37FB768F"/>
    <w:rsid w:val="38080E69"/>
    <w:rsid w:val="380A4A95"/>
    <w:rsid w:val="380C15CB"/>
    <w:rsid w:val="380F5C07"/>
    <w:rsid w:val="38130F90"/>
    <w:rsid w:val="38150F81"/>
    <w:rsid w:val="3816097A"/>
    <w:rsid w:val="38206066"/>
    <w:rsid w:val="383843EC"/>
    <w:rsid w:val="383B281E"/>
    <w:rsid w:val="384948E6"/>
    <w:rsid w:val="384D00C2"/>
    <w:rsid w:val="384D4981"/>
    <w:rsid w:val="38561A88"/>
    <w:rsid w:val="385C2E16"/>
    <w:rsid w:val="385D32B7"/>
    <w:rsid w:val="386817BB"/>
    <w:rsid w:val="38686994"/>
    <w:rsid w:val="3868707E"/>
    <w:rsid w:val="387243E8"/>
    <w:rsid w:val="387404BE"/>
    <w:rsid w:val="387719FE"/>
    <w:rsid w:val="38795776"/>
    <w:rsid w:val="38892804"/>
    <w:rsid w:val="388A407C"/>
    <w:rsid w:val="38947917"/>
    <w:rsid w:val="38961E84"/>
    <w:rsid w:val="38995E18"/>
    <w:rsid w:val="389A4E29"/>
    <w:rsid w:val="389C4947"/>
    <w:rsid w:val="38A26A7B"/>
    <w:rsid w:val="38A327F3"/>
    <w:rsid w:val="38A50319"/>
    <w:rsid w:val="38AA5930"/>
    <w:rsid w:val="38B44A00"/>
    <w:rsid w:val="38CC0EF3"/>
    <w:rsid w:val="38CC58A6"/>
    <w:rsid w:val="38CE7538"/>
    <w:rsid w:val="38D96215"/>
    <w:rsid w:val="38DA2877"/>
    <w:rsid w:val="38DB3D3B"/>
    <w:rsid w:val="38EC419A"/>
    <w:rsid w:val="38ED3A6E"/>
    <w:rsid w:val="38EE0943"/>
    <w:rsid w:val="38F20621"/>
    <w:rsid w:val="39072D82"/>
    <w:rsid w:val="390A63CE"/>
    <w:rsid w:val="391773BA"/>
    <w:rsid w:val="391F4B95"/>
    <w:rsid w:val="39202096"/>
    <w:rsid w:val="392247B4"/>
    <w:rsid w:val="392A30CA"/>
    <w:rsid w:val="392A51E2"/>
    <w:rsid w:val="392B16CE"/>
    <w:rsid w:val="392C27E9"/>
    <w:rsid w:val="393B68E9"/>
    <w:rsid w:val="39407FC8"/>
    <w:rsid w:val="39447B32"/>
    <w:rsid w:val="39596004"/>
    <w:rsid w:val="395F671A"/>
    <w:rsid w:val="39643D30"/>
    <w:rsid w:val="39656180"/>
    <w:rsid w:val="39735264"/>
    <w:rsid w:val="39754190"/>
    <w:rsid w:val="397B72CC"/>
    <w:rsid w:val="397F500E"/>
    <w:rsid w:val="39820561"/>
    <w:rsid w:val="39864EA1"/>
    <w:rsid w:val="398D1A55"/>
    <w:rsid w:val="39931CF1"/>
    <w:rsid w:val="39A46823"/>
    <w:rsid w:val="39AD3929"/>
    <w:rsid w:val="39B163CC"/>
    <w:rsid w:val="39B35120"/>
    <w:rsid w:val="39B36A66"/>
    <w:rsid w:val="39B44FD8"/>
    <w:rsid w:val="39BA3CAC"/>
    <w:rsid w:val="39C3314D"/>
    <w:rsid w:val="39CA6372"/>
    <w:rsid w:val="39DC3DFF"/>
    <w:rsid w:val="39E21FD7"/>
    <w:rsid w:val="39E3559D"/>
    <w:rsid w:val="39E6508D"/>
    <w:rsid w:val="39FD2308"/>
    <w:rsid w:val="39FF45D1"/>
    <w:rsid w:val="39FF7EFD"/>
    <w:rsid w:val="3A00614F"/>
    <w:rsid w:val="3A06128C"/>
    <w:rsid w:val="3A0E2186"/>
    <w:rsid w:val="3A1F234D"/>
    <w:rsid w:val="3A1F40FB"/>
    <w:rsid w:val="3A217E73"/>
    <w:rsid w:val="3A2F2590"/>
    <w:rsid w:val="3A305FE4"/>
    <w:rsid w:val="3A322081"/>
    <w:rsid w:val="3A3529A4"/>
    <w:rsid w:val="3A36092A"/>
    <w:rsid w:val="3A485400"/>
    <w:rsid w:val="3A524858"/>
    <w:rsid w:val="3A535CE8"/>
    <w:rsid w:val="3A59650C"/>
    <w:rsid w:val="3A6371E8"/>
    <w:rsid w:val="3A650DE9"/>
    <w:rsid w:val="3A6E599A"/>
    <w:rsid w:val="3A751F6D"/>
    <w:rsid w:val="3A7D1EA9"/>
    <w:rsid w:val="3A7E295B"/>
    <w:rsid w:val="3A8A18E2"/>
    <w:rsid w:val="3A8B1791"/>
    <w:rsid w:val="3A8B50C3"/>
    <w:rsid w:val="3A9B5E78"/>
    <w:rsid w:val="3A9C7207"/>
    <w:rsid w:val="3A9E56A4"/>
    <w:rsid w:val="3AA54601"/>
    <w:rsid w:val="3AA840F1"/>
    <w:rsid w:val="3AAA1C17"/>
    <w:rsid w:val="3AAC56E6"/>
    <w:rsid w:val="3AB42A96"/>
    <w:rsid w:val="3AB463A8"/>
    <w:rsid w:val="3AC7689D"/>
    <w:rsid w:val="3AD509CD"/>
    <w:rsid w:val="3ADB506A"/>
    <w:rsid w:val="3AE140A2"/>
    <w:rsid w:val="3AEB1003"/>
    <w:rsid w:val="3AF364B7"/>
    <w:rsid w:val="3AF44FD7"/>
    <w:rsid w:val="3B055C74"/>
    <w:rsid w:val="3B076875"/>
    <w:rsid w:val="3B0C28D2"/>
    <w:rsid w:val="3B0C65F0"/>
    <w:rsid w:val="3B1243B6"/>
    <w:rsid w:val="3B130EC7"/>
    <w:rsid w:val="3B20012B"/>
    <w:rsid w:val="3B245E6D"/>
    <w:rsid w:val="3B286FE0"/>
    <w:rsid w:val="3B297E39"/>
    <w:rsid w:val="3B3616FD"/>
    <w:rsid w:val="3B4A51A8"/>
    <w:rsid w:val="3B6267E6"/>
    <w:rsid w:val="3B7A783B"/>
    <w:rsid w:val="3B806E1C"/>
    <w:rsid w:val="3B820DE6"/>
    <w:rsid w:val="3B877BE0"/>
    <w:rsid w:val="3B9C3C56"/>
    <w:rsid w:val="3BA945C4"/>
    <w:rsid w:val="3BB91780"/>
    <w:rsid w:val="3BBA100A"/>
    <w:rsid w:val="3BBA2E14"/>
    <w:rsid w:val="3BC136BC"/>
    <w:rsid w:val="3BCF6105"/>
    <w:rsid w:val="3BD17677"/>
    <w:rsid w:val="3BD21711"/>
    <w:rsid w:val="3BDC6748"/>
    <w:rsid w:val="3BEB550D"/>
    <w:rsid w:val="3BEE49A6"/>
    <w:rsid w:val="3BEF2B4D"/>
    <w:rsid w:val="3BF943C2"/>
    <w:rsid w:val="3BFA5FE0"/>
    <w:rsid w:val="3BFC1D0E"/>
    <w:rsid w:val="3BFE54F7"/>
    <w:rsid w:val="3C051341"/>
    <w:rsid w:val="3C164956"/>
    <w:rsid w:val="3C406798"/>
    <w:rsid w:val="3C406CD7"/>
    <w:rsid w:val="3C461E13"/>
    <w:rsid w:val="3C56236E"/>
    <w:rsid w:val="3C6A649E"/>
    <w:rsid w:val="3C6F136A"/>
    <w:rsid w:val="3C845AC9"/>
    <w:rsid w:val="3C912D79"/>
    <w:rsid w:val="3C9962E1"/>
    <w:rsid w:val="3C9C1A33"/>
    <w:rsid w:val="3CA05712"/>
    <w:rsid w:val="3CA60B04"/>
    <w:rsid w:val="3CA871BE"/>
    <w:rsid w:val="3CBF319F"/>
    <w:rsid w:val="3CD72A6B"/>
    <w:rsid w:val="3CD8460A"/>
    <w:rsid w:val="3CE358B4"/>
    <w:rsid w:val="3CE67855"/>
    <w:rsid w:val="3CEC4769"/>
    <w:rsid w:val="3CED04E1"/>
    <w:rsid w:val="3CF11D7F"/>
    <w:rsid w:val="3CF4361D"/>
    <w:rsid w:val="3D0C2461"/>
    <w:rsid w:val="3D127F47"/>
    <w:rsid w:val="3D18555E"/>
    <w:rsid w:val="3D1912D6"/>
    <w:rsid w:val="3D275715"/>
    <w:rsid w:val="3D29215E"/>
    <w:rsid w:val="3D3F4383"/>
    <w:rsid w:val="3D406863"/>
    <w:rsid w:val="3D424389"/>
    <w:rsid w:val="3D453E79"/>
    <w:rsid w:val="3D4C369B"/>
    <w:rsid w:val="3D4C6F97"/>
    <w:rsid w:val="3D4F21FC"/>
    <w:rsid w:val="3D5325BC"/>
    <w:rsid w:val="3D5440BC"/>
    <w:rsid w:val="3D566086"/>
    <w:rsid w:val="3D6077C6"/>
    <w:rsid w:val="3D621EB8"/>
    <w:rsid w:val="3D6A2339"/>
    <w:rsid w:val="3D6D5435"/>
    <w:rsid w:val="3D6F2C59"/>
    <w:rsid w:val="3D714C6E"/>
    <w:rsid w:val="3D7824A0"/>
    <w:rsid w:val="3D8175A7"/>
    <w:rsid w:val="3D874491"/>
    <w:rsid w:val="3D8E53BB"/>
    <w:rsid w:val="3D9A384D"/>
    <w:rsid w:val="3DB026DE"/>
    <w:rsid w:val="3DB42DAD"/>
    <w:rsid w:val="3DB63A05"/>
    <w:rsid w:val="3DB73753"/>
    <w:rsid w:val="3DB94AB6"/>
    <w:rsid w:val="3DC456E6"/>
    <w:rsid w:val="3DE511B8"/>
    <w:rsid w:val="3DE955BD"/>
    <w:rsid w:val="3DEE4B41"/>
    <w:rsid w:val="3DFF3F80"/>
    <w:rsid w:val="3E0A124F"/>
    <w:rsid w:val="3E0B6E71"/>
    <w:rsid w:val="3E1D6BA4"/>
    <w:rsid w:val="3E2241BA"/>
    <w:rsid w:val="3E245F6A"/>
    <w:rsid w:val="3E373C05"/>
    <w:rsid w:val="3E377C66"/>
    <w:rsid w:val="3E390F9E"/>
    <w:rsid w:val="3E3C527C"/>
    <w:rsid w:val="3E412892"/>
    <w:rsid w:val="3E4B1963"/>
    <w:rsid w:val="3E503518"/>
    <w:rsid w:val="3E5E1696"/>
    <w:rsid w:val="3E6D7B2B"/>
    <w:rsid w:val="3E716AF3"/>
    <w:rsid w:val="3E79027E"/>
    <w:rsid w:val="3E8328AF"/>
    <w:rsid w:val="3E892E3D"/>
    <w:rsid w:val="3E9F69F0"/>
    <w:rsid w:val="3EA02420"/>
    <w:rsid w:val="3EA42E21"/>
    <w:rsid w:val="3EB47508"/>
    <w:rsid w:val="3EB62855"/>
    <w:rsid w:val="3EBA6F85"/>
    <w:rsid w:val="3ECB4A0A"/>
    <w:rsid w:val="3ED91CC6"/>
    <w:rsid w:val="3EDF6DEF"/>
    <w:rsid w:val="3EE42519"/>
    <w:rsid w:val="3EE6168C"/>
    <w:rsid w:val="3EF50873"/>
    <w:rsid w:val="3EF72BA2"/>
    <w:rsid w:val="3EF9316D"/>
    <w:rsid w:val="3EFB3603"/>
    <w:rsid w:val="3F1461F9"/>
    <w:rsid w:val="3F177A97"/>
    <w:rsid w:val="3F19380F"/>
    <w:rsid w:val="3F2301EA"/>
    <w:rsid w:val="3F23643C"/>
    <w:rsid w:val="3F2F4DE1"/>
    <w:rsid w:val="3F36616F"/>
    <w:rsid w:val="3F4516BE"/>
    <w:rsid w:val="3F49790A"/>
    <w:rsid w:val="3F4E1585"/>
    <w:rsid w:val="3F6C393F"/>
    <w:rsid w:val="3F6E1604"/>
    <w:rsid w:val="3F7904C7"/>
    <w:rsid w:val="3F8A0269"/>
    <w:rsid w:val="3F8F0C70"/>
    <w:rsid w:val="3F950902"/>
    <w:rsid w:val="3FA22394"/>
    <w:rsid w:val="3FA27361"/>
    <w:rsid w:val="3FB83028"/>
    <w:rsid w:val="3FB9188B"/>
    <w:rsid w:val="3FD37E62"/>
    <w:rsid w:val="3FDD483D"/>
    <w:rsid w:val="3FE41D08"/>
    <w:rsid w:val="3FE931E1"/>
    <w:rsid w:val="3FF64D6E"/>
    <w:rsid w:val="3FFA6B9F"/>
    <w:rsid w:val="40090768"/>
    <w:rsid w:val="400D69A7"/>
    <w:rsid w:val="4012324F"/>
    <w:rsid w:val="401A783F"/>
    <w:rsid w:val="401F6C03"/>
    <w:rsid w:val="40225625"/>
    <w:rsid w:val="40295CD4"/>
    <w:rsid w:val="402A08BF"/>
    <w:rsid w:val="402B0E37"/>
    <w:rsid w:val="402B1A4C"/>
    <w:rsid w:val="403E2E27"/>
    <w:rsid w:val="40477F08"/>
    <w:rsid w:val="40480227"/>
    <w:rsid w:val="40490124"/>
    <w:rsid w:val="404E74E8"/>
    <w:rsid w:val="405F42A1"/>
    <w:rsid w:val="40652BAF"/>
    <w:rsid w:val="406867FC"/>
    <w:rsid w:val="406B1E48"/>
    <w:rsid w:val="4070745F"/>
    <w:rsid w:val="407231D7"/>
    <w:rsid w:val="407C22A8"/>
    <w:rsid w:val="407F3B46"/>
    <w:rsid w:val="407F58F4"/>
    <w:rsid w:val="40860A30"/>
    <w:rsid w:val="408D6263"/>
    <w:rsid w:val="409969B6"/>
    <w:rsid w:val="40A11D0E"/>
    <w:rsid w:val="40BF20CA"/>
    <w:rsid w:val="40C643BA"/>
    <w:rsid w:val="40C757B8"/>
    <w:rsid w:val="40C8729B"/>
    <w:rsid w:val="40CE4185"/>
    <w:rsid w:val="40CF5B9E"/>
    <w:rsid w:val="40DA6C81"/>
    <w:rsid w:val="40E77DF5"/>
    <w:rsid w:val="40EF74B1"/>
    <w:rsid w:val="40F40090"/>
    <w:rsid w:val="40F57964"/>
    <w:rsid w:val="40F8598E"/>
    <w:rsid w:val="40FE0F0E"/>
    <w:rsid w:val="410F4ECA"/>
    <w:rsid w:val="41136117"/>
    <w:rsid w:val="412070D7"/>
    <w:rsid w:val="412206CC"/>
    <w:rsid w:val="412A1D04"/>
    <w:rsid w:val="41306BEE"/>
    <w:rsid w:val="41323F60"/>
    <w:rsid w:val="413B7A6D"/>
    <w:rsid w:val="41466412"/>
    <w:rsid w:val="41495A51"/>
    <w:rsid w:val="414A7CB0"/>
    <w:rsid w:val="415648A7"/>
    <w:rsid w:val="41570C59"/>
    <w:rsid w:val="4157323C"/>
    <w:rsid w:val="41591EC9"/>
    <w:rsid w:val="415969E0"/>
    <w:rsid w:val="416A2100"/>
    <w:rsid w:val="416C5E78"/>
    <w:rsid w:val="417B255F"/>
    <w:rsid w:val="417C1E33"/>
    <w:rsid w:val="418074D9"/>
    <w:rsid w:val="41830EBB"/>
    <w:rsid w:val="419158DF"/>
    <w:rsid w:val="41966B07"/>
    <w:rsid w:val="41B31CF9"/>
    <w:rsid w:val="41B411AB"/>
    <w:rsid w:val="41BD2B78"/>
    <w:rsid w:val="41C6236B"/>
    <w:rsid w:val="41C9151C"/>
    <w:rsid w:val="41CA2206"/>
    <w:rsid w:val="41D20951"/>
    <w:rsid w:val="41D81760"/>
    <w:rsid w:val="41D93769"/>
    <w:rsid w:val="41DC2F95"/>
    <w:rsid w:val="41DD28D2"/>
    <w:rsid w:val="41E16D96"/>
    <w:rsid w:val="41E2613A"/>
    <w:rsid w:val="41E81788"/>
    <w:rsid w:val="41EA3241"/>
    <w:rsid w:val="41EA4FEF"/>
    <w:rsid w:val="41F1637D"/>
    <w:rsid w:val="41F67E38"/>
    <w:rsid w:val="41F8438A"/>
    <w:rsid w:val="41F93484"/>
    <w:rsid w:val="42073243"/>
    <w:rsid w:val="42116A20"/>
    <w:rsid w:val="42250563"/>
    <w:rsid w:val="42254279"/>
    <w:rsid w:val="42295DFA"/>
    <w:rsid w:val="422C0E20"/>
    <w:rsid w:val="42362148"/>
    <w:rsid w:val="423746D8"/>
    <w:rsid w:val="423A5F76"/>
    <w:rsid w:val="423D7815"/>
    <w:rsid w:val="42414588"/>
    <w:rsid w:val="4242307D"/>
    <w:rsid w:val="4246491B"/>
    <w:rsid w:val="424B3CDF"/>
    <w:rsid w:val="42660B19"/>
    <w:rsid w:val="426F425E"/>
    <w:rsid w:val="42720457"/>
    <w:rsid w:val="42724A79"/>
    <w:rsid w:val="42787FB6"/>
    <w:rsid w:val="427D180C"/>
    <w:rsid w:val="4283571B"/>
    <w:rsid w:val="428A3431"/>
    <w:rsid w:val="428B67D2"/>
    <w:rsid w:val="429C336E"/>
    <w:rsid w:val="42A67168"/>
    <w:rsid w:val="42AD0B36"/>
    <w:rsid w:val="42B740D3"/>
    <w:rsid w:val="42BE0955"/>
    <w:rsid w:val="42CF0A62"/>
    <w:rsid w:val="42E12ADA"/>
    <w:rsid w:val="42F9198D"/>
    <w:rsid w:val="43000F6E"/>
    <w:rsid w:val="43004304"/>
    <w:rsid w:val="43052C44"/>
    <w:rsid w:val="43087E22"/>
    <w:rsid w:val="43160791"/>
    <w:rsid w:val="43174668"/>
    <w:rsid w:val="431762B8"/>
    <w:rsid w:val="431B5A0C"/>
    <w:rsid w:val="432112B5"/>
    <w:rsid w:val="43221654"/>
    <w:rsid w:val="43316D17"/>
    <w:rsid w:val="43324E9F"/>
    <w:rsid w:val="433C58E3"/>
    <w:rsid w:val="43421586"/>
    <w:rsid w:val="43471087"/>
    <w:rsid w:val="434D5127"/>
    <w:rsid w:val="4359242C"/>
    <w:rsid w:val="43595A87"/>
    <w:rsid w:val="435C016E"/>
    <w:rsid w:val="43670FED"/>
    <w:rsid w:val="43676CA9"/>
    <w:rsid w:val="437D39A2"/>
    <w:rsid w:val="438144EC"/>
    <w:rsid w:val="438C0A54"/>
    <w:rsid w:val="438D0328"/>
    <w:rsid w:val="438F3402"/>
    <w:rsid w:val="439E42E3"/>
    <w:rsid w:val="43A80903"/>
    <w:rsid w:val="43B72C56"/>
    <w:rsid w:val="43C024AB"/>
    <w:rsid w:val="43C24475"/>
    <w:rsid w:val="43CA2C83"/>
    <w:rsid w:val="43CC2BFE"/>
    <w:rsid w:val="43CE567F"/>
    <w:rsid w:val="43CF6B92"/>
    <w:rsid w:val="43D83C99"/>
    <w:rsid w:val="43D877F5"/>
    <w:rsid w:val="43DE04D9"/>
    <w:rsid w:val="43DE2931"/>
    <w:rsid w:val="43DF5027"/>
    <w:rsid w:val="43E67164"/>
    <w:rsid w:val="43E9039C"/>
    <w:rsid w:val="43ED4F4A"/>
    <w:rsid w:val="43F9712D"/>
    <w:rsid w:val="440B0A96"/>
    <w:rsid w:val="440F51E1"/>
    <w:rsid w:val="44141C79"/>
    <w:rsid w:val="44194BC4"/>
    <w:rsid w:val="442273B7"/>
    <w:rsid w:val="44240C8C"/>
    <w:rsid w:val="44271B10"/>
    <w:rsid w:val="442D371B"/>
    <w:rsid w:val="44305883"/>
    <w:rsid w:val="443F1157"/>
    <w:rsid w:val="44423D61"/>
    <w:rsid w:val="4447497A"/>
    <w:rsid w:val="44496BC8"/>
    <w:rsid w:val="444A7D59"/>
    <w:rsid w:val="445175A7"/>
    <w:rsid w:val="445901AA"/>
    <w:rsid w:val="445F7F16"/>
    <w:rsid w:val="44661919"/>
    <w:rsid w:val="446B69CC"/>
    <w:rsid w:val="44703ED1"/>
    <w:rsid w:val="4473776A"/>
    <w:rsid w:val="447B1636"/>
    <w:rsid w:val="447F2366"/>
    <w:rsid w:val="447F42ED"/>
    <w:rsid w:val="4483586A"/>
    <w:rsid w:val="44937BC0"/>
    <w:rsid w:val="449636AD"/>
    <w:rsid w:val="449A0F4E"/>
    <w:rsid w:val="44AB5D3A"/>
    <w:rsid w:val="44B042CE"/>
    <w:rsid w:val="44B46654"/>
    <w:rsid w:val="44BF0669"/>
    <w:rsid w:val="44D426B2"/>
    <w:rsid w:val="44DC50C3"/>
    <w:rsid w:val="44E421C9"/>
    <w:rsid w:val="44EB464B"/>
    <w:rsid w:val="44F3240C"/>
    <w:rsid w:val="45050ABD"/>
    <w:rsid w:val="45167F30"/>
    <w:rsid w:val="452158C8"/>
    <w:rsid w:val="452847AC"/>
    <w:rsid w:val="453018B3"/>
    <w:rsid w:val="45361613"/>
    <w:rsid w:val="45390A41"/>
    <w:rsid w:val="45392515"/>
    <w:rsid w:val="454113CA"/>
    <w:rsid w:val="454B2480"/>
    <w:rsid w:val="454F1D39"/>
    <w:rsid w:val="454F2556"/>
    <w:rsid w:val="455235D7"/>
    <w:rsid w:val="45576E3F"/>
    <w:rsid w:val="45594965"/>
    <w:rsid w:val="456A4DC4"/>
    <w:rsid w:val="456D21BF"/>
    <w:rsid w:val="456F454F"/>
    <w:rsid w:val="45743E6C"/>
    <w:rsid w:val="458846FC"/>
    <w:rsid w:val="45947BA6"/>
    <w:rsid w:val="45952D33"/>
    <w:rsid w:val="459C2AA4"/>
    <w:rsid w:val="45AA78B4"/>
    <w:rsid w:val="45AE0BF1"/>
    <w:rsid w:val="45B25275"/>
    <w:rsid w:val="45C53801"/>
    <w:rsid w:val="45C96E92"/>
    <w:rsid w:val="45E02DE2"/>
    <w:rsid w:val="45F21BF9"/>
    <w:rsid w:val="45F61652"/>
    <w:rsid w:val="45F75F2C"/>
    <w:rsid w:val="45F97375"/>
    <w:rsid w:val="45FC7928"/>
    <w:rsid w:val="46003033"/>
    <w:rsid w:val="4600551A"/>
    <w:rsid w:val="460D735C"/>
    <w:rsid w:val="46113492"/>
    <w:rsid w:val="461429FE"/>
    <w:rsid w:val="461818FD"/>
    <w:rsid w:val="4623402E"/>
    <w:rsid w:val="46250CEB"/>
    <w:rsid w:val="463A6B14"/>
    <w:rsid w:val="463D7DE3"/>
    <w:rsid w:val="46402DFD"/>
    <w:rsid w:val="46492C2C"/>
    <w:rsid w:val="464D7AD2"/>
    <w:rsid w:val="464E1FF0"/>
    <w:rsid w:val="46511AE0"/>
    <w:rsid w:val="46545DD7"/>
    <w:rsid w:val="465F2847"/>
    <w:rsid w:val="466522C2"/>
    <w:rsid w:val="466E13B1"/>
    <w:rsid w:val="466E4440"/>
    <w:rsid w:val="46767799"/>
    <w:rsid w:val="46773123"/>
    <w:rsid w:val="46792898"/>
    <w:rsid w:val="467D0B27"/>
    <w:rsid w:val="46881D35"/>
    <w:rsid w:val="468A6CCD"/>
    <w:rsid w:val="468E6891"/>
    <w:rsid w:val="46916381"/>
    <w:rsid w:val="469320F9"/>
    <w:rsid w:val="469A3487"/>
    <w:rsid w:val="469D2F78"/>
    <w:rsid w:val="46A344F2"/>
    <w:rsid w:val="46AF778F"/>
    <w:rsid w:val="46BC33FE"/>
    <w:rsid w:val="46CE3131"/>
    <w:rsid w:val="46D34F0C"/>
    <w:rsid w:val="46D36999"/>
    <w:rsid w:val="46D72234"/>
    <w:rsid w:val="46DB5AC7"/>
    <w:rsid w:val="46DC72F8"/>
    <w:rsid w:val="46E03A59"/>
    <w:rsid w:val="46E110B6"/>
    <w:rsid w:val="46E17336"/>
    <w:rsid w:val="46F04E55"/>
    <w:rsid w:val="46F21269"/>
    <w:rsid w:val="47035EEE"/>
    <w:rsid w:val="470646EF"/>
    <w:rsid w:val="47183112"/>
    <w:rsid w:val="4721401A"/>
    <w:rsid w:val="472E0D2A"/>
    <w:rsid w:val="47376F28"/>
    <w:rsid w:val="473E02B7"/>
    <w:rsid w:val="47473012"/>
    <w:rsid w:val="474972AB"/>
    <w:rsid w:val="474D674C"/>
    <w:rsid w:val="4760311E"/>
    <w:rsid w:val="47623541"/>
    <w:rsid w:val="4766336A"/>
    <w:rsid w:val="476A10AC"/>
    <w:rsid w:val="476A2E5A"/>
    <w:rsid w:val="47727F60"/>
    <w:rsid w:val="477517FF"/>
    <w:rsid w:val="47775577"/>
    <w:rsid w:val="478E23E4"/>
    <w:rsid w:val="479F062A"/>
    <w:rsid w:val="47A345BE"/>
    <w:rsid w:val="47A76D05"/>
    <w:rsid w:val="47B45497"/>
    <w:rsid w:val="47B73BC5"/>
    <w:rsid w:val="47C23650"/>
    <w:rsid w:val="47C63E08"/>
    <w:rsid w:val="47CA38F8"/>
    <w:rsid w:val="47D2108D"/>
    <w:rsid w:val="47EB386F"/>
    <w:rsid w:val="47EF335F"/>
    <w:rsid w:val="47FC782A"/>
    <w:rsid w:val="48054931"/>
    <w:rsid w:val="4812529F"/>
    <w:rsid w:val="482676A4"/>
    <w:rsid w:val="48270D4B"/>
    <w:rsid w:val="48362E4D"/>
    <w:rsid w:val="483675CF"/>
    <w:rsid w:val="48384D06"/>
    <w:rsid w:val="484418FD"/>
    <w:rsid w:val="485633DE"/>
    <w:rsid w:val="485A1A8B"/>
    <w:rsid w:val="485D29BF"/>
    <w:rsid w:val="48645AFB"/>
    <w:rsid w:val="486F290F"/>
    <w:rsid w:val="487F3A59"/>
    <w:rsid w:val="4884619D"/>
    <w:rsid w:val="488A12DA"/>
    <w:rsid w:val="488E13F5"/>
    <w:rsid w:val="4894459B"/>
    <w:rsid w:val="48961A2D"/>
    <w:rsid w:val="489A060C"/>
    <w:rsid w:val="489E5C8A"/>
    <w:rsid w:val="48A27D93"/>
    <w:rsid w:val="48A32D37"/>
    <w:rsid w:val="48A91760"/>
    <w:rsid w:val="48AD4FF6"/>
    <w:rsid w:val="48B9571B"/>
    <w:rsid w:val="48BC6F7A"/>
    <w:rsid w:val="48C46721"/>
    <w:rsid w:val="48D52AE9"/>
    <w:rsid w:val="48DB1B35"/>
    <w:rsid w:val="48E7672C"/>
    <w:rsid w:val="48F00C38"/>
    <w:rsid w:val="48F549A5"/>
    <w:rsid w:val="48FD7CFE"/>
    <w:rsid w:val="490C7F41"/>
    <w:rsid w:val="49112086"/>
    <w:rsid w:val="491312CF"/>
    <w:rsid w:val="492F41AE"/>
    <w:rsid w:val="493946C8"/>
    <w:rsid w:val="493A5E87"/>
    <w:rsid w:val="493C0826"/>
    <w:rsid w:val="49494CF1"/>
    <w:rsid w:val="49496A9F"/>
    <w:rsid w:val="49565D9A"/>
    <w:rsid w:val="49593D2F"/>
    <w:rsid w:val="495A38F2"/>
    <w:rsid w:val="495C409A"/>
    <w:rsid w:val="495E0910"/>
    <w:rsid w:val="49622E70"/>
    <w:rsid w:val="4963125E"/>
    <w:rsid w:val="496555C4"/>
    <w:rsid w:val="49656CBF"/>
    <w:rsid w:val="496B110B"/>
    <w:rsid w:val="496E4757"/>
    <w:rsid w:val="497D09C9"/>
    <w:rsid w:val="497F0713"/>
    <w:rsid w:val="4981595D"/>
    <w:rsid w:val="498875C7"/>
    <w:rsid w:val="498D1081"/>
    <w:rsid w:val="49927B74"/>
    <w:rsid w:val="49997A26"/>
    <w:rsid w:val="499C3073"/>
    <w:rsid w:val="499E503D"/>
    <w:rsid w:val="49AE0521"/>
    <w:rsid w:val="49AE2F15"/>
    <w:rsid w:val="49AF3E07"/>
    <w:rsid w:val="49DE18DD"/>
    <w:rsid w:val="49E4596F"/>
    <w:rsid w:val="49E51301"/>
    <w:rsid w:val="49E85126"/>
    <w:rsid w:val="49F11610"/>
    <w:rsid w:val="49F31000"/>
    <w:rsid w:val="49FF40F9"/>
    <w:rsid w:val="4A125C1C"/>
    <w:rsid w:val="4A15226D"/>
    <w:rsid w:val="4A2B0D73"/>
    <w:rsid w:val="4A2C2648"/>
    <w:rsid w:val="4A4048D3"/>
    <w:rsid w:val="4A437992"/>
    <w:rsid w:val="4A464932"/>
    <w:rsid w:val="4A510301"/>
    <w:rsid w:val="4A510439"/>
    <w:rsid w:val="4A520E1F"/>
    <w:rsid w:val="4A563B69"/>
    <w:rsid w:val="4A5E1AE4"/>
    <w:rsid w:val="4A5E2A1E"/>
    <w:rsid w:val="4A5F39DD"/>
    <w:rsid w:val="4A6022F2"/>
    <w:rsid w:val="4A610412"/>
    <w:rsid w:val="4A6B5B79"/>
    <w:rsid w:val="4A6C513B"/>
    <w:rsid w:val="4A78588E"/>
    <w:rsid w:val="4A793842"/>
    <w:rsid w:val="4A871F75"/>
    <w:rsid w:val="4A8D07A0"/>
    <w:rsid w:val="4A9A28A0"/>
    <w:rsid w:val="4A9D71DB"/>
    <w:rsid w:val="4AA2290B"/>
    <w:rsid w:val="4AA27F52"/>
    <w:rsid w:val="4AB34B18"/>
    <w:rsid w:val="4AB955B6"/>
    <w:rsid w:val="4ABA187A"/>
    <w:rsid w:val="4ABA40F8"/>
    <w:rsid w:val="4ABD7744"/>
    <w:rsid w:val="4AC55728"/>
    <w:rsid w:val="4ACE54AE"/>
    <w:rsid w:val="4AD056CA"/>
    <w:rsid w:val="4AD64F49"/>
    <w:rsid w:val="4AEA6060"/>
    <w:rsid w:val="4AF173EE"/>
    <w:rsid w:val="4AF94826"/>
    <w:rsid w:val="4B0610EB"/>
    <w:rsid w:val="4B0B04B0"/>
    <w:rsid w:val="4B0E1D4E"/>
    <w:rsid w:val="4B157580"/>
    <w:rsid w:val="4B221C9D"/>
    <w:rsid w:val="4B3258E7"/>
    <w:rsid w:val="4B335C59"/>
    <w:rsid w:val="4B405FA7"/>
    <w:rsid w:val="4B413CC6"/>
    <w:rsid w:val="4B46773A"/>
    <w:rsid w:val="4B4734B2"/>
    <w:rsid w:val="4B4C4B77"/>
    <w:rsid w:val="4B524331"/>
    <w:rsid w:val="4B5745BA"/>
    <w:rsid w:val="4B5A4F62"/>
    <w:rsid w:val="4B6978CC"/>
    <w:rsid w:val="4B751DCD"/>
    <w:rsid w:val="4B7B24C2"/>
    <w:rsid w:val="4B7F1D4E"/>
    <w:rsid w:val="4B813CEC"/>
    <w:rsid w:val="4B887D52"/>
    <w:rsid w:val="4B8E2E8F"/>
    <w:rsid w:val="4B9304A5"/>
    <w:rsid w:val="4B95222F"/>
    <w:rsid w:val="4B9C1A50"/>
    <w:rsid w:val="4B9D30D2"/>
    <w:rsid w:val="4BAD38A7"/>
    <w:rsid w:val="4BBA2895"/>
    <w:rsid w:val="4BBD27E6"/>
    <w:rsid w:val="4BC13445"/>
    <w:rsid w:val="4BC44B03"/>
    <w:rsid w:val="4BD26E4A"/>
    <w:rsid w:val="4BD2790E"/>
    <w:rsid w:val="4BD56D10"/>
    <w:rsid w:val="4BE807F1"/>
    <w:rsid w:val="4BE96A19"/>
    <w:rsid w:val="4BEA27BB"/>
    <w:rsid w:val="4BEC3C0D"/>
    <w:rsid w:val="4BEF3214"/>
    <w:rsid w:val="4BF74729"/>
    <w:rsid w:val="4BF76C86"/>
    <w:rsid w:val="4BFC429C"/>
    <w:rsid w:val="4C001FDF"/>
    <w:rsid w:val="4C1632F2"/>
    <w:rsid w:val="4C17236E"/>
    <w:rsid w:val="4C237A7B"/>
    <w:rsid w:val="4C286E40"/>
    <w:rsid w:val="4C2912BC"/>
    <w:rsid w:val="4C306536"/>
    <w:rsid w:val="4C497552"/>
    <w:rsid w:val="4C4D2D4A"/>
    <w:rsid w:val="4C5916EF"/>
    <w:rsid w:val="4C5B735B"/>
    <w:rsid w:val="4C6205A3"/>
    <w:rsid w:val="4C63431C"/>
    <w:rsid w:val="4C640934"/>
    <w:rsid w:val="4C651E42"/>
    <w:rsid w:val="4C6F2CC0"/>
    <w:rsid w:val="4C7B1260"/>
    <w:rsid w:val="4C83744F"/>
    <w:rsid w:val="4C955487"/>
    <w:rsid w:val="4C994F4D"/>
    <w:rsid w:val="4CA46E0E"/>
    <w:rsid w:val="4CA54934"/>
    <w:rsid w:val="4CAD5597"/>
    <w:rsid w:val="4CB22BAD"/>
    <w:rsid w:val="4CB84667"/>
    <w:rsid w:val="4CB87692"/>
    <w:rsid w:val="4CBB3FE4"/>
    <w:rsid w:val="4CC0038E"/>
    <w:rsid w:val="4CC052CA"/>
    <w:rsid w:val="4CCC1F22"/>
    <w:rsid w:val="4CCE5C39"/>
    <w:rsid w:val="4CD82614"/>
    <w:rsid w:val="4CE30FB8"/>
    <w:rsid w:val="4CE47AF5"/>
    <w:rsid w:val="4CE86890"/>
    <w:rsid w:val="4CEC60BF"/>
    <w:rsid w:val="4CEE03B5"/>
    <w:rsid w:val="4CF3744D"/>
    <w:rsid w:val="4CF90F9A"/>
    <w:rsid w:val="4CFD651E"/>
    <w:rsid w:val="4D027691"/>
    <w:rsid w:val="4D175555"/>
    <w:rsid w:val="4D1D02D8"/>
    <w:rsid w:val="4D1D34CA"/>
    <w:rsid w:val="4D1F0243"/>
    <w:rsid w:val="4D221AE1"/>
    <w:rsid w:val="4D2864DA"/>
    <w:rsid w:val="4D294D99"/>
    <w:rsid w:val="4D2A6BE7"/>
    <w:rsid w:val="4D2B4DE8"/>
    <w:rsid w:val="4D2C295F"/>
    <w:rsid w:val="4D2E2B7B"/>
    <w:rsid w:val="4D331F40"/>
    <w:rsid w:val="4D423F31"/>
    <w:rsid w:val="4D42672B"/>
    <w:rsid w:val="4D42685E"/>
    <w:rsid w:val="4D4D4194"/>
    <w:rsid w:val="4D502AF2"/>
    <w:rsid w:val="4D552926"/>
    <w:rsid w:val="4D633E9C"/>
    <w:rsid w:val="4D730A7F"/>
    <w:rsid w:val="4D746B23"/>
    <w:rsid w:val="4D7560B4"/>
    <w:rsid w:val="4D8427F8"/>
    <w:rsid w:val="4D8D1626"/>
    <w:rsid w:val="4D926C66"/>
    <w:rsid w:val="4DA30634"/>
    <w:rsid w:val="4DA370C6"/>
    <w:rsid w:val="4DA62712"/>
    <w:rsid w:val="4DAC584E"/>
    <w:rsid w:val="4DAF0D74"/>
    <w:rsid w:val="4DB017E2"/>
    <w:rsid w:val="4DB15966"/>
    <w:rsid w:val="4DB27B5B"/>
    <w:rsid w:val="4DBC1F35"/>
    <w:rsid w:val="4DBF18E4"/>
    <w:rsid w:val="4DD31511"/>
    <w:rsid w:val="4DD5723A"/>
    <w:rsid w:val="4DF416CF"/>
    <w:rsid w:val="4DF63991"/>
    <w:rsid w:val="4DFE254E"/>
    <w:rsid w:val="4DFF2640"/>
    <w:rsid w:val="4E0631B0"/>
    <w:rsid w:val="4E0B6A19"/>
    <w:rsid w:val="4E127DA7"/>
    <w:rsid w:val="4E162199"/>
    <w:rsid w:val="4E2D4BE1"/>
    <w:rsid w:val="4E3221F7"/>
    <w:rsid w:val="4E4F2DA9"/>
    <w:rsid w:val="4E520251"/>
    <w:rsid w:val="4E577EB0"/>
    <w:rsid w:val="4E680619"/>
    <w:rsid w:val="4E704CA0"/>
    <w:rsid w:val="4E775E5C"/>
    <w:rsid w:val="4E8D10B4"/>
    <w:rsid w:val="4E9D36B9"/>
    <w:rsid w:val="4EA35EC7"/>
    <w:rsid w:val="4EA529C9"/>
    <w:rsid w:val="4EAC01FC"/>
    <w:rsid w:val="4EB921FF"/>
    <w:rsid w:val="4EC00F49"/>
    <w:rsid w:val="4EC217CD"/>
    <w:rsid w:val="4EC3039D"/>
    <w:rsid w:val="4EC44151"/>
    <w:rsid w:val="4EC66A03"/>
    <w:rsid w:val="4EC8490A"/>
    <w:rsid w:val="4EE236C1"/>
    <w:rsid w:val="4EE84673"/>
    <w:rsid w:val="4EEB759A"/>
    <w:rsid w:val="4EEC23A6"/>
    <w:rsid w:val="4EEF1E97"/>
    <w:rsid w:val="4EF13E61"/>
    <w:rsid w:val="4EFD4D82"/>
    <w:rsid w:val="4EFF4ABF"/>
    <w:rsid w:val="4F0A4D93"/>
    <w:rsid w:val="4F0A6CD0"/>
    <w:rsid w:val="4F0D02FD"/>
    <w:rsid w:val="4F147B4F"/>
    <w:rsid w:val="4F195165"/>
    <w:rsid w:val="4F381A8F"/>
    <w:rsid w:val="4F477F24"/>
    <w:rsid w:val="4F495A4B"/>
    <w:rsid w:val="4F4C2BD5"/>
    <w:rsid w:val="4F6D4647"/>
    <w:rsid w:val="4F6F6CFE"/>
    <w:rsid w:val="4F714FA1"/>
    <w:rsid w:val="4F7F4E05"/>
    <w:rsid w:val="4F8015FA"/>
    <w:rsid w:val="4F8E380C"/>
    <w:rsid w:val="4F8E38E5"/>
    <w:rsid w:val="4F905143"/>
    <w:rsid w:val="4F9F566B"/>
    <w:rsid w:val="4FAC05DC"/>
    <w:rsid w:val="4FAC4ED0"/>
    <w:rsid w:val="4FB212A6"/>
    <w:rsid w:val="4FB21842"/>
    <w:rsid w:val="4FC62B8D"/>
    <w:rsid w:val="4FCD667C"/>
    <w:rsid w:val="4FCF3870"/>
    <w:rsid w:val="4FD93BBD"/>
    <w:rsid w:val="4FDC066D"/>
    <w:rsid w:val="4FE15C83"/>
    <w:rsid w:val="4FE70DC0"/>
    <w:rsid w:val="4FEA0881"/>
    <w:rsid w:val="4FFC0D0F"/>
    <w:rsid w:val="50056699"/>
    <w:rsid w:val="50125E8F"/>
    <w:rsid w:val="5023629C"/>
    <w:rsid w:val="502D7210"/>
    <w:rsid w:val="503009B9"/>
    <w:rsid w:val="5039786D"/>
    <w:rsid w:val="50454464"/>
    <w:rsid w:val="504D766E"/>
    <w:rsid w:val="504E494E"/>
    <w:rsid w:val="504F0E3F"/>
    <w:rsid w:val="50510AB6"/>
    <w:rsid w:val="50546398"/>
    <w:rsid w:val="50566671"/>
    <w:rsid w:val="50577CF3"/>
    <w:rsid w:val="50597AF9"/>
    <w:rsid w:val="505B3C87"/>
    <w:rsid w:val="505D789E"/>
    <w:rsid w:val="50610B72"/>
    <w:rsid w:val="50630D8E"/>
    <w:rsid w:val="506569F8"/>
    <w:rsid w:val="50761B9F"/>
    <w:rsid w:val="507C3BFE"/>
    <w:rsid w:val="50842203"/>
    <w:rsid w:val="508519B5"/>
    <w:rsid w:val="50937803"/>
    <w:rsid w:val="50944DF8"/>
    <w:rsid w:val="509A417D"/>
    <w:rsid w:val="509B5D52"/>
    <w:rsid w:val="509C4E6C"/>
    <w:rsid w:val="50A078EC"/>
    <w:rsid w:val="50A867A1"/>
    <w:rsid w:val="50A97291"/>
    <w:rsid w:val="50AA47DD"/>
    <w:rsid w:val="50BF7CF0"/>
    <w:rsid w:val="50C35389"/>
    <w:rsid w:val="50CA4969"/>
    <w:rsid w:val="50D343E1"/>
    <w:rsid w:val="50D57E72"/>
    <w:rsid w:val="50E0418D"/>
    <w:rsid w:val="50E2175C"/>
    <w:rsid w:val="50EE06D6"/>
    <w:rsid w:val="50EF16F3"/>
    <w:rsid w:val="50F10148"/>
    <w:rsid w:val="50FB4B23"/>
    <w:rsid w:val="50FE2865"/>
    <w:rsid w:val="510065DD"/>
    <w:rsid w:val="51040E06"/>
    <w:rsid w:val="510A2FB8"/>
    <w:rsid w:val="510D12CF"/>
    <w:rsid w:val="51114346"/>
    <w:rsid w:val="51273B6A"/>
    <w:rsid w:val="512A18AC"/>
    <w:rsid w:val="512C1180"/>
    <w:rsid w:val="5133250E"/>
    <w:rsid w:val="51334879"/>
    <w:rsid w:val="51360251"/>
    <w:rsid w:val="51450C9A"/>
    <w:rsid w:val="51477D68"/>
    <w:rsid w:val="51497F84"/>
    <w:rsid w:val="51510956"/>
    <w:rsid w:val="51556929"/>
    <w:rsid w:val="51581F75"/>
    <w:rsid w:val="51644DBE"/>
    <w:rsid w:val="51711289"/>
    <w:rsid w:val="51821F5E"/>
    <w:rsid w:val="51826FF2"/>
    <w:rsid w:val="518965D2"/>
    <w:rsid w:val="518B407F"/>
    <w:rsid w:val="51907961"/>
    <w:rsid w:val="51917235"/>
    <w:rsid w:val="51932FAD"/>
    <w:rsid w:val="519A07DF"/>
    <w:rsid w:val="519C7028"/>
    <w:rsid w:val="51A71A5D"/>
    <w:rsid w:val="51BA1CDE"/>
    <w:rsid w:val="51CC44CE"/>
    <w:rsid w:val="51CE0489"/>
    <w:rsid w:val="51D27F79"/>
    <w:rsid w:val="51DA0813"/>
    <w:rsid w:val="51EB2DE9"/>
    <w:rsid w:val="51ED6035"/>
    <w:rsid w:val="51FA127E"/>
    <w:rsid w:val="51FA302C"/>
    <w:rsid w:val="520F24BE"/>
    <w:rsid w:val="521772F5"/>
    <w:rsid w:val="522C6DA2"/>
    <w:rsid w:val="5231799F"/>
    <w:rsid w:val="52335B73"/>
    <w:rsid w:val="523E560F"/>
    <w:rsid w:val="52426781"/>
    <w:rsid w:val="52466271"/>
    <w:rsid w:val="524F15CA"/>
    <w:rsid w:val="525202D0"/>
    <w:rsid w:val="5257404F"/>
    <w:rsid w:val="525C5A95"/>
    <w:rsid w:val="5266376C"/>
    <w:rsid w:val="526967E1"/>
    <w:rsid w:val="526B217C"/>
    <w:rsid w:val="526F57C8"/>
    <w:rsid w:val="52927A26"/>
    <w:rsid w:val="52950FA7"/>
    <w:rsid w:val="52992845"/>
    <w:rsid w:val="52A5743C"/>
    <w:rsid w:val="52A66D10"/>
    <w:rsid w:val="52BA27BB"/>
    <w:rsid w:val="52BB3073"/>
    <w:rsid w:val="52C553E8"/>
    <w:rsid w:val="52C613C4"/>
    <w:rsid w:val="52C673B2"/>
    <w:rsid w:val="52CA6EA2"/>
    <w:rsid w:val="52CC5C8C"/>
    <w:rsid w:val="52D4309B"/>
    <w:rsid w:val="52D95337"/>
    <w:rsid w:val="52E87329"/>
    <w:rsid w:val="52F21F55"/>
    <w:rsid w:val="52FB2192"/>
    <w:rsid w:val="530107FD"/>
    <w:rsid w:val="53060917"/>
    <w:rsid w:val="53065A01"/>
    <w:rsid w:val="53084200"/>
    <w:rsid w:val="530976BE"/>
    <w:rsid w:val="531243A6"/>
    <w:rsid w:val="53281E1B"/>
    <w:rsid w:val="533407C0"/>
    <w:rsid w:val="533609BC"/>
    <w:rsid w:val="534650F7"/>
    <w:rsid w:val="53480987"/>
    <w:rsid w:val="53505A54"/>
    <w:rsid w:val="5358625C"/>
    <w:rsid w:val="53643D97"/>
    <w:rsid w:val="536D782E"/>
    <w:rsid w:val="53780650"/>
    <w:rsid w:val="538913CD"/>
    <w:rsid w:val="538F7B4F"/>
    <w:rsid w:val="53960EF5"/>
    <w:rsid w:val="539C2B73"/>
    <w:rsid w:val="539F20DD"/>
    <w:rsid w:val="53A96AB8"/>
    <w:rsid w:val="53B65B3D"/>
    <w:rsid w:val="53BB2845"/>
    <w:rsid w:val="53BD2563"/>
    <w:rsid w:val="53BF2F5A"/>
    <w:rsid w:val="53C278DE"/>
    <w:rsid w:val="53C848C3"/>
    <w:rsid w:val="53D02297"/>
    <w:rsid w:val="53D95180"/>
    <w:rsid w:val="53E2021C"/>
    <w:rsid w:val="53E5132F"/>
    <w:rsid w:val="53E54A8A"/>
    <w:rsid w:val="53E853EB"/>
    <w:rsid w:val="53E91598"/>
    <w:rsid w:val="53EB3E90"/>
    <w:rsid w:val="53FA59B7"/>
    <w:rsid w:val="53FC2EA8"/>
    <w:rsid w:val="53FD1767"/>
    <w:rsid w:val="54055A14"/>
    <w:rsid w:val="540C7047"/>
    <w:rsid w:val="5410398C"/>
    <w:rsid w:val="54134879"/>
    <w:rsid w:val="54297367"/>
    <w:rsid w:val="543A7B90"/>
    <w:rsid w:val="543C3DD0"/>
    <w:rsid w:val="54416550"/>
    <w:rsid w:val="5449029B"/>
    <w:rsid w:val="545277CA"/>
    <w:rsid w:val="545B5935"/>
    <w:rsid w:val="545C7FCE"/>
    <w:rsid w:val="54633612"/>
    <w:rsid w:val="546649A9"/>
    <w:rsid w:val="54695527"/>
    <w:rsid w:val="546C71CE"/>
    <w:rsid w:val="546D471F"/>
    <w:rsid w:val="54766DDD"/>
    <w:rsid w:val="547846DC"/>
    <w:rsid w:val="547A0454"/>
    <w:rsid w:val="547D06C2"/>
    <w:rsid w:val="547E7F44"/>
    <w:rsid w:val="54812A4C"/>
    <w:rsid w:val="549239F0"/>
    <w:rsid w:val="549916E9"/>
    <w:rsid w:val="54A6749B"/>
    <w:rsid w:val="54B03E76"/>
    <w:rsid w:val="54B36B62"/>
    <w:rsid w:val="54B41297"/>
    <w:rsid w:val="54B90AA4"/>
    <w:rsid w:val="54BE2A37"/>
    <w:rsid w:val="54BE47E5"/>
    <w:rsid w:val="54BF40B9"/>
    <w:rsid w:val="54D20290"/>
    <w:rsid w:val="54E56216"/>
    <w:rsid w:val="54EA3195"/>
    <w:rsid w:val="54EC69A7"/>
    <w:rsid w:val="54F346E4"/>
    <w:rsid w:val="54F669C8"/>
    <w:rsid w:val="54F75F49"/>
    <w:rsid w:val="54FE1085"/>
    <w:rsid w:val="5504136B"/>
    <w:rsid w:val="550938FF"/>
    <w:rsid w:val="550D12C8"/>
    <w:rsid w:val="55133106"/>
    <w:rsid w:val="551C150B"/>
    <w:rsid w:val="552A1E7A"/>
    <w:rsid w:val="552B174F"/>
    <w:rsid w:val="552D3354"/>
    <w:rsid w:val="5531145B"/>
    <w:rsid w:val="553B3FF0"/>
    <w:rsid w:val="553B7BE4"/>
    <w:rsid w:val="55432172"/>
    <w:rsid w:val="555C7B5A"/>
    <w:rsid w:val="555E7D76"/>
    <w:rsid w:val="5564498A"/>
    <w:rsid w:val="556748AF"/>
    <w:rsid w:val="557738E5"/>
    <w:rsid w:val="558465DA"/>
    <w:rsid w:val="55894DF3"/>
    <w:rsid w:val="55927F4A"/>
    <w:rsid w:val="55943798"/>
    <w:rsid w:val="55967510"/>
    <w:rsid w:val="55986DE4"/>
    <w:rsid w:val="559D089E"/>
    <w:rsid w:val="559E63C4"/>
    <w:rsid w:val="55A01695"/>
    <w:rsid w:val="55A03EEB"/>
    <w:rsid w:val="55A37293"/>
    <w:rsid w:val="55AF05D2"/>
    <w:rsid w:val="55B7331C"/>
    <w:rsid w:val="55BB1F38"/>
    <w:rsid w:val="55BB2AD2"/>
    <w:rsid w:val="55BF0815"/>
    <w:rsid w:val="55C0633B"/>
    <w:rsid w:val="55C91A83"/>
    <w:rsid w:val="55CF032A"/>
    <w:rsid w:val="55D1679A"/>
    <w:rsid w:val="55E85179"/>
    <w:rsid w:val="55F34C1E"/>
    <w:rsid w:val="55F9026F"/>
    <w:rsid w:val="55F92F33"/>
    <w:rsid w:val="560017C7"/>
    <w:rsid w:val="56002C87"/>
    <w:rsid w:val="56007D68"/>
    <w:rsid w:val="561670AC"/>
    <w:rsid w:val="56204218"/>
    <w:rsid w:val="5621048A"/>
    <w:rsid w:val="56220DA3"/>
    <w:rsid w:val="56233FCE"/>
    <w:rsid w:val="5624752E"/>
    <w:rsid w:val="56261052"/>
    <w:rsid w:val="562E14F6"/>
    <w:rsid w:val="56346D0C"/>
    <w:rsid w:val="5641747C"/>
    <w:rsid w:val="5644728D"/>
    <w:rsid w:val="56450D50"/>
    <w:rsid w:val="56536953"/>
    <w:rsid w:val="565500A6"/>
    <w:rsid w:val="56574EF1"/>
    <w:rsid w:val="565A2ECA"/>
    <w:rsid w:val="565E4380"/>
    <w:rsid w:val="56625245"/>
    <w:rsid w:val="5665327D"/>
    <w:rsid w:val="56674A08"/>
    <w:rsid w:val="566E223B"/>
    <w:rsid w:val="567809C3"/>
    <w:rsid w:val="56870139"/>
    <w:rsid w:val="56924C6B"/>
    <w:rsid w:val="56955A19"/>
    <w:rsid w:val="56981066"/>
    <w:rsid w:val="5699538C"/>
    <w:rsid w:val="569E48CE"/>
    <w:rsid w:val="56A339C9"/>
    <w:rsid w:val="56A63783"/>
    <w:rsid w:val="56A87648"/>
    <w:rsid w:val="56B07357"/>
    <w:rsid w:val="56C1236A"/>
    <w:rsid w:val="56C77866"/>
    <w:rsid w:val="56CE6835"/>
    <w:rsid w:val="56D13F81"/>
    <w:rsid w:val="56DB73DF"/>
    <w:rsid w:val="56DC71A4"/>
    <w:rsid w:val="56E83D9B"/>
    <w:rsid w:val="56EB5639"/>
    <w:rsid w:val="56EF512A"/>
    <w:rsid w:val="56F75D8C"/>
    <w:rsid w:val="56FC7846"/>
    <w:rsid w:val="57065D51"/>
    <w:rsid w:val="57106E4E"/>
    <w:rsid w:val="57144B90"/>
    <w:rsid w:val="571A1A7B"/>
    <w:rsid w:val="571C1C97"/>
    <w:rsid w:val="573A55E9"/>
    <w:rsid w:val="574A3B10"/>
    <w:rsid w:val="57551741"/>
    <w:rsid w:val="575729E9"/>
    <w:rsid w:val="576A0C54"/>
    <w:rsid w:val="577B4C0F"/>
    <w:rsid w:val="577C7327"/>
    <w:rsid w:val="577E025B"/>
    <w:rsid w:val="57870B99"/>
    <w:rsid w:val="578D1B2A"/>
    <w:rsid w:val="57914433"/>
    <w:rsid w:val="57A066D0"/>
    <w:rsid w:val="57AE2A5C"/>
    <w:rsid w:val="57BF454F"/>
    <w:rsid w:val="57CA34A1"/>
    <w:rsid w:val="57CE621C"/>
    <w:rsid w:val="57D12A81"/>
    <w:rsid w:val="57F34D61"/>
    <w:rsid w:val="57F747FC"/>
    <w:rsid w:val="57F86C83"/>
    <w:rsid w:val="57FA1FD8"/>
    <w:rsid w:val="57FF010C"/>
    <w:rsid w:val="58020E8D"/>
    <w:rsid w:val="58022C3B"/>
    <w:rsid w:val="580A1AEF"/>
    <w:rsid w:val="58150BC0"/>
    <w:rsid w:val="581D7A74"/>
    <w:rsid w:val="58201313"/>
    <w:rsid w:val="5825355F"/>
    <w:rsid w:val="582E3A30"/>
    <w:rsid w:val="58344865"/>
    <w:rsid w:val="583848AE"/>
    <w:rsid w:val="583A08CE"/>
    <w:rsid w:val="583C10AC"/>
    <w:rsid w:val="585D27D8"/>
    <w:rsid w:val="58632DA9"/>
    <w:rsid w:val="58695047"/>
    <w:rsid w:val="58727DC0"/>
    <w:rsid w:val="58743095"/>
    <w:rsid w:val="587C6A7F"/>
    <w:rsid w:val="58813D2B"/>
    <w:rsid w:val="58873140"/>
    <w:rsid w:val="589A2E73"/>
    <w:rsid w:val="589F0489"/>
    <w:rsid w:val="58A65CBC"/>
    <w:rsid w:val="58A9755A"/>
    <w:rsid w:val="58B06B3A"/>
    <w:rsid w:val="58B23F52"/>
    <w:rsid w:val="58B73A25"/>
    <w:rsid w:val="58B959EF"/>
    <w:rsid w:val="58BA3515"/>
    <w:rsid w:val="58C919AA"/>
    <w:rsid w:val="58CB74D0"/>
    <w:rsid w:val="58CD6969"/>
    <w:rsid w:val="58DC7930"/>
    <w:rsid w:val="58E31BA3"/>
    <w:rsid w:val="58E326E5"/>
    <w:rsid w:val="58E60A5F"/>
    <w:rsid w:val="58F509F1"/>
    <w:rsid w:val="5903310E"/>
    <w:rsid w:val="590649AC"/>
    <w:rsid w:val="590D6D38"/>
    <w:rsid w:val="591075D9"/>
    <w:rsid w:val="59140E77"/>
    <w:rsid w:val="59232E69"/>
    <w:rsid w:val="59252F75"/>
    <w:rsid w:val="59294AF3"/>
    <w:rsid w:val="592D341F"/>
    <w:rsid w:val="5934151A"/>
    <w:rsid w:val="59345076"/>
    <w:rsid w:val="59487865"/>
    <w:rsid w:val="59554FEC"/>
    <w:rsid w:val="59605E6B"/>
    <w:rsid w:val="597866B8"/>
    <w:rsid w:val="598002BB"/>
    <w:rsid w:val="59835FFD"/>
    <w:rsid w:val="59854D7F"/>
    <w:rsid w:val="59881494"/>
    <w:rsid w:val="59893892"/>
    <w:rsid w:val="59897464"/>
    <w:rsid w:val="59973856"/>
    <w:rsid w:val="59A36930"/>
    <w:rsid w:val="59A57D21"/>
    <w:rsid w:val="59AA7F22"/>
    <w:rsid w:val="59AD6849"/>
    <w:rsid w:val="59B2243E"/>
    <w:rsid w:val="59B368E2"/>
    <w:rsid w:val="59BB7545"/>
    <w:rsid w:val="59BC5E69"/>
    <w:rsid w:val="59D4243C"/>
    <w:rsid w:val="59DC483D"/>
    <w:rsid w:val="59FC22B1"/>
    <w:rsid w:val="59FF0B38"/>
    <w:rsid w:val="5A0C2E4D"/>
    <w:rsid w:val="5A103441"/>
    <w:rsid w:val="5A137381"/>
    <w:rsid w:val="5A1B6236"/>
    <w:rsid w:val="5A3317D1"/>
    <w:rsid w:val="5A421ED9"/>
    <w:rsid w:val="5A6F6D99"/>
    <w:rsid w:val="5A736072"/>
    <w:rsid w:val="5A740379"/>
    <w:rsid w:val="5A882BDD"/>
    <w:rsid w:val="5A89319F"/>
    <w:rsid w:val="5A8E3E66"/>
    <w:rsid w:val="5A8F48FC"/>
    <w:rsid w:val="5A900F23"/>
    <w:rsid w:val="5A953E24"/>
    <w:rsid w:val="5A9B4182"/>
    <w:rsid w:val="5A9D3F57"/>
    <w:rsid w:val="5AA86CDB"/>
    <w:rsid w:val="5AB01D18"/>
    <w:rsid w:val="5AC02939"/>
    <w:rsid w:val="5AC42429"/>
    <w:rsid w:val="5AC541ED"/>
    <w:rsid w:val="5AC803E1"/>
    <w:rsid w:val="5ACB1A0A"/>
    <w:rsid w:val="5ADA58EC"/>
    <w:rsid w:val="5AE96334"/>
    <w:rsid w:val="5AF727FF"/>
    <w:rsid w:val="5B014984"/>
    <w:rsid w:val="5B0647F0"/>
    <w:rsid w:val="5B090361"/>
    <w:rsid w:val="5B0B0058"/>
    <w:rsid w:val="5B193523"/>
    <w:rsid w:val="5B2267E3"/>
    <w:rsid w:val="5B312F24"/>
    <w:rsid w:val="5B3A2569"/>
    <w:rsid w:val="5B3D1058"/>
    <w:rsid w:val="5B4041A6"/>
    <w:rsid w:val="5B461090"/>
    <w:rsid w:val="5B500161"/>
    <w:rsid w:val="5B5100CE"/>
    <w:rsid w:val="5B5C4D58"/>
    <w:rsid w:val="5B5E462C"/>
    <w:rsid w:val="5B663986"/>
    <w:rsid w:val="5B6D200F"/>
    <w:rsid w:val="5B7B3430"/>
    <w:rsid w:val="5B9242D5"/>
    <w:rsid w:val="5B977B3E"/>
    <w:rsid w:val="5B9C33A6"/>
    <w:rsid w:val="5BA87F9D"/>
    <w:rsid w:val="5BBF2A2F"/>
    <w:rsid w:val="5BC87CF7"/>
    <w:rsid w:val="5BD07EB3"/>
    <w:rsid w:val="5BD60666"/>
    <w:rsid w:val="5BD9208C"/>
    <w:rsid w:val="5BE00DEC"/>
    <w:rsid w:val="5BE10DB9"/>
    <w:rsid w:val="5BEC7E8A"/>
    <w:rsid w:val="5BED3C02"/>
    <w:rsid w:val="5BF620C2"/>
    <w:rsid w:val="5BF76962"/>
    <w:rsid w:val="5BFD0F0E"/>
    <w:rsid w:val="5BFD51BD"/>
    <w:rsid w:val="5C1F1D71"/>
    <w:rsid w:val="5C220805"/>
    <w:rsid w:val="5C2515ED"/>
    <w:rsid w:val="5C31181E"/>
    <w:rsid w:val="5C320DA4"/>
    <w:rsid w:val="5C34538D"/>
    <w:rsid w:val="5C3D3ADE"/>
    <w:rsid w:val="5C427641"/>
    <w:rsid w:val="5C4307BC"/>
    <w:rsid w:val="5C4C0D55"/>
    <w:rsid w:val="5C553816"/>
    <w:rsid w:val="5C60422C"/>
    <w:rsid w:val="5C626C2B"/>
    <w:rsid w:val="5C645C72"/>
    <w:rsid w:val="5C6565C1"/>
    <w:rsid w:val="5C6945F6"/>
    <w:rsid w:val="5C6E6AF1"/>
    <w:rsid w:val="5C7D31D8"/>
    <w:rsid w:val="5C8178FE"/>
    <w:rsid w:val="5C82434A"/>
    <w:rsid w:val="5C8715A5"/>
    <w:rsid w:val="5C8E0569"/>
    <w:rsid w:val="5CA2679A"/>
    <w:rsid w:val="5CB85FBE"/>
    <w:rsid w:val="5CBF0EA4"/>
    <w:rsid w:val="5CC93458"/>
    <w:rsid w:val="5CD01559"/>
    <w:rsid w:val="5CD27C39"/>
    <w:rsid w:val="5CD34BA6"/>
    <w:rsid w:val="5CD57954"/>
    <w:rsid w:val="5CD7548A"/>
    <w:rsid w:val="5CDA4186"/>
    <w:rsid w:val="5CDF179C"/>
    <w:rsid w:val="5CE52A50"/>
    <w:rsid w:val="5CEB6393"/>
    <w:rsid w:val="5CF45243"/>
    <w:rsid w:val="5CFA40D7"/>
    <w:rsid w:val="5D0562F4"/>
    <w:rsid w:val="5D067F49"/>
    <w:rsid w:val="5D0B1BBD"/>
    <w:rsid w:val="5D1256CE"/>
    <w:rsid w:val="5D131446"/>
    <w:rsid w:val="5D177188"/>
    <w:rsid w:val="5D186A5C"/>
    <w:rsid w:val="5D1A0A26"/>
    <w:rsid w:val="5D220DEE"/>
    <w:rsid w:val="5D2418A5"/>
    <w:rsid w:val="5D2D2508"/>
    <w:rsid w:val="5D2E44D2"/>
    <w:rsid w:val="5D373386"/>
    <w:rsid w:val="5D3C56E5"/>
    <w:rsid w:val="5D3F048D"/>
    <w:rsid w:val="5D3F456F"/>
    <w:rsid w:val="5D423AD9"/>
    <w:rsid w:val="5D551A5E"/>
    <w:rsid w:val="5D5C103F"/>
    <w:rsid w:val="5D5D2FCB"/>
    <w:rsid w:val="5D656145"/>
    <w:rsid w:val="5D67771F"/>
    <w:rsid w:val="5D6C1894"/>
    <w:rsid w:val="5D7739CD"/>
    <w:rsid w:val="5D780C88"/>
    <w:rsid w:val="5D7D597A"/>
    <w:rsid w:val="5D900CE9"/>
    <w:rsid w:val="5D9743A9"/>
    <w:rsid w:val="5DA12EF6"/>
    <w:rsid w:val="5DA547A2"/>
    <w:rsid w:val="5DA84284"/>
    <w:rsid w:val="5DAD189A"/>
    <w:rsid w:val="5DAD3649"/>
    <w:rsid w:val="5DC310BE"/>
    <w:rsid w:val="5DCA1B37"/>
    <w:rsid w:val="5DCF3A41"/>
    <w:rsid w:val="5DD26EB8"/>
    <w:rsid w:val="5DD60DF1"/>
    <w:rsid w:val="5DF34C5C"/>
    <w:rsid w:val="5DF50B4C"/>
    <w:rsid w:val="5DFE52E8"/>
    <w:rsid w:val="5E0314BA"/>
    <w:rsid w:val="5E2447D9"/>
    <w:rsid w:val="5E2E29DB"/>
    <w:rsid w:val="5E40270F"/>
    <w:rsid w:val="5E4C2E61"/>
    <w:rsid w:val="5E574252"/>
    <w:rsid w:val="5E583C85"/>
    <w:rsid w:val="5E604B5F"/>
    <w:rsid w:val="5E6261E1"/>
    <w:rsid w:val="5E6A24D4"/>
    <w:rsid w:val="5E6D4B86"/>
    <w:rsid w:val="5E710B1A"/>
    <w:rsid w:val="5E767015"/>
    <w:rsid w:val="5E7F08C6"/>
    <w:rsid w:val="5E802B0B"/>
    <w:rsid w:val="5E826883"/>
    <w:rsid w:val="5E890667"/>
    <w:rsid w:val="5E897C12"/>
    <w:rsid w:val="5E897E68"/>
    <w:rsid w:val="5E8C14B0"/>
    <w:rsid w:val="5EA20CD3"/>
    <w:rsid w:val="5EA262C5"/>
    <w:rsid w:val="5EA66A16"/>
    <w:rsid w:val="5EAD0E90"/>
    <w:rsid w:val="5EB17168"/>
    <w:rsid w:val="5EC24ED2"/>
    <w:rsid w:val="5EC97FBF"/>
    <w:rsid w:val="5EE412EC"/>
    <w:rsid w:val="5EEF23FF"/>
    <w:rsid w:val="5EF34CAC"/>
    <w:rsid w:val="5F006C30"/>
    <w:rsid w:val="5F0F2F6B"/>
    <w:rsid w:val="5F0F67CA"/>
    <w:rsid w:val="5F16521D"/>
    <w:rsid w:val="5F2A7EDE"/>
    <w:rsid w:val="5F2E07B9"/>
    <w:rsid w:val="5F311749"/>
    <w:rsid w:val="5F351B48"/>
    <w:rsid w:val="5F3E6C4E"/>
    <w:rsid w:val="5F4104EC"/>
    <w:rsid w:val="5F4C0C3F"/>
    <w:rsid w:val="5F5024DD"/>
    <w:rsid w:val="5F506981"/>
    <w:rsid w:val="5F626AA1"/>
    <w:rsid w:val="5F682098"/>
    <w:rsid w:val="5F6952C3"/>
    <w:rsid w:val="5F696B4E"/>
    <w:rsid w:val="5F7A2F85"/>
    <w:rsid w:val="5F821981"/>
    <w:rsid w:val="5F93061C"/>
    <w:rsid w:val="5F944B4C"/>
    <w:rsid w:val="5F990328"/>
    <w:rsid w:val="5FA02DB5"/>
    <w:rsid w:val="5FA32F55"/>
    <w:rsid w:val="5FA42829"/>
    <w:rsid w:val="5FA45262"/>
    <w:rsid w:val="5FA511B8"/>
    <w:rsid w:val="5FAB3BB8"/>
    <w:rsid w:val="5FB94CDF"/>
    <w:rsid w:val="5FCB425A"/>
    <w:rsid w:val="5FD35802"/>
    <w:rsid w:val="5FD66583"/>
    <w:rsid w:val="5FD90725"/>
    <w:rsid w:val="5FDF74E6"/>
    <w:rsid w:val="5FE175D9"/>
    <w:rsid w:val="5FEB66AA"/>
    <w:rsid w:val="5FFE1974"/>
    <w:rsid w:val="60161979"/>
    <w:rsid w:val="6022031E"/>
    <w:rsid w:val="602F47E9"/>
    <w:rsid w:val="603120C0"/>
    <w:rsid w:val="60325141"/>
    <w:rsid w:val="60370316"/>
    <w:rsid w:val="603B481E"/>
    <w:rsid w:val="604C0EF7"/>
    <w:rsid w:val="604C7149"/>
    <w:rsid w:val="604D2EC1"/>
    <w:rsid w:val="60521D28"/>
    <w:rsid w:val="6052753E"/>
    <w:rsid w:val="605A5EE4"/>
    <w:rsid w:val="605E50CE"/>
    <w:rsid w:val="60695F4D"/>
    <w:rsid w:val="606C3762"/>
    <w:rsid w:val="606D4532"/>
    <w:rsid w:val="60742157"/>
    <w:rsid w:val="607B5C80"/>
    <w:rsid w:val="607F676F"/>
    <w:rsid w:val="60830691"/>
    <w:rsid w:val="608B7265"/>
    <w:rsid w:val="60932C4A"/>
    <w:rsid w:val="60936474"/>
    <w:rsid w:val="60A01097"/>
    <w:rsid w:val="60A056E7"/>
    <w:rsid w:val="60A56859"/>
    <w:rsid w:val="60A80239"/>
    <w:rsid w:val="60B2171D"/>
    <w:rsid w:val="60B66CB8"/>
    <w:rsid w:val="60C0529A"/>
    <w:rsid w:val="60C74407"/>
    <w:rsid w:val="60D33507"/>
    <w:rsid w:val="60D42959"/>
    <w:rsid w:val="60D55390"/>
    <w:rsid w:val="60D80B3D"/>
    <w:rsid w:val="60E23609"/>
    <w:rsid w:val="60E5134B"/>
    <w:rsid w:val="60F021CA"/>
    <w:rsid w:val="60F375C4"/>
    <w:rsid w:val="61142CEE"/>
    <w:rsid w:val="6118469D"/>
    <w:rsid w:val="611D71EA"/>
    <w:rsid w:val="61202383"/>
    <w:rsid w:val="613F674C"/>
    <w:rsid w:val="61411A36"/>
    <w:rsid w:val="61564616"/>
    <w:rsid w:val="616F54DC"/>
    <w:rsid w:val="617D3332"/>
    <w:rsid w:val="618172C6"/>
    <w:rsid w:val="61893075"/>
    <w:rsid w:val="6189617B"/>
    <w:rsid w:val="6190756E"/>
    <w:rsid w:val="619E04DC"/>
    <w:rsid w:val="61A30FEA"/>
    <w:rsid w:val="61B2122D"/>
    <w:rsid w:val="61B50D1E"/>
    <w:rsid w:val="61B606E4"/>
    <w:rsid w:val="61B76F96"/>
    <w:rsid w:val="61C55405"/>
    <w:rsid w:val="61D03DA9"/>
    <w:rsid w:val="61E67129"/>
    <w:rsid w:val="61FA2BD4"/>
    <w:rsid w:val="62031A89"/>
    <w:rsid w:val="620B48A0"/>
    <w:rsid w:val="620B4DE2"/>
    <w:rsid w:val="620B6B90"/>
    <w:rsid w:val="621404FB"/>
    <w:rsid w:val="62195745"/>
    <w:rsid w:val="621C6FEF"/>
    <w:rsid w:val="62220BFC"/>
    <w:rsid w:val="622F0250"/>
    <w:rsid w:val="62456545"/>
    <w:rsid w:val="625A0F11"/>
    <w:rsid w:val="626A0762"/>
    <w:rsid w:val="6271733B"/>
    <w:rsid w:val="627D5CDF"/>
    <w:rsid w:val="628506F0"/>
    <w:rsid w:val="62856942"/>
    <w:rsid w:val="6288488F"/>
    <w:rsid w:val="62886432"/>
    <w:rsid w:val="628A3F58"/>
    <w:rsid w:val="628C1CFD"/>
    <w:rsid w:val="6291178B"/>
    <w:rsid w:val="62911E26"/>
    <w:rsid w:val="629D0130"/>
    <w:rsid w:val="62A10C8F"/>
    <w:rsid w:val="62A10DF6"/>
    <w:rsid w:val="62A212A2"/>
    <w:rsid w:val="62A241F2"/>
    <w:rsid w:val="62A67B5B"/>
    <w:rsid w:val="62BF2812"/>
    <w:rsid w:val="62D13F91"/>
    <w:rsid w:val="62EB2858"/>
    <w:rsid w:val="62EE098B"/>
    <w:rsid w:val="62EE0B29"/>
    <w:rsid w:val="62EE44E7"/>
    <w:rsid w:val="62FD0BCE"/>
    <w:rsid w:val="62FD472A"/>
    <w:rsid w:val="63065CD5"/>
    <w:rsid w:val="63100901"/>
    <w:rsid w:val="6316714E"/>
    <w:rsid w:val="631B52B1"/>
    <w:rsid w:val="6327254B"/>
    <w:rsid w:val="632B573B"/>
    <w:rsid w:val="633D0C62"/>
    <w:rsid w:val="633D721D"/>
    <w:rsid w:val="63464D39"/>
    <w:rsid w:val="634C49D0"/>
    <w:rsid w:val="634C5B28"/>
    <w:rsid w:val="63586B25"/>
    <w:rsid w:val="636649C5"/>
    <w:rsid w:val="637A3FCD"/>
    <w:rsid w:val="638210D3"/>
    <w:rsid w:val="63874F5B"/>
    <w:rsid w:val="639257BA"/>
    <w:rsid w:val="63984453"/>
    <w:rsid w:val="63A6046B"/>
    <w:rsid w:val="63B1637D"/>
    <w:rsid w:val="63BA6036"/>
    <w:rsid w:val="63C7249E"/>
    <w:rsid w:val="63C966FC"/>
    <w:rsid w:val="63CE00CE"/>
    <w:rsid w:val="63D23E09"/>
    <w:rsid w:val="63DF0837"/>
    <w:rsid w:val="63E337FB"/>
    <w:rsid w:val="63E434CF"/>
    <w:rsid w:val="63E43B3C"/>
    <w:rsid w:val="63E91B17"/>
    <w:rsid w:val="63E95B17"/>
    <w:rsid w:val="63EF49BB"/>
    <w:rsid w:val="63F73EC8"/>
    <w:rsid w:val="63FA3360"/>
    <w:rsid w:val="640428CE"/>
    <w:rsid w:val="64070191"/>
    <w:rsid w:val="640768E5"/>
    <w:rsid w:val="641026B2"/>
    <w:rsid w:val="64102818"/>
    <w:rsid w:val="641461CF"/>
    <w:rsid w:val="64216B3E"/>
    <w:rsid w:val="642250B7"/>
    <w:rsid w:val="64326656"/>
    <w:rsid w:val="64354398"/>
    <w:rsid w:val="644334BA"/>
    <w:rsid w:val="644A2677"/>
    <w:rsid w:val="644D348F"/>
    <w:rsid w:val="64507CAB"/>
    <w:rsid w:val="64515E31"/>
    <w:rsid w:val="645612EB"/>
    <w:rsid w:val="64630F05"/>
    <w:rsid w:val="64647C41"/>
    <w:rsid w:val="647B624F"/>
    <w:rsid w:val="647F5607"/>
    <w:rsid w:val="648570CD"/>
    <w:rsid w:val="64872E45"/>
    <w:rsid w:val="64881AC3"/>
    <w:rsid w:val="6491119F"/>
    <w:rsid w:val="649B5DBD"/>
    <w:rsid w:val="64A07A63"/>
    <w:rsid w:val="64B61035"/>
    <w:rsid w:val="64BB664B"/>
    <w:rsid w:val="64C23E7D"/>
    <w:rsid w:val="64C31ABD"/>
    <w:rsid w:val="64C94A43"/>
    <w:rsid w:val="64CF0348"/>
    <w:rsid w:val="64D85C60"/>
    <w:rsid w:val="64DE6308"/>
    <w:rsid w:val="64E04304"/>
    <w:rsid w:val="64F1206D"/>
    <w:rsid w:val="64F12536"/>
    <w:rsid w:val="64F45E8A"/>
    <w:rsid w:val="64FB7E0C"/>
    <w:rsid w:val="64FE478A"/>
    <w:rsid w:val="65044496"/>
    <w:rsid w:val="65066226"/>
    <w:rsid w:val="65130235"/>
    <w:rsid w:val="651421FF"/>
    <w:rsid w:val="65155832"/>
    <w:rsid w:val="65202952"/>
    <w:rsid w:val="65247E0C"/>
    <w:rsid w:val="653B115E"/>
    <w:rsid w:val="6544103F"/>
    <w:rsid w:val="654523B9"/>
    <w:rsid w:val="65764831"/>
    <w:rsid w:val="657F58CB"/>
    <w:rsid w:val="65960350"/>
    <w:rsid w:val="659E30B0"/>
    <w:rsid w:val="65A45331"/>
    <w:rsid w:val="65A82571"/>
    <w:rsid w:val="65AB66C0"/>
    <w:rsid w:val="65AC1DE2"/>
    <w:rsid w:val="65AD13EB"/>
    <w:rsid w:val="65BD63F3"/>
    <w:rsid w:val="65C717C5"/>
    <w:rsid w:val="65C92FEA"/>
    <w:rsid w:val="65DF45BB"/>
    <w:rsid w:val="65F655FD"/>
    <w:rsid w:val="65FA13F5"/>
    <w:rsid w:val="65FD4A23"/>
    <w:rsid w:val="660F72D8"/>
    <w:rsid w:val="66203063"/>
    <w:rsid w:val="66214FB2"/>
    <w:rsid w:val="662B0AA3"/>
    <w:rsid w:val="662F5543"/>
    <w:rsid w:val="66346348"/>
    <w:rsid w:val="663D12E2"/>
    <w:rsid w:val="66410DD2"/>
    <w:rsid w:val="66495ED8"/>
    <w:rsid w:val="66497DB5"/>
    <w:rsid w:val="6650370B"/>
    <w:rsid w:val="6655487D"/>
    <w:rsid w:val="665C3E5E"/>
    <w:rsid w:val="66630D48"/>
    <w:rsid w:val="66664CDC"/>
    <w:rsid w:val="666A5C20"/>
    <w:rsid w:val="666B2582"/>
    <w:rsid w:val="667A42E4"/>
    <w:rsid w:val="667B1EBD"/>
    <w:rsid w:val="667E40B7"/>
    <w:rsid w:val="66884C53"/>
    <w:rsid w:val="668A4527"/>
    <w:rsid w:val="66B15B81"/>
    <w:rsid w:val="66B15F58"/>
    <w:rsid w:val="66BF4EA2"/>
    <w:rsid w:val="66C30D22"/>
    <w:rsid w:val="66C778EF"/>
    <w:rsid w:val="66CA0213"/>
    <w:rsid w:val="66CB74B4"/>
    <w:rsid w:val="66CF4242"/>
    <w:rsid w:val="66D92495"/>
    <w:rsid w:val="66ED5936"/>
    <w:rsid w:val="66F103BD"/>
    <w:rsid w:val="6703252B"/>
    <w:rsid w:val="671464E6"/>
    <w:rsid w:val="6716400D"/>
    <w:rsid w:val="67185FD7"/>
    <w:rsid w:val="671B380B"/>
    <w:rsid w:val="671B58CC"/>
    <w:rsid w:val="67317098"/>
    <w:rsid w:val="67383CFD"/>
    <w:rsid w:val="674A015A"/>
    <w:rsid w:val="6751773B"/>
    <w:rsid w:val="67564D51"/>
    <w:rsid w:val="676034DA"/>
    <w:rsid w:val="6760797E"/>
    <w:rsid w:val="676D5B13"/>
    <w:rsid w:val="67740DCD"/>
    <w:rsid w:val="677D0530"/>
    <w:rsid w:val="6784541A"/>
    <w:rsid w:val="678545DD"/>
    <w:rsid w:val="67856F1B"/>
    <w:rsid w:val="678B6B6A"/>
    <w:rsid w:val="678E0047"/>
    <w:rsid w:val="678E29B7"/>
    <w:rsid w:val="679118E5"/>
    <w:rsid w:val="6797416B"/>
    <w:rsid w:val="67A708BB"/>
    <w:rsid w:val="67A77F8A"/>
    <w:rsid w:val="67B53825"/>
    <w:rsid w:val="67BA0E3C"/>
    <w:rsid w:val="67C37F23"/>
    <w:rsid w:val="67CF4511"/>
    <w:rsid w:val="67D22517"/>
    <w:rsid w:val="67DF59D8"/>
    <w:rsid w:val="67E60135"/>
    <w:rsid w:val="67E61C31"/>
    <w:rsid w:val="67E759A9"/>
    <w:rsid w:val="67F3390B"/>
    <w:rsid w:val="67FC1454"/>
    <w:rsid w:val="6803153A"/>
    <w:rsid w:val="68055F4C"/>
    <w:rsid w:val="680D3662"/>
    <w:rsid w:val="68123F05"/>
    <w:rsid w:val="6819694F"/>
    <w:rsid w:val="681D6786"/>
    <w:rsid w:val="68242759"/>
    <w:rsid w:val="68264723"/>
    <w:rsid w:val="682805BD"/>
    <w:rsid w:val="68294213"/>
    <w:rsid w:val="682C160E"/>
    <w:rsid w:val="682E476D"/>
    <w:rsid w:val="682E5386"/>
    <w:rsid w:val="6832131A"/>
    <w:rsid w:val="68391532"/>
    <w:rsid w:val="684E3365"/>
    <w:rsid w:val="684F0CF6"/>
    <w:rsid w:val="684F3C7A"/>
    <w:rsid w:val="68581629"/>
    <w:rsid w:val="685B2A1A"/>
    <w:rsid w:val="68674680"/>
    <w:rsid w:val="68676478"/>
    <w:rsid w:val="68725BBA"/>
    <w:rsid w:val="68743559"/>
    <w:rsid w:val="687744A9"/>
    <w:rsid w:val="68866CD3"/>
    <w:rsid w:val="688D02FE"/>
    <w:rsid w:val="689951C2"/>
    <w:rsid w:val="689A0C6D"/>
    <w:rsid w:val="689C4C25"/>
    <w:rsid w:val="68A75121"/>
    <w:rsid w:val="68A815DC"/>
    <w:rsid w:val="68A9401A"/>
    <w:rsid w:val="68AF5F08"/>
    <w:rsid w:val="68B00491"/>
    <w:rsid w:val="68B7181F"/>
    <w:rsid w:val="68C77CB4"/>
    <w:rsid w:val="68C84C9B"/>
    <w:rsid w:val="68D75A1D"/>
    <w:rsid w:val="68E048D2"/>
    <w:rsid w:val="68E57EC2"/>
    <w:rsid w:val="68F93287"/>
    <w:rsid w:val="68FC51DA"/>
    <w:rsid w:val="68FC5484"/>
    <w:rsid w:val="69040226"/>
    <w:rsid w:val="690600B1"/>
    <w:rsid w:val="690F4200"/>
    <w:rsid w:val="691D54FB"/>
    <w:rsid w:val="692549DB"/>
    <w:rsid w:val="69272501"/>
    <w:rsid w:val="69277AD1"/>
    <w:rsid w:val="69283EE4"/>
    <w:rsid w:val="692E56E8"/>
    <w:rsid w:val="692F585A"/>
    <w:rsid w:val="693B7312"/>
    <w:rsid w:val="693E784B"/>
    <w:rsid w:val="694035C3"/>
    <w:rsid w:val="69405A1D"/>
    <w:rsid w:val="694500C2"/>
    <w:rsid w:val="694E2404"/>
    <w:rsid w:val="69502658"/>
    <w:rsid w:val="69561413"/>
    <w:rsid w:val="69565088"/>
    <w:rsid w:val="696077C1"/>
    <w:rsid w:val="69623EDE"/>
    <w:rsid w:val="69643755"/>
    <w:rsid w:val="698744EB"/>
    <w:rsid w:val="698F4ECB"/>
    <w:rsid w:val="698F50DB"/>
    <w:rsid w:val="699F653B"/>
    <w:rsid w:val="69AC0C6E"/>
    <w:rsid w:val="69B53FB1"/>
    <w:rsid w:val="69B8131D"/>
    <w:rsid w:val="69B83979"/>
    <w:rsid w:val="69CA2B35"/>
    <w:rsid w:val="69CF1C53"/>
    <w:rsid w:val="69CF54DF"/>
    <w:rsid w:val="69DD52B6"/>
    <w:rsid w:val="69E44896"/>
    <w:rsid w:val="69F34AD9"/>
    <w:rsid w:val="6A0171F6"/>
    <w:rsid w:val="6A042842"/>
    <w:rsid w:val="6A0A597F"/>
    <w:rsid w:val="6A0D5B9B"/>
    <w:rsid w:val="6A2E6562"/>
    <w:rsid w:val="6A4610AD"/>
    <w:rsid w:val="6A486BD3"/>
    <w:rsid w:val="6A4D69F7"/>
    <w:rsid w:val="6A4E3B2B"/>
    <w:rsid w:val="6A4F42DF"/>
    <w:rsid w:val="6A512E17"/>
    <w:rsid w:val="6A5C267E"/>
    <w:rsid w:val="6A617743"/>
    <w:rsid w:val="6A627569"/>
    <w:rsid w:val="6A633A0D"/>
    <w:rsid w:val="6A785773"/>
    <w:rsid w:val="6A786D98"/>
    <w:rsid w:val="6A7B243E"/>
    <w:rsid w:val="6A86594D"/>
    <w:rsid w:val="6A9D1B12"/>
    <w:rsid w:val="6A9E2C97"/>
    <w:rsid w:val="6AA656A7"/>
    <w:rsid w:val="6AA87672"/>
    <w:rsid w:val="6AB23A4E"/>
    <w:rsid w:val="6AB26742"/>
    <w:rsid w:val="6ABA73A5"/>
    <w:rsid w:val="6AC975E8"/>
    <w:rsid w:val="6ACC322D"/>
    <w:rsid w:val="6ADA17F5"/>
    <w:rsid w:val="6ADC0A36"/>
    <w:rsid w:val="6ADE1C26"/>
    <w:rsid w:val="6AE105AB"/>
    <w:rsid w:val="6AE6604A"/>
    <w:rsid w:val="6AE76BE9"/>
    <w:rsid w:val="6AEB3A02"/>
    <w:rsid w:val="6AFB3EC7"/>
    <w:rsid w:val="6AFE3735"/>
    <w:rsid w:val="6B092250"/>
    <w:rsid w:val="6B0A20DA"/>
    <w:rsid w:val="6B122D3D"/>
    <w:rsid w:val="6B136FFE"/>
    <w:rsid w:val="6B166CD1"/>
    <w:rsid w:val="6B2018FE"/>
    <w:rsid w:val="6B20545A"/>
    <w:rsid w:val="6B217424"/>
    <w:rsid w:val="6B264A3A"/>
    <w:rsid w:val="6B2807B2"/>
    <w:rsid w:val="6B410C9C"/>
    <w:rsid w:val="6B43383E"/>
    <w:rsid w:val="6B43739A"/>
    <w:rsid w:val="6B485143"/>
    <w:rsid w:val="6B651632"/>
    <w:rsid w:val="6B673089"/>
    <w:rsid w:val="6B6A0E16"/>
    <w:rsid w:val="6B825EDC"/>
    <w:rsid w:val="6B827EC3"/>
    <w:rsid w:val="6B907DB6"/>
    <w:rsid w:val="6B9749D8"/>
    <w:rsid w:val="6B985938"/>
    <w:rsid w:val="6B99520C"/>
    <w:rsid w:val="6B9E2FFA"/>
    <w:rsid w:val="6B9E5223"/>
    <w:rsid w:val="6BA22313"/>
    <w:rsid w:val="6BA442DD"/>
    <w:rsid w:val="6BA50055"/>
    <w:rsid w:val="6BA67C72"/>
    <w:rsid w:val="6BA962ED"/>
    <w:rsid w:val="6BAA605B"/>
    <w:rsid w:val="6BAB4210"/>
    <w:rsid w:val="6BB07324"/>
    <w:rsid w:val="6BB12556"/>
    <w:rsid w:val="6BB34520"/>
    <w:rsid w:val="6BBF1117"/>
    <w:rsid w:val="6BC26BA2"/>
    <w:rsid w:val="6BC905D3"/>
    <w:rsid w:val="6BCA186A"/>
    <w:rsid w:val="6BD037F1"/>
    <w:rsid w:val="6BD66460"/>
    <w:rsid w:val="6BD85D34"/>
    <w:rsid w:val="6BD9385B"/>
    <w:rsid w:val="6BDD0389"/>
    <w:rsid w:val="6BE52E4B"/>
    <w:rsid w:val="6BF07522"/>
    <w:rsid w:val="6BF41FBE"/>
    <w:rsid w:val="6BF453B7"/>
    <w:rsid w:val="6C0218F5"/>
    <w:rsid w:val="6C055A9A"/>
    <w:rsid w:val="6C10485D"/>
    <w:rsid w:val="6C117498"/>
    <w:rsid w:val="6C132EF1"/>
    <w:rsid w:val="6C163A2B"/>
    <w:rsid w:val="6C1C081C"/>
    <w:rsid w:val="6C1F1F4A"/>
    <w:rsid w:val="6C272957"/>
    <w:rsid w:val="6C2D7B15"/>
    <w:rsid w:val="6C313697"/>
    <w:rsid w:val="6C3556EC"/>
    <w:rsid w:val="6C412792"/>
    <w:rsid w:val="6C423AF6"/>
    <w:rsid w:val="6C4446EC"/>
    <w:rsid w:val="6C465394"/>
    <w:rsid w:val="6C494E84"/>
    <w:rsid w:val="6C4C7F72"/>
    <w:rsid w:val="6C591DF9"/>
    <w:rsid w:val="6C5A0E3F"/>
    <w:rsid w:val="6C613F7C"/>
    <w:rsid w:val="6C627CF4"/>
    <w:rsid w:val="6C632C7F"/>
    <w:rsid w:val="6C6C46CF"/>
    <w:rsid w:val="6C9003BD"/>
    <w:rsid w:val="6C991968"/>
    <w:rsid w:val="6C993655"/>
    <w:rsid w:val="6C9A702C"/>
    <w:rsid w:val="6C9D0D2C"/>
    <w:rsid w:val="6CA6751F"/>
    <w:rsid w:val="6CAD5413"/>
    <w:rsid w:val="6CC22541"/>
    <w:rsid w:val="6CCB79CE"/>
    <w:rsid w:val="6CD76B48"/>
    <w:rsid w:val="6CDA1364"/>
    <w:rsid w:val="6CDA5ADC"/>
    <w:rsid w:val="6CDF6931"/>
    <w:rsid w:val="6CDF7FDA"/>
    <w:rsid w:val="6CFE17CB"/>
    <w:rsid w:val="6CFE5C6F"/>
    <w:rsid w:val="6D001B8A"/>
    <w:rsid w:val="6D033285"/>
    <w:rsid w:val="6D090170"/>
    <w:rsid w:val="6D09463B"/>
    <w:rsid w:val="6D0C3C46"/>
    <w:rsid w:val="6D0D5EB2"/>
    <w:rsid w:val="6D1055FB"/>
    <w:rsid w:val="6D111B2A"/>
    <w:rsid w:val="6D2B3963"/>
    <w:rsid w:val="6D2E0F86"/>
    <w:rsid w:val="6D2F7BD6"/>
    <w:rsid w:val="6D316241"/>
    <w:rsid w:val="6D371181"/>
    <w:rsid w:val="6D3A657B"/>
    <w:rsid w:val="6D3C22F3"/>
    <w:rsid w:val="6D4029CB"/>
    <w:rsid w:val="6D480C98"/>
    <w:rsid w:val="6D49288A"/>
    <w:rsid w:val="6D4A3B27"/>
    <w:rsid w:val="6D5238C5"/>
    <w:rsid w:val="6D527D69"/>
    <w:rsid w:val="6D57537F"/>
    <w:rsid w:val="6D581EDE"/>
    <w:rsid w:val="6D594C53"/>
    <w:rsid w:val="6D5E04BB"/>
    <w:rsid w:val="6D617FAC"/>
    <w:rsid w:val="6D6372E5"/>
    <w:rsid w:val="6D643DFF"/>
    <w:rsid w:val="6D671DD7"/>
    <w:rsid w:val="6D6A6E60"/>
    <w:rsid w:val="6D89482E"/>
    <w:rsid w:val="6D8A305E"/>
    <w:rsid w:val="6D95615B"/>
    <w:rsid w:val="6DA03FB3"/>
    <w:rsid w:val="6DAF6F69"/>
    <w:rsid w:val="6DB97DE8"/>
    <w:rsid w:val="6DC742B3"/>
    <w:rsid w:val="6DC974FF"/>
    <w:rsid w:val="6DCB4FF7"/>
    <w:rsid w:val="6DD469CF"/>
    <w:rsid w:val="6DDF3EE6"/>
    <w:rsid w:val="6DF64B98"/>
    <w:rsid w:val="6DF91888"/>
    <w:rsid w:val="6E012B47"/>
    <w:rsid w:val="6E0A2EA5"/>
    <w:rsid w:val="6E134D39"/>
    <w:rsid w:val="6E162B44"/>
    <w:rsid w:val="6E1868BC"/>
    <w:rsid w:val="6E1D7AD5"/>
    <w:rsid w:val="6E1F40EF"/>
    <w:rsid w:val="6E217E67"/>
    <w:rsid w:val="6E22773B"/>
    <w:rsid w:val="6E255127"/>
    <w:rsid w:val="6E3700DF"/>
    <w:rsid w:val="6E374346"/>
    <w:rsid w:val="6E3851B0"/>
    <w:rsid w:val="6E3C25B5"/>
    <w:rsid w:val="6E420DCD"/>
    <w:rsid w:val="6E443B55"/>
    <w:rsid w:val="6E46167B"/>
    <w:rsid w:val="6E486E44"/>
    <w:rsid w:val="6E597DC9"/>
    <w:rsid w:val="6E5B78BD"/>
    <w:rsid w:val="6E651118"/>
    <w:rsid w:val="6E716847"/>
    <w:rsid w:val="6E7B6E4B"/>
    <w:rsid w:val="6E8862B4"/>
    <w:rsid w:val="6E9A7825"/>
    <w:rsid w:val="6E9E3905"/>
    <w:rsid w:val="6EAA26C2"/>
    <w:rsid w:val="6EB505AF"/>
    <w:rsid w:val="6EB729A7"/>
    <w:rsid w:val="6EC802E2"/>
    <w:rsid w:val="6EC97902"/>
    <w:rsid w:val="6ECC22BD"/>
    <w:rsid w:val="6ECC2CBC"/>
    <w:rsid w:val="6ED04F46"/>
    <w:rsid w:val="6EDF7E10"/>
    <w:rsid w:val="6EE42C42"/>
    <w:rsid w:val="6EF72976"/>
    <w:rsid w:val="6F05652F"/>
    <w:rsid w:val="6F064E17"/>
    <w:rsid w:val="6F0B0567"/>
    <w:rsid w:val="6F0B4673"/>
    <w:rsid w:val="6F0D03EB"/>
    <w:rsid w:val="6F0F4163"/>
    <w:rsid w:val="6F11457B"/>
    <w:rsid w:val="6F125A01"/>
    <w:rsid w:val="6F164C73"/>
    <w:rsid w:val="6F1A05C2"/>
    <w:rsid w:val="6F1D10D4"/>
    <w:rsid w:val="6F2313FB"/>
    <w:rsid w:val="6F331FE6"/>
    <w:rsid w:val="6F337C01"/>
    <w:rsid w:val="6F343BCA"/>
    <w:rsid w:val="6F3911E0"/>
    <w:rsid w:val="6F394D3C"/>
    <w:rsid w:val="6F40431D"/>
    <w:rsid w:val="6F4162E7"/>
    <w:rsid w:val="6F4705F4"/>
    <w:rsid w:val="6F543924"/>
    <w:rsid w:val="6F616041"/>
    <w:rsid w:val="6F6C2EE8"/>
    <w:rsid w:val="6F6C53DE"/>
    <w:rsid w:val="6F771577"/>
    <w:rsid w:val="6F827073"/>
    <w:rsid w:val="6F912DCA"/>
    <w:rsid w:val="6F97206B"/>
    <w:rsid w:val="6F983F70"/>
    <w:rsid w:val="6FB1521A"/>
    <w:rsid w:val="6FB70357"/>
    <w:rsid w:val="6FB940CF"/>
    <w:rsid w:val="6FBD596D"/>
    <w:rsid w:val="6FBE16E5"/>
    <w:rsid w:val="6FC7174D"/>
    <w:rsid w:val="6FD9207B"/>
    <w:rsid w:val="6FE04C3C"/>
    <w:rsid w:val="6FE55ABA"/>
    <w:rsid w:val="6FE75F48"/>
    <w:rsid w:val="700301B1"/>
    <w:rsid w:val="700438FC"/>
    <w:rsid w:val="701F3D7E"/>
    <w:rsid w:val="70253512"/>
    <w:rsid w:val="702851B6"/>
    <w:rsid w:val="70294DB1"/>
    <w:rsid w:val="702E0EDD"/>
    <w:rsid w:val="702E23C7"/>
    <w:rsid w:val="7036127C"/>
    <w:rsid w:val="704020FA"/>
    <w:rsid w:val="70442756"/>
    <w:rsid w:val="7046283D"/>
    <w:rsid w:val="704766C7"/>
    <w:rsid w:val="704F233D"/>
    <w:rsid w:val="70512559"/>
    <w:rsid w:val="70590B1F"/>
    <w:rsid w:val="70645DE9"/>
    <w:rsid w:val="70680720"/>
    <w:rsid w:val="706912BB"/>
    <w:rsid w:val="70720B33"/>
    <w:rsid w:val="70817E10"/>
    <w:rsid w:val="70820965"/>
    <w:rsid w:val="70871AD7"/>
    <w:rsid w:val="708915A4"/>
    <w:rsid w:val="70926DFA"/>
    <w:rsid w:val="7098733C"/>
    <w:rsid w:val="70A639E7"/>
    <w:rsid w:val="70A73F27"/>
    <w:rsid w:val="70AB0EC4"/>
    <w:rsid w:val="70BA3BF2"/>
    <w:rsid w:val="70C7611C"/>
    <w:rsid w:val="70CC72E7"/>
    <w:rsid w:val="70CE7706"/>
    <w:rsid w:val="70EA1CAC"/>
    <w:rsid w:val="70EC042A"/>
    <w:rsid w:val="70EE322F"/>
    <w:rsid w:val="70F21646"/>
    <w:rsid w:val="70F25AEA"/>
    <w:rsid w:val="70F57389"/>
    <w:rsid w:val="70FC4273"/>
    <w:rsid w:val="71033854"/>
    <w:rsid w:val="71063221"/>
    <w:rsid w:val="710F3029"/>
    <w:rsid w:val="711E58F0"/>
    <w:rsid w:val="7122244C"/>
    <w:rsid w:val="71290BE6"/>
    <w:rsid w:val="713017B6"/>
    <w:rsid w:val="713A2FED"/>
    <w:rsid w:val="713C0930"/>
    <w:rsid w:val="71403EC6"/>
    <w:rsid w:val="71406FC8"/>
    <w:rsid w:val="71431EA2"/>
    <w:rsid w:val="7152573C"/>
    <w:rsid w:val="71594D33"/>
    <w:rsid w:val="71595F9C"/>
    <w:rsid w:val="715B36F5"/>
    <w:rsid w:val="71630796"/>
    <w:rsid w:val="71682F3F"/>
    <w:rsid w:val="717C53B4"/>
    <w:rsid w:val="718D5813"/>
    <w:rsid w:val="71902C0D"/>
    <w:rsid w:val="71954DDE"/>
    <w:rsid w:val="719C15B2"/>
    <w:rsid w:val="71A072F4"/>
    <w:rsid w:val="71A861A9"/>
    <w:rsid w:val="71AE39D4"/>
    <w:rsid w:val="71AF7537"/>
    <w:rsid w:val="71B0505E"/>
    <w:rsid w:val="71BC663C"/>
    <w:rsid w:val="71C437D2"/>
    <w:rsid w:val="71EB3391"/>
    <w:rsid w:val="71F87130"/>
    <w:rsid w:val="71FA11CC"/>
    <w:rsid w:val="71FA70BA"/>
    <w:rsid w:val="720F447A"/>
    <w:rsid w:val="721455EC"/>
    <w:rsid w:val="7216013B"/>
    <w:rsid w:val="72172541"/>
    <w:rsid w:val="72203F91"/>
    <w:rsid w:val="72347A3D"/>
    <w:rsid w:val="7238752D"/>
    <w:rsid w:val="723D786C"/>
    <w:rsid w:val="723E08BB"/>
    <w:rsid w:val="72432388"/>
    <w:rsid w:val="72473BE1"/>
    <w:rsid w:val="725325B9"/>
    <w:rsid w:val="726152EF"/>
    <w:rsid w:val="726447C6"/>
    <w:rsid w:val="726B5B54"/>
    <w:rsid w:val="728249FB"/>
    <w:rsid w:val="729055BB"/>
    <w:rsid w:val="729130E1"/>
    <w:rsid w:val="72916C3D"/>
    <w:rsid w:val="729329B5"/>
    <w:rsid w:val="72AA7CFF"/>
    <w:rsid w:val="72AE3C93"/>
    <w:rsid w:val="72B15531"/>
    <w:rsid w:val="72B45467"/>
    <w:rsid w:val="72B80100"/>
    <w:rsid w:val="72B8066E"/>
    <w:rsid w:val="72C74186"/>
    <w:rsid w:val="72C963D7"/>
    <w:rsid w:val="72CC4119"/>
    <w:rsid w:val="72D51220"/>
    <w:rsid w:val="72DA4A88"/>
    <w:rsid w:val="72DD1E82"/>
    <w:rsid w:val="72F0605A"/>
    <w:rsid w:val="72FA6ED8"/>
    <w:rsid w:val="72FF629D"/>
    <w:rsid w:val="73010267"/>
    <w:rsid w:val="730159DB"/>
    <w:rsid w:val="730218E9"/>
    <w:rsid w:val="73050814"/>
    <w:rsid w:val="7306587D"/>
    <w:rsid w:val="730D5D09"/>
    <w:rsid w:val="730E028E"/>
    <w:rsid w:val="730F6D34"/>
    <w:rsid w:val="73100899"/>
    <w:rsid w:val="731777B8"/>
    <w:rsid w:val="73261A7B"/>
    <w:rsid w:val="732E5CC1"/>
    <w:rsid w:val="733258BA"/>
    <w:rsid w:val="733817AF"/>
    <w:rsid w:val="7339611F"/>
    <w:rsid w:val="735F4F8D"/>
    <w:rsid w:val="73660FDD"/>
    <w:rsid w:val="73682BF8"/>
    <w:rsid w:val="73691D1E"/>
    <w:rsid w:val="736B1B84"/>
    <w:rsid w:val="736B56B4"/>
    <w:rsid w:val="737A6252"/>
    <w:rsid w:val="737C169B"/>
    <w:rsid w:val="738B7B30"/>
    <w:rsid w:val="739B182E"/>
    <w:rsid w:val="73A07DC5"/>
    <w:rsid w:val="73A3093B"/>
    <w:rsid w:val="73A330CC"/>
    <w:rsid w:val="73A6650D"/>
    <w:rsid w:val="73AA445A"/>
    <w:rsid w:val="73BA21C4"/>
    <w:rsid w:val="73BC6D60"/>
    <w:rsid w:val="73D56FFD"/>
    <w:rsid w:val="73DD4684"/>
    <w:rsid w:val="73DE4104"/>
    <w:rsid w:val="73E142F8"/>
    <w:rsid w:val="73E7745D"/>
    <w:rsid w:val="73E85FDE"/>
    <w:rsid w:val="73ED2599"/>
    <w:rsid w:val="73F05BE5"/>
    <w:rsid w:val="73F2195D"/>
    <w:rsid w:val="73F63B3D"/>
    <w:rsid w:val="73F73418"/>
    <w:rsid w:val="74065409"/>
    <w:rsid w:val="740D5A1F"/>
    <w:rsid w:val="74122000"/>
    <w:rsid w:val="741E3917"/>
    <w:rsid w:val="741E7538"/>
    <w:rsid w:val="74232316"/>
    <w:rsid w:val="742835D1"/>
    <w:rsid w:val="742A3172"/>
    <w:rsid w:val="742E7A1C"/>
    <w:rsid w:val="742F3BF9"/>
    <w:rsid w:val="74312486"/>
    <w:rsid w:val="74341F76"/>
    <w:rsid w:val="74393A30"/>
    <w:rsid w:val="743A3291"/>
    <w:rsid w:val="743D707D"/>
    <w:rsid w:val="744D6A97"/>
    <w:rsid w:val="74553C5C"/>
    <w:rsid w:val="745641AF"/>
    <w:rsid w:val="745E6FDE"/>
    <w:rsid w:val="74683C8F"/>
    <w:rsid w:val="748B6C91"/>
    <w:rsid w:val="748C3B60"/>
    <w:rsid w:val="748F53FE"/>
    <w:rsid w:val="749F7D37"/>
    <w:rsid w:val="74A964C0"/>
    <w:rsid w:val="74AA048A"/>
    <w:rsid w:val="74AC5FB0"/>
    <w:rsid w:val="74B96965"/>
    <w:rsid w:val="74C4183A"/>
    <w:rsid w:val="74CA6436"/>
    <w:rsid w:val="74D07EF1"/>
    <w:rsid w:val="74E05C5A"/>
    <w:rsid w:val="750543DF"/>
    <w:rsid w:val="75057D64"/>
    <w:rsid w:val="750A65D3"/>
    <w:rsid w:val="750D2EF3"/>
    <w:rsid w:val="75131692"/>
    <w:rsid w:val="751A5610"/>
    <w:rsid w:val="752465EF"/>
    <w:rsid w:val="752913AF"/>
    <w:rsid w:val="752A2433"/>
    <w:rsid w:val="752F3BFA"/>
    <w:rsid w:val="75347454"/>
    <w:rsid w:val="75350795"/>
    <w:rsid w:val="753C5F49"/>
    <w:rsid w:val="753F3E8C"/>
    <w:rsid w:val="75412B9C"/>
    <w:rsid w:val="7544268D"/>
    <w:rsid w:val="7547466D"/>
    <w:rsid w:val="75526B58"/>
    <w:rsid w:val="7556257F"/>
    <w:rsid w:val="7561323F"/>
    <w:rsid w:val="756248C1"/>
    <w:rsid w:val="75635D25"/>
    <w:rsid w:val="756643B1"/>
    <w:rsid w:val="75763252"/>
    <w:rsid w:val="75792580"/>
    <w:rsid w:val="757A4423"/>
    <w:rsid w:val="75823BEA"/>
    <w:rsid w:val="758456F4"/>
    <w:rsid w:val="75867F08"/>
    <w:rsid w:val="758A59BC"/>
    <w:rsid w:val="75920C00"/>
    <w:rsid w:val="75931CFF"/>
    <w:rsid w:val="75954C96"/>
    <w:rsid w:val="759742F0"/>
    <w:rsid w:val="759A22AD"/>
    <w:rsid w:val="759E3B4B"/>
    <w:rsid w:val="75A9488E"/>
    <w:rsid w:val="75B64942"/>
    <w:rsid w:val="75B93A51"/>
    <w:rsid w:val="75B96BD7"/>
    <w:rsid w:val="75C23DEC"/>
    <w:rsid w:val="75D21A46"/>
    <w:rsid w:val="75DD10A9"/>
    <w:rsid w:val="75DD246E"/>
    <w:rsid w:val="75E16295"/>
    <w:rsid w:val="75E43528"/>
    <w:rsid w:val="75ED6880"/>
    <w:rsid w:val="75F06371"/>
    <w:rsid w:val="75F86CE3"/>
    <w:rsid w:val="75F95225"/>
    <w:rsid w:val="75FB0F9D"/>
    <w:rsid w:val="75FE0A8D"/>
    <w:rsid w:val="76036776"/>
    <w:rsid w:val="7604186E"/>
    <w:rsid w:val="760A3A78"/>
    <w:rsid w:val="7613461F"/>
    <w:rsid w:val="761371AE"/>
    <w:rsid w:val="7621703B"/>
    <w:rsid w:val="76277FE4"/>
    <w:rsid w:val="76297AAD"/>
    <w:rsid w:val="762D1D43"/>
    <w:rsid w:val="762E72CC"/>
    <w:rsid w:val="76361FD5"/>
    <w:rsid w:val="76402E54"/>
    <w:rsid w:val="76407928"/>
    <w:rsid w:val="764B3B5D"/>
    <w:rsid w:val="765661D4"/>
    <w:rsid w:val="765764A8"/>
    <w:rsid w:val="765C57B4"/>
    <w:rsid w:val="765D4142"/>
    <w:rsid w:val="7662101C"/>
    <w:rsid w:val="766342BC"/>
    <w:rsid w:val="766A1C7F"/>
    <w:rsid w:val="766A39C4"/>
    <w:rsid w:val="76733229"/>
    <w:rsid w:val="768417DB"/>
    <w:rsid w:val="769136B0"/>
    <w:rsid w:val="76B161DB"/>
    <w:rsid w:val="76B61368"/>
    <w:rsid w:val="76B850E0"/>
    <w:rsid w:val="76BB24DB"/>
    <w:rsid w:val="76BE04C0"/>
    <w:rsid w:val="76C21ABB"/>
    <w:rsid w:val="76D06800"/>
    <w:rsid w:val="76E21980"/>
    <w:rsid w:val="76E46FBB"/>
    <w:rsid w:val="76E539FB"/>
    <w:rsid w:val="76E732D0"/>
    <w:rsid w:val="76F123A0"/>
    <w:rsid w:val="770C2D36"/>
    <w:rsid w:val="77165BAD"/>
    <w:rsid w:val="77297D8C"/>
    <w:rsid w:val="772E3CE7"/>
    <w:rsid w:val="77420E4E"/>
    <w:rsid w:val="774424D0"/>
    <w:rsid w:val="77456248"/>
    <w:rsid w:val="77494B0D"/>
    <w:rsid w:val="774B7D02"/>
    <w:rsid w:val="774D2678"/>
    <w:rsid w:val="77534E09"/>
    <w:rsid w:val="775972A4"/>
    <w:rsid w:val="775C3CBE"/>
    <w:rsid w:val="775D45CC"/>
    <w:rsid w:val="77625FC5"/>
    <w:rsid w:val="7763329E"/>
    <w:rsid w:val="776E2D05"/>
    <w:rsid w:val="777803CC"/>
    <w:rsid w:val="77866F8C"/>
    <w:rsid w:val="77BA3F66"/>
    <w:rsid w:val="77C17FC5"/>
    <w:rsid w:val="77C45EEB"/>
    <w:rsid w:val="77C6528F"/>
    <w:rsid w:val="77CA303F"/>
    <w:rsid w:val="77D20D7F"/>
    <w:rsid w:val="77DB30E5"/>
    <w:rsid w:val="77DC4DFE"/>
    <w:rsid w:val="77E048EF"/>
    <w:rsid w:val="77E77B90"/>
    <w:rsid w:val="77FA34D6"/>
    <w:rsid w:val="77FE2F3A"/>
    <w:rsid w:val="77FF5913"/>
    <w:rsid w:val="780A7DA4"/>
    <w:rsid w:val="781A1F6B"/>
    <w:rsid w:val="781C12A7"/>
    <w:rsid w:val="78252301"/>
    <w:rsid w:val="78320EC2"/>
    <w:rsid w:val="783B7D77"/>
    <w:rsid w:val="78474DE8"/>
    <w:rsid w:val="785A7660"/>
    <w:rsid w:val="785E1CB7"/>
    <w:rsid w:val="786170B2"/>
    <w:rsid w:val="786F5C73"/>
    <w:rsid w:val="787050BC"/>
    <w:rsid w:val="787933AD"/>
    <w:rsid w:val="788A0834"/>
    <w:rsid w:val="788A6608"/>
    <w:rsid w:val="788F3C1F"/>
    <w:rsid w:val="7893617E"/>
    <w:rsid w:val="78AB292B"/>
    <w:rsid w:val="78B82996"/>
    <w:rsid w:val="78B95140"/>
    <w:rsid w:val="78BB10DB"/>
    <w:rsid w:val="78C37D6C"/>
    <w:rsid w:val="78CC750B"/>
    <w:rsid w:val="78CD1146"/>
    <w:rsid w:val="78CF4963"/>
    <w:rsid w:val="78DC4B30"/>
    <w:rsid w:val="78E0447A"/>
    <w:rsid w:val="78E26D79"/>
    <w:rsid w:val="78EA6280"/>
    <w:rsid w:val="78EF183C"/>
    <w:rsid w:val="78FB7506"/>
    <w:rsid w:val="79004B1D"/>
    <w:rsid w:val="79052133"/>
    <w:rsid w:val="791C6AC8"/>
    <w:rsid w:val="791D747D"/>
    <w:rsid w:val="791F1447"/>
    <w:rsid w:val="791F19BE"/>
    <w:rsid w:val="79206F6D"/>
    <w:rsid w:val="792273F9"/>
    <w:rsid w:val="7924080B"/>
    <w:rsid w:val="792B27AD"/>
    <w:rsid w:val="792E168A"/>
    <w:rsid w:val="793C2DB7"/>
    <w:rsid w:val="79464C25"/>
    <w:rsid w:val="79506D96"/>
    <w:rsid w:val="7950709C"/>
    <w:rsid w:val="795132F9"/>
    <w:rsid w:val="795409C4"/>
    <w:rsid w:val="795A5FDB"/>
    <w:rsid w:val="795F1843"/>
    <w:rsid w:val="795F293D"/>
    <w:rsid w:val="796A33F6"/>
    <w:rsid w:val="797C23F5"/>
    <w:rsid w:val="798E037A"/>
    <w:rsid w:val="79984D55"/>
    <w:rsid w:val="79A34F54"/>
    <w:rsid w:val="79A95A54"/>
    <w:rsid w:val="79B778D1"/>
    <w:rsid w:val="79CC4944"/>
    <w:rsid w:val="79D97847"/>
    <w:rsid w:val="79E1768B"/>
    <w:rsid w:val="79E87A8A"/>
    <w:rsid w:val="79F006ED"/>
    <w:rsid w:val="79F54CC8"/>
    <w:rsid w:val="7A0423EA"/>
    <w:rsid w:val="7A08012D"/>
    <w:rsid w:val="7A1545F8"/>
    <w:rsid w:val="7A1B01D4"/>
    <w:rsid w:val="7A1E525A"/>
    <w:rsid w:val="7A242EE3"/>
    <w:rsid w:val="7A272184"/>
    <w:rsid w:val="7A2860D9"/>
    <w:rsid w:val="7A3C7DD6"/>
    <w:rsid w:val="7A41363F"/>
    <w:rsid w:val="7A440A39"/>
    <w:rsid w:val="7A4F18B8"/>
    <w:rsid w:val="7A576617"/>
    <w:rsid w:val="7A5E1AFB"/>
    <w:rsid w:val="7A6730A5"/>
    <w:rsid w:val="7A7F1A71"/>
    <w:rsid w:val="7A813A3B"/>
    <w:rsid w:val="7A8552D9"/>
    <w:rsid w:val="7A865511"/>
    <w:rsid w:val="7A8C2B0C"/>
    <w:rsid w:val="7A8D4656"/>
    <w:rsid w:val="7A912D54"/>
    <w:rsid w:val="7A9419C0"/>
    <w:rsid w:val="7A965FF5"/>
    <w:rsid w:val="7AB32BFC"/>
    <w:rsid w:val="7AB636E5"/>
    <w:rsid w:val="7ACB3889"/>
    <w:rsid w:val="7AD4000F"/>
    <w:rsid w:val="7AD87AFF"/>
    <w:rsid w:val="7ADE49EA"/>
    <w:rsid w:val="7AE21A30"/>
    <w:rsid w:val="7AE53FCA"/>
    <w:rsid w:val="7AE727C1"/>
    <w:rsid w:val="7AF1296F"/>
    <w:rsid w:val="7AF67F85"/>
    <w:rsid w:val="7AFA28B3"/>
    <w:rsid w:val="7AFD57B8"/>
    <w:rsid w:val="7B0554D4"/>
    <w:rsid w:val="7B0A688B"/>
    <w:rsid w:val="7B332219"/>
    <w:rsid w:val="7B492FBA"/>
    <w:rsid w:val="7B4A02D1"/>
    <w:rsid w:val="7B503B39"/>
    <w:rsid w:val="7B51340D"/>
    <w:rsid w:val="7B530F64"/>
    <w:rsid w:val="7B5A6766"/>
    <w:rsid w:val="7B5E72DB"/>
    <w:rsid w:val="7B5F2201"/>
    <w:rsid w:val="7B677C21"/>
    <w:rsid w:val="7B786BEC"/>
    <w:rsid w:val="7B821819"/>
    <w:rsid w:val="7B825CBD"/>
    <w:rsid w:val="7B8C2698"/>
    <w:rsid w:val="7B915F00"/>
    <w:rsid w:val="7B9A3006"/>
    <w:rsid w:val="7BA14395"/>
    <w:rsid w:val="7BA75723"/>
    <w:rsid w:val="7BAE1B6F"/>
    <w:rsid w:val="7BB340C8"/>
    <w:rsid w:val="7BB60249"/>
    <w:rsid w:val="7BB83746"/>
    <w:rsid w:val="7BBA5457"/>
    <w:rsid w:val="7BCB1412"/>
    <w:rsid w:val="7BDB1C80"/>
    <w:rsid w:val="7BE15E8E"/>
    <w:rsid w:val="7BE95312"/>
    <w:rsid w:val="7BF1074D"/>
    <w:rsid w:val="7BF302A3"/>
    <w:rsid w:val="7BF60221"/>
    <w:rsid w:val="7BF72207"/>
    <w:rsid w:val="7BFB7EC5"/>
    <w:rsid w:val="7C04589A"/>
    <w:rsid w:val="7C117E72"/>
    <w:rsid w:val="7C1C1C87"/>
    <w:rsid w:val="7C1F24FE"/>
    <w:rsid w:val="7C217284"/>
    <w:rsid w:val="7C2D360B"/>
    <w:rsid w:val="7C2D5C29"/>
    <w:rsid w:val="7C3945CD"/>
    <w:rsid w:val="7C43544C"/>
    <w:rsid w:val="7C480CB4"/>
    <w:rsid w:val="7C4D0822"/>
    <w:rsid w:val="7C5238E1"/>
    <w:rsid w:val="7C540844"/>
    <w:rsid w:val="7C61254C"/>
    <w:rsid w:val="7C66113B"/>
    <w:rsid w:val="7C7970C0"/>
    <w:rsid w:val="7C8A307B"/>
    <w:rsid w:val="7C8E37DA"/>
    <w:rsid w:val="7C8E41ED"/>
    <w:rsid w:val="7C906278"/>
    <w:rsid w:val="7C914409"/>
    <w:rsid w:val="7C925136"/>
    <w:rsid w:val="7C970882"/>
    <w:rsid w:val="7C9C2DAE"/>
    <w:rsid w:val="7CA3413D"/>
    <w:rsid w:val="7CA66A6C"/>
    <w:rsid w:val="7CBE0F77"/>
    <w:rsid w:val="7CBE4AD3"/>
    <w:rsid w:val="7CC13BB6"/>
    <w:rsid w:val="7CC55E61"/>
    <w:rsid w:val="7CD04B69"/>
    <w:rsid w:val="7CD51E1C"/>
    <w:rsid w:val="7CD60D99"/>
    <w:rsid w:val="7CE455BA"/>
    <w:rsid w:val="7CF21945"/>
    <w:rsid w:val="7CF60710"/>
    <w:rsid w:val="7CFB1883"/>
    <w:rsid w:val="7CFC55FB"/>
    <w:rsid w:val="7D045B74"/>
    <w:rsid w:val="7D0746CC"/>
    <w:rsid w:val="7D083FA0"/>
    <w:rsid w:val="7D1459C1"/>
    <w:rsid w:val="7D2012E9"/>
    <w:rsid w:val="7D221505"/>
    <w:rsid w:val="7D311748"/>
    <w:rsid w:val="7D3D4EC3"/>
    <w:rsid w:val="7D4C0330"/>
    <w:rsid w:val="7D5316BF"/>
    <w:rsid w:val="7D55314A"/>
    <w:rsid w:val="7D574E21"/>
    <w:rsid w:val="7D5B3B48"/>
    <w:rsid w:val="7D5F0BFE"/>
    <w:rsid w:val="7D6531A0"/>
    <w:rsid w:val="7D68657A"/>
    <w:rsid w:val="7D697134"/>
    <w:rsid w:val="7D747B49"/>
    <w:rsid w:val="7D756300"/>
    <w:rsid w:val="7D7D0EC6"/>
    <w:rsid w:val="7D832AE1"/>
    <w:rsid w:val="7D94130C"/>
    <w:rsid w:val="7D946282"/>
    <w:rsid w:val="7DA41F1A"/>
    <w:rsid w:val="7DAE0FEB"/>
    <w:rsid w:val="7DC75165"/>
    <w:rsid w:val="7DCE343B"/>
    <w:rsid w:val="7DD32800"/>
    <w:rsid w:val="7DD71301"/>
    <w:rsid w:val="7DDA593C"/>
    <w:rsid w:val="7DE2142A"/>
    <w:rsid w:val="7DE83EE6"/>
    <w:rsid w:val="7DEF1D3F"/>
    <w:rsid w:val="7DF2712A"/>
    <w:rsid w:val="7E01111B"/>
    <w:rsid w:val="7E074257"/>
    <w:rsid w:val="7E0E55E6"/>
    <w:rsid w:val="7E1857BB"/>
    <w:rsid w:val="7E1C5F55"/>
    <w:rsid w:val="7E1F77F3"/>
    <w:rsid w:val="7E215319"/>
    <w:rsid w:val="7E32214B"/>
    <w:rsid w:val="7E3862AE"/>
    <w:rsid w:val="7E3A5136"/>
    <w:rsid w:val="7E3F60E7"/>
    <w:rsid w:val="7E4534BC"/>
    <w:rsid w:val="7E455322"/>
    <w:rsid w:val="7E464D80"/>
    <w:rsid w:val="7E4C5BA2"/>
    <w:rsid w:val="7E555122"/>
    <w:rsid w:val="7E582D05"/>
    <w:rsid w:val="7E6671D0"/>
    <w:rsid w:val="7E667BD9"/>
    <w:rsid w:val="7E6713C1"/>
    <w:rsid w:val="7E68119A"/>
    <w:rsid w:val="7E97161A"/>
    <w:rsid w:val="7E9A50CB"/>
    <w:rsid w:val="7EA96234"/>
    <w:rsid w:val="7EB3102F"/>
    <w:rsid w:val="7EC32874"/>
    <w:rsid w:val="7ED14F91"/>
    <w:rsid w:val="7ED35A7C"/>
    <w:rsid w:val="7EDC1B88"/>
    <w:rsid w:val="7EE66563"/>
    <w:rsid w:val="7EE8052D"/>
    <w:rsid w:val="7EFC7916"/>
    <w:rsid w:val="7EFE1AFE"/>
    <w:rsid w:val="7F091139"/>
    <w:rsid w:val="7F0A3FFF"/>
    <w:rsid w:val="7F0A5883"/>
    <w:rsid w:val="7F0B4D0E"/>
    <w:rsid w:val="7F111831"/>
    <w:rsid w:val="7F1E6E78"/>
    <w:rsid w:val="7F2A74E0"/>
    <w:rsid w:val="7F2D5F40"/>
    <w:rsid w:val="7F3274B8"/>
    <w:rsid w:val="7F390D88"/>
    <w:rsid w:val="7F414370"/>
    <w:rsid w:val="7F453DC2"/>
    <w:rsid w:val="7F4828C9"/>
    <w:rsid w:val="7F4C7D24"/>
    <w:rsid w:val="7F5434CC"/>
    <w:rsid w:val="7F547970"/>
    <w:rsid w:val="7F56232B"/>
    <w:rsid w:val="7F5F49D4"/>
    <w:rsid w:val="7F623E3B"/>
    <w:rsid w:val="7F6556D9"/>
    <w:rsid w:val="7F661226"/>
    <w:rsid w:val="7F6C31F6"/>
    <w:rsid w:val="7F737DF6"/>
    <w:rsid w:val="7F857B2A"/>
    <w:rsid w:val="7F861CA9"/>
    <w:rsid w:val="7FA04523"/>
    <w:rsid w:val="7FA06711"/>
    <w:rsid w:val="7FA30D65"/>
    <w:rsid w:val="7FA369A6"/>
    <w:rsid w:val="7FA73F44"/>
    <w:rsid w:val="7FA93818"/>
    <w:rsid w:val="7FA93921"/>
    <w:rsid w:val="7FAC155A"/>
    <w:rsid w:val="7FB32B8A"/>
    <w:rsid w:val="7FBF128D"/>
    <w:rsid w:val="7FC26EBF"/>
    <w:rsid w:val="7FCB5E84"/>
    <w:rsid w:val="7FCB7C32"/>
    <w:rsid w:val="7FD01B13"/>
    <w:rsid w:val="7FD50AB1"/>
    <w:rsid w:val="7FDD1714"/>
    <w:rsid w:val="7FE06282"/>
    <w:rsid w:val="7FE9455C"/>
    <w:rsid w:val="7FED1E7B"/>
    <w:rsid w:val="7FFD39BE"/>
    <w:rsid w:val="7FFE6C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semiHidden/>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unhideWhenUsed/>
    <w:qFormat/>
    <w:uiPriority w:val="0"/>
    <w:pPr>
      <w:keepNext/>
      <w:keepLines/>
      <w:adjustRightInd w:val="0"/>
      <w:snapToGrid w:val="0"/>
      <w:spacing w:line="240" w:lineRule="auto"/>
      <w:ind w:firstLine="0" w:firstLineChars="0"/>
      <w:jc w:val="center"/>
      <w:outlineLvl w:val="2"/>
    </w:pPr>
    <w:rPr>
      <w:rFonts w:eastAsia="黑体"/>
      <w:b/>
      <w:sz w:val="30"/>
    </w:rPr>
  </w:style>
  <w:style w:type="paragraph" w:styleId="5">
    <w:name w:val="heading 4"/>
    <w:basedOn w:val="1"/>
    <w:next w:val="1"/>
    <w:link w:val="42"/>
    <w:unhideWhenUsed/>
    <w:qFormat/>
    <w:uiPriority w:val="0"/>
    <w:pPr>
      <w:keepNext/>
      <w:keepLines/>
      <w:adjustRightInd w:val="0"/>
      <w:snapToGrid w:val="0"/>
      <w:spacing w:line="240" w:lineRule="auto"/>
      <w:jc w:val="left"/>
      <w:outlineLvl w:val="3"/>
    </w:pPr>
    <w:rPr>
      <w:b/>
    </w:rPr>
  </w:style>
  <w:style w:type="paragraph" w:styleId="6">
    <w:name w:val="heading 5"/>
    <w:basedOn w:val="1"/>
    <w:next w:val="1"/>
    <w:unhideWhenUsed/>
    <w:qFormat/>
    <w:uiPriority w:val="0"/>
    <w:pPr>
      <w:keepNext/>
      <w:keepLines/>
      <w:spacing w:before="280" w:after="290" w:line="372" w:lineRule="auto"/>
      <w:outlineLvl w:val="4"/>
    </w:pPr>
    <w:rPr>
      <w:b/>
      <w:sz w:val="28"/>
    </w:rPr>
  </w:style>
  <w:style w:type="paragraph" w:styleId="7">
    <w:name w:val="heading 6"/>
    <w:basedOn w:val="1"/>
    <w:next w:val="1"/>
    <w:unhideWhenUsed/>
    <w:qFormat/>
    <w:uiPriority w:val="0"/>
    <w:pPr>
      <w:keepNext/>
      <w:keepLines/>
      <w:spacing w:before="240" w:after="64" w:line="317" w:lineRule="auto"/>
      <w:outlineLvl w:val="5"/>
    </w:pPr>
    <w:rPr>
      <w:rFonts w:ascii="Arial" w:hAnsi="Arial" w:eastAsia="黑体"/>
      <w:b/>
    </w:rPr>
  </w:style>
  <w:style w:type="paragraph" w:styleId="8">
    <w:name w:val="heading 7"/>
    <w:basedOn w:val="1"/>
    <w:next w:val="1"/>
    <w:unhideWhenUsed/>
    <w:qFormat/>
    <w:uiPriority w:val="0"/>
    <w:pPr>
      <w:keepNext/>
      <w:keepLines/>
      <w:spacing w:before="240" w:after="64" w:line="317" w:lineRule="auto"/>
      <w:outlineLvl w:val="6"/>
    </w:pPr>
    <w:rPr>
      <w:b/>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9">
    <w:name w:val="Normal Indent"/>
    <w:basedOn w:val="1"/>
    <w:next w:val="10"/>
    <w:qFormat/>
    <w:uiPriority w:val="0"/>
    <w:pPr>
      <w:ind w:firstLine="420"/>
    </w:pPr>
  </w:style>
  <w:style w:type="paragraph" w:styleId="10">
    <w:name w:val="Body Text First Indent 2"/>
    <w:basedOn w:val="11"/>
    <w:next w:val="1"/>
    <w:qFormat/>
    <w:uiPriority w:val="0"/>
    <w:pPr>
      <w:ind w:firstLine="420"/>
    </w:pPr>
  </w:style>
  <w:style w:type="paragraph" w:styleId="11">
    <w:name w:val="Body Text Indent"/>
    <w:basedOn w:val="1"/>
    <w:qFormat/>
    <w:uiPriority w:val="0"/>
    <w:pPr>
      <w:spacing w:after="120"/>
      <w:ind w:left="420" w:leftChars="200"/>
    </w:pPr>
    <w:rPr>
      <w:kern w:val="0"/>
      <w:szCs w:val="20"/>
    </w:rPr>
  </w:style>
  <w:style w:type="paragraph" w:styleId="12">
    <w:name w:val="annotation text"/>
    <w:basedOn w:val="1"/>
    <w:qFormat/>
    <w:uiPriority w:val="0"/>
    <w:pPr>
      <w:jc w:val="left"/>
    </w:pPr>
  </w:style>
  <w:style w:type="paragraph" w:styleId="13">
    <w:name w:val="Body Text"/>
    <w:basedOn w:val="1"/>
    <w:next w:val="14"/>
    <w:qFormat/>
    <w:uiPriority w:val="0"/>
    <w:pPr>
      <w:ind w:firstLine="0" w:firstLineChars="0"/>
      <w:jc w:val="left"/>
    </w:pPr>
  </w:style>
  <w:style w:type="paragraph" w:styleId="14">
    <w:name w:val="Body Text First Indent"/>
    <w:basedOn w:val="1"/>
    <w:next w:val="13"/>
    <w:unhideWhenUsed/>
    <w:qFormat/>
    <w:uiPriority w:val="99"/>
    <w:rPr>
      <w:rFonts w:ascii="Calibri" w:hAnsi="Calibri"/>
      <w:sz w:val="21"/>
    </w:rPr>
  </w:style>
  <w:style w:type="paragraph" w:styleId="15">
    <w:name w:val="toc 3"/>
    <w:basedOn w:val="1"/>
    <w:next w:val="1"/>
    <w:qFormat/>
    <w:uiPriority w:val="39"/>
    <w:pPr>
      <w:ind w:left="840" w:leftChars="400"/>
    </w:pPr>
  </w:style>
  <w:style w:type="paragraph" w:styleId="16">
    <w:name w:val="Plain Text"/>
    <w:basedOn w:val="1"/>
    <w:next w:val="1"/>
    <w:qFormat/>
    <w:uiPriority w:val="0"/>
    <w:rPr>
      <w:rFonts w:ascii="宋体" w:hAnsi="Courier New" w:cs="Courier New"/>
      <w:sz w:val="21"/>
      <w:szCs w:val="21"/>
    </w:rPr>
  </w:style>
  <w:style w:type="paragraph" w:styleId="17">
    <w:name w:val="footer"/>
    <w:qFormat/>
    <w:uiPriority w:val="99"/>
    <w:pPr>
      <w:widowControl w:val="0"/>
      <w:tabs>
        <w:tab w:val="center" w:pos="4153"/>
        <w:tab w:val="right" w:pos="8306"/>
      </w:tabs>
      <w:snapToGrid w:val="0"/>
    </w:pPr>
    <w:rPr>
      <w:rFonts w:ascii="Times New Roman" w:hAnsi="Times New Roman" w:eastAsia="宋体" w:cs="Times New Roman"/>
      <w:sz w:val="18"/>
      <w:lang w:val="en-US" w:eastAsia="zh-CN" w:bidi="ar-SA"/>
    </w:rPr>
  </w:style>
  <w:style w:type="paragraph" w:styleId="18">
    <w:name w:val="header"/>
    <w:basedOn w:val="1"/>
    <w:link w:val="44"/>
    <w:qFormat/>
    <w:uiPriority w:val="0"/>
    <w:pPr>
      <w:tabs>
        <w:tab w:val="center" w:pos="4153"/>
        <w:tab w:val="right" w:pos="8306"/>
      </w:tabs>
      <w:snapToGrid w:val="0"/>
      <w:spacing w:line="240" w:lineRule="auto"/>
      <w:jc w:val="center"/>
    </w:pPr>
    <w:rPr>
      <w:sz w:val="18"/>
      <w:szCs w:val="18"/>
    </w:rPr>
  </w:style>
  <w:style w:type="paragraph" w:styleId="19">
    <w:name w:val="toc 1"/>
    <w:basedOn w:val="1"/>
    <w:next w:val="1"/>
    <w:qFormat/>
    <w:uiPriority w:val="0"/>
  </w:style>
  <w:style w:type="paragraph" w:styleId="20">
    <w:name w:val="Normal (Web)"/>
    <w:basedOn w:val="1"/>
    <w:qFormat/>
    <w:uiPriority w:val="0"/>
  </w:style>
  <w:style w:type="paragraph" w:styleId="21">
    <w:name w:val="Title"/>
    <w:basedOn w:val="1"/>
    <w:next w:val="1"/>
    <w:link w:val="43"/>
    <w:qFormat/>
    <w:uiPriority w:val="0"/>
    <w:pPr>
      <w:spacing w:before="240" w:after="60"/>
      <w:ind w:firstLine="0" w:firstLineChars="0"/>
      <w:jc w:val="center"/>
      <w:outlineLvl w:val="0"/>
    </w:pPr>
    <w:rPr>
      <w:rFonts w:ascii="等线 Light" w:hAnsi="等线 Light"/>
      <w:b/>
      <w:bCs/>
      <w:sz w:val="32"/>
      <w:szCs w:val="32"/>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uiPriority w:val="0"/>
    <w:rPr>
      <w:b/>
    </w:rPr>
  </w:style>
  <w:style w:type="character" w:styleId="26">
    <w:name w:val="Hyperlink"/>
    <w:basedOn w:val="24"/>
    <w:unhideWhenUsed/>
    <w:qFormat/>
    <w:uiPriority w:val="99"/>
    <w:rPr>
      <w:color w:val="0563C1" w:themeColor="hyperlink"/>
      <w:u w:val="single"/>
      <w14:textFill>
        <w14:solidFill>
          <w14:schemeClr w14:val="hlink"/>
        </w14:solidFill>
      </w14:textFill>
    </w:rPr>
  </w:style>
  <w:style w:type="character" w:styleId="27">
    <w:name w:val="HTML Code"/>
    <w:basedOn w:val="24"/>
    <w:qFormat/>
    <w:uiPriority w:val="0"/>
    <w:rPr>
      <w:rFonts w:ascii="Courier New" w:hAnsi="Courier New"/>
      <w:sz w:val="20"/>
    </w:rPr>
  </w:style>
  <w:style w:type="paragraph" w:customStyle="1" w:styleId="28">
    <w:name w:val="表格文字"/>
    <w:basedOn w:val="14"/>
    <w:next w:val="1"/>
    <w:qFormat/>
    <w:uiPriority w:val="0"/>
    <w:pPr>
      <w:spacing w:line="240" w:lineRule="auto"/>
      <w:ind w:firstLine="0" w:firstLineChars="0"/>
    </w:pPr>
    <w:rPr>
      <w:rFonts w:hint="eastAsia" w:ascii="Times New Roman" w:hAnsi="Times New Roman"/>
      <w:kern w:val="0"/>
      <w:szCs w:val="21"/>
    </w:rPr>
  </w:style>
  <w:style w:type="paragraph" w:customStyle="1" w:styleId="29">
    <w:name w:val="表头"/>
    <w:basedOn w:val="30"/>
    <w:next w:val="9"/>
    <w:qFormat/>
    <w:uiPriority w:val="0"/>
    <w:rPr>
      <w:rFonts w:hint="eastAsia"/>
      <w:b/>
    </w:rPr>
  </w:style>
  <w:style w:type="paragraph" w:customStyle="1" w:styleId="30">
    <w:name w:val="表文字"/>
    <w:basedOn w:val="13"/>
    <w:next w:val="1"/>
    <w:qFormat/>
    <w:uiPriority w:val="0"/>
    <w:pPr>
      <w:adjustRightInd w:val="0"/>
      <w:snapToGrid w:val="0"/>
      <w:spacing w:line="240" w:lineRule="auto"/>
      <w:jc w:val="center"/>
    </w:pPr>
    <w:rPr>
      <w:kern w:val="0"/>
      <w:sz w:val="21"/>
      <w:szCs w:val="21"/>
    </w:rPr>
  </w:style>
  <w:style w:type="paragraph" w:customStyle="1" w:styleId="31">
    <w:name w:val="表格"/>
    <w:basedOn w:val="32"/>
    <w:link w:val="34"/>
    <w:qFormat/>
    <w:uiPriority w:val="0"/>
    <w:rPr>
      <w:b w:val="0"/>
      <w:szCs w:val="10"/>
    </w:rPr>
  </w:style>
  <w:style w:type="paragraph" w:customStyle="1" w:styleId="32">
    <w:name w:val="表格标题"/>
    <w:basedOn w:val="14"/>
    <w:next w:val="31"/>
    <w:link w:val="33"/>
    <w:qFormat/>
    <w:uiPriority w:val="0"/>
    <w:pPr>
      <w:overflowPunct w:val="0"/>
      <w:autoSpaceDE w:val="0"/>
      <w:autoSpaceDN w:val="0"/>
      <w:adjustRightInd w:val="0"/>
      <w:snapToGrid w:val="0"/>
      <w:spacing w:line="240" w:lineRule="auto"/>
      <w:ind w:firstLine="0" w:firstLineChars="0"/>
      <w:jc w:val="center"/>
      <w:textAlignment w:val="baseline"/>
    </w:pPr>
    <w:rPr>
      <w:rFonts w:ascii="Times New Roman" w:hAnsi="Times New Roman"/>
      <w:b/>
      <w:bCs/>
      <w:kern w:val="0"/>
      <w:szCs w:val="21"/>
    </w:rPr>
  </w:style>
  <w:style w:type="character" w:customStyle="1" w:styleId="33">
    <w:name w:val="表格标题 Char"/>
    <w:link w:val="32"/>
    <w:qFormat/>
    <w:uiPriority w:val="0"/>
    <w:rPr>
      <w:rFonts w:ascii="Times New Roman" w:hAnsi="Times New Roman" w:eastAsia="宋体"/>
      <w:b/>
      <w:bCs/>
      <w:kern w:val="0"/>
      <w:szCs w:val="21"/>
    </w:rPr>
  </w:style>
  <w:style w:type="character" w:customStyle="1" w:styleId="34">
    <w:name w:val="表格 Char"/>
    <w:link w:val="31"/>
    <w:qFormat/>
    <w:uiPriority w:val="0"/>
    <w:rPr>
      <w:rFonts w:ascii="Times New Roman" w:hAnsi="Times New Roman" w:eastAsia="宋体" w:cs="Times New Roman"/>
      <w:kern w:val="0"/>
      <w:sz w:val="21"/>
      <w:szCs w:val="10"/>
    </w:rPr>
  </w:style>
  <w:style w:type="table" w:customStyle="1" w:styleId="35">
    <w:name w:val="Table Normal"/>
    <w:semiHidden/>
    <w:unhideWhenUsed/>
    <w:qFormat/>
    <w:uiPriority w:val="0"/>
    <w:tblPr>
      <w:tblCellMar>
        <w:top w:w="0" w:type="dxa"/>
        <w:left w:w="0" w:type="dxa"/>
        <w:bottom w:w="0" w:type="dxa"/>
        <w:right w:w="0" w:type="dxa"/>
      </w:tblCellMar>
    </w:tblPr>
  </w:style>
  <w:style w:type="paragraph" w:customStyle="1" w:styleId="36">
    <w:name w:val="表格内容"/>
    <w:basedOn w:val="1"/>
    <w:next w:val="1"/>
    <w:qFormat/>
    <w:uiPriority w:val="0"/>
    <w:pPr>
      <w:adjustRightInd w:val="0"/>
      <w:snapToGrid w:val="0"/>
      <w:jc w:val="center"/>
    </w:pPr>
    <w:rPr>
      <w:kern w:val="0"/>
      <w:szCs w:val="21"/>
    </w:rPr>
  </w:style>
  <w:style w:type="paragraph" w:customStyle="1" w:styleId="37">
    <w:name w:val="Default"/>
    <w:basedOn w:val="38"/>
    <w:next w:val="1"/>
    <w:unhideWhenUsed/>
    <w:qFormat/>
    <w:uiPriority w:val="99"/>
    <w:pPr>
      <w:autoSpaceDE w:val="0"/>
      <w:autoSpaceDN w:val="0"/>
      <w:adjustRightInd w:val="0"/>
      <w:jc w:val="center"/>
    </w:pPr>
    <w:rPr>
      <w:rFonts w:ascii="Times New Roman" w:hAnsi="Times New Roman"/>
      <w:color w:val="000000"/>
      <w:sz w:val="21"/>
    </w:rPr>
  </w:style>
  <w:style w:type="paragraph" w:customStyle="1" w:styleId="38">
    <w:name w:val="纯文本1"/>
    <w:basedOn w:val="1"/>
    <w:next w:val="16"/>
    <w:qFormat/>
    <w:uiPriority w:val="0"/>
    <w:rPr>
      <w:rFonts w:ascii="宋体" w:hAnsi="Courier New"/>
    </w:rPr>
  </w:style>
  <w:style w:type="paragraph" w:customStyle="1" w:styleId="39">
    <w:name w:val="图表头"/>
    <w:basedOn w:val="31"/>
    <w:next w:val="31"/>
    <w:qFormat/>
    <w:uiPriority w:val="0"/>
    <w:pPr>
      <w:keepNext/>
      <w:adjustRightInd/>
      <w:snapToGrid/>
    </w:pPr>
    <w:rPr>
      <w:b/>
      <w:snapToGrid w:val="0"/>
      <w:kern w:val="21"/>
    </w:rPr>
  </w:style>
  <w:style w:type="paragraph" w:styleId="40">
    <w:name w:val="List Paragraph"/>
    <w:basedOn w:val="1"/>
    <w:unhideWhenUsed/>
    <w:qFormat/>
    <w:uiPriority w:val="99"/>
    <w:pPr>
      <w:ind w:firstLine="420"/>
    </w:pPr>
  </w:style>
  <w:style w:type="paragraph" w:customStyle="1" w:styleId="41">
    <w:name w:val="Table Paragraph"/>
    <w:basedOn w:val="1"/>
    <w:qFormat/>
    <w:uiPriority w:val="99"/>
    <w:pPr>
      <w:ind w:firstLine="0" w:firstLineChars="0"/>
      <w:jc w:val="center"/>
    </w:pPr>
  </w:style>
  <w:style w:type="character" w:customStyle="1" w:styleId="42">
    <w:name w:val="标题 4 字符"/>
    <w:basedOn w:val="24"/>
    <w:link w:val="5"/>
    <w:qFormat/>
    <w:uiPriority w:val="0"/>
    <w:rPr>
      <w:b/>
      <w:kern w:val="2"/>
      <w:sz w:val="24"/>
      <w:szCs w:val="24"/>
    </w:rPr>
  </w:style>
  <w:style w:type="character" w:customStyle="1" w:styleId="43">
    <w:name w:val="标题 字符"/>
    <w:basedOn w:val="24"/>
    <w:link w:val="21"/>
    <w:qFormat/>
    <w:uiPriority w:val="0"/>
    <w:rPr>
      <w:rFonts w:ascii="等线 Light" w:hAnsi="等线 Light"/>
      <w:b/>
      <w:bCs/>
      <w:kern w:val="2"/>
      <w:sz w:val="32"/>
      <w:szCs w:val="32"/>
    </w:rPr>
  </w:style>
  <w:style w:type="character" w:customStyle="1" w:styleId="44">
    <w:name w:val="页眉 字符"/>
    <w:basedOn w:val="24"/>
    <w:link w:val="18"/>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0" Type="http://schemas.openxmlformats.org/officeDocument/2006/relationships/fontTable" Target="fontTable.xml"/><Relationship Id="rId5" Type="http://schemas.openxmlformats.org/officeDocument/2006/relationships/header" Target="header1.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85</Pages>
  <Words>30079</Words>
  <Characters>34549</Characters>
  <Lines>2704</Lines>
  <Paragraphs>2488</Paragraphs>
  <TotalTime>0</TotalTime>
  <ScaleCrop>false</ScaleCrop>
  <LinksUpToDate>false</LinksUpToDate>
  <CharactersWithSpaces>34947</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2022-08-03T09:22:00Z</dcterms:created>
  <dc:creator>zl</dc:creator>
  <cp:lastModifiedBy>寇杰</cp:lastModifiedBy>
  <cp:lastPrinted>2024-05-08T02:12:00Z</cp:lastPrinted>
  <dcterms:modified xsi:type="dcterms:W3CDTF">2025-11-05T01:19:40Z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BDBAF8C9CE374ECF838AD89EAECFE797_13</vt:lpwstr>
  </property>
</Properties>
</file>