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BA068">
      <w:pPr>
        <w:keepNext w:val="0"/>
        <w:keepLines w:val="0"/>
        <w:widowControl w:val="0"/>
        <w:suppressLineNumbers w:val="0"/>
        <w:spacing w:before="0" w:beforeAutospacing="0" w:after="0" w:afterAutospacing="0" w:line="600" w:lineRule="exact"/>
        <w:ind w:left="0" w:right="0"/>
        <w:jc w:val="both"/>
        <w:rPr>
          <w:rFonts w:hint="eastAsia" w:ascii="宋体" w:hAnsi="宋体" w:eastAsia="黑体" w:cs="黑体"/>
          <w:sz w:val="28"/>
          <w:szCs w:val="28"/>
          <w:highlight w:val="none"/>
          <w:lang w:val="en-US"/>
        </w:rPr>
      </w:pPr>
      <w:r>
        <w:rPr>
          <w:rFonts w:hint="eastAsia" w:ascii="宋体" w:hAnsi="宋体" w:eastAsia="黑体" w:cs="黑体"/>
          <w:kern w:val="2"/>
          <w:sz w:val="28"/>
          <w:szCs w:val="28"/>
          <w:highlight w:val="none"/>
          <w:lang w:val="en-US" w:eastAsia="zh-CN" w:bidi="ar"/>
        </w:rPr>
        <w:t>附件3</w:t>
      </w:r>
    </w:p>
    <w:p w14:paraId="172CC636">
      <w:pPr>
        <w:keepNext w:val="0"/>
        <w:keepLines w:val="0"/>
        <w:widowControl w:val="0"/>
        <w:suppressLineNumbers w:val="0"/>
        <w:spacing w:before="0" w:beforeAutospacing="0" w:after="0" w:afterAutospacing="0" w:line="600" w:lineRule="exact"/>
        <w:ind w:left="0" w:right="0"/>
        <w:jc w:val="center"/>
        <w:rPr>
          <w:rFonts w:hint="eastAsia" w:ascii="宋体" w:hAnsi="宋体" w:eastAsia="方正小标宋简体" w:cs="宋体"/>
          <w:sz w:val="42"/>
          <w:szCs w:val="42"/>
          <w:highlight w:val="none"/>
          <w:lang w:val="en-US"/>
        </w:rPr>
      </w:pPr>
    </w:p>
    <w:p w14:paraId="0C019989">
      <w:pPr>
        <w:keepNext w:val="0"/>
        <w:keepLines w:val="0"/>
        <w:widowControl w:val="0"/>
        <w:suppressLineNumbers w:val="0"/>
        <w:spacing w:before="0" w:beforeAutospacing="0" w:after="0" w:afterAutospacing="0" w:line="800" w:lineRule="exact"/>
        <w:ind w:left="0" w:right="0"/>
        <w:jc w:val="center"/>
        <w:rPr>
          <w:rFonts w:hint="eastAsia" w:ascii="宋体" w:hAnsi="宋体" w:eastAsia="方正小标宋简体" w:cs="宋体"/>
          <w:sz w:val="46"/>
          <w:szCs w:val="46"/>
          <w:highlight w:val="none"/>
          <w:lang w:val="en-US"/>
        </w:rPr>
      </w:pPr>
      <w:r>
        <w:rPr>
          <w:rFonts w:hint="eastAsia" w:ascii="宋体" w:hAnsi="宋体" w:eastAsia="方正小标宋简体" w:cs="宋体"/>
          <w:kern w:val="2"/>
          <w:sz w:val="46"/>
          <w:szCs w:val="46"/>
          <w:highlight w:val="none"/>
          <w:lang w:val="en-US" w:eastAsia="zh-CN" w:bidi="ar"/>
        </w:rPr>
        <w:t>2024</w:t>
      </w:r>
      <w:r>
        <w:rPr>
          <w:rFonts w:hint="eastAsia" w:ascii="宋体" w:hAnsi="宋体" w:eastAsia="方正小标宋简体" w:cs="方正小标宋简体"/>
          <w:kern w:val="2"/>
          <w:sz w:val="46"/>
          <w:szCs w:val="46"/>
          <w:highlight w:val="none"/>
          <w:lang w:val="en-US" w:eastAsia="zh-CN" w:bidi="ar"/>
        </w:rPr>
        <w:t>年度衡阳县戏剧非遗传承保护中心</w:t>
      </w:r>
    </w:p>
    <w:p w14:paraId="4380E3AB">
      <w:pPr>
        <w:keepNext w:val="0"/>
        <w:keepLines w:val="0"/>
        <w:widowControl w:val="0"/>
        <w:suppressLineNumbers w:val="0"/>
        <w:spacing w:before="0" w:beforeAutospacing="0" w:after="0" w:afterAutospacing="0" w:line="800" w:lineRule="exact"/>
        <w:ind w:left="0" w:right="0"/>
        <w:jc w:val="center"/>
        <w:rPr>
          <w:rFonts w:hint="eastAsia" w:ascii="宋体" w:hAnsi="宋体" w:eastAsia="方正小标宋简体" w:cs="宋体"/>
          <w:sz w:val="46"/>
          <w:szCs w:val="46"/>
          <w:highlight w:val="none"/>
          <w:lang w:val="en-US"/>
        </w:rPr>
      </w:pPr>
      <w:bookmarkStart w:id="0" w:name="_GoBack"/>
      <w:bookmarkEnd w:id="0"/>
      <w:r>
        <w:rPr>
          <w:rFonts w:hint="eastAsia" w:ascii="宋体" w:hAnsi="宋体" w:eastAsia="方正小标宋简体" w:cs="方正小标宋简体"/>
          <w:kern w:val="2"/>
          <w:sz w:val="46"/>
          <w:szCs w:val="46"/>
          <w:highlight w:val="none"/>
          <w:lang w:val="en-US" w:eastAsia="zh-CN" w:bidi="ar"/>
        </w:rPr>
        <w:t>整体支出绩效自评报告</w:t>
      </w:r>
    </w:p>
    <w:p w14:paraId="506A5DB9">
      <w:pPr>
        <w:keepNext w:val="0"/>
        <w:keepLines w:val="0"/>
        <w:widowControl w:val="0"/>
        <w:suppressLineNumbers w:val="0"/>
        <w:spacing w:before="0" w:beforeAutospacing="0" w:after="0" w:afterAutospacing="0"/>
        <w:ind w:left="0" w:right="0"/>
        <w:jc w:val="both"/>
        <w:rPr>
          <w:rFonts w:hint="eastAsia" w:ascii="宋体" w:hAnsi="宋体" w:eastAsia="仿宋_GB2312" w:cs="宋体"/>
          <w:sz w:val="32"/>
          <w:szCs w:val="24"/>
          <w:highlight w:val="none"/>
          <w:lang w:val="en-US"/>
        </w:rPr>
      </w:pPr>
    </w:p>
    <w:p w14:paraId="264E2F7A">
      <w:pPr>
        <w:keepNext w:val="0"/>
        <w:keepLines w:val="0"/>
        <w:widowControl w:val="0"/>
        <w:suppressLineNumbers w:val="0"/>
        <w:spacing w:before="0" w:beforeAutospacing="0" w:after="0" w:afterAutospacing="0"/>
        <w:ind w:left="0" w:right="0"/>
        <w:jc w:val="both"/>
        <w:rPr>
          <w:rFonts w:hint="eastAsia" w:ascii="宋体" w:hAnsi="宋体" w:eastAsia="仿宋_GB2312" w:cs="宋体"/>
          <w:sz w:val="32"/>
          <w:szCs w:val="24"/>
          <w:highlight w:val="none"/>
          <w:lang w:val="en-US"/>
        </w:rPr>
      </w:pPr>
    </w:p>
    <w:p w14:paraId="60DA9BBB">
      <w:pPr>
        <w:keepNext w:val="0"/>
        <w:keepLines w:val="0"/>
        <w:widowControl w:val="0"/>
        <w:suppressLineNumbers w:val="0"/>
        <w:spacing w:before="0" w:beforeAutospacing="0" w:after="0" w:afterAutospacing="0"/>
        <w:ind w:left="0" w:right="0"/>
        <w:jc w:val="both"/>
        <w:rPr>
          <w:rFonts w:hint="eastAsia" w:ascii="宋体" w:hAnsi="宋体" w:eastAsia="仿宋_GB2312" w:cs="宋体"/>
          <w:sz w:val="32"/>
          <w:szCs w:val="24"/>
          <w:highlight w:val="none"/>
          <w:lang w:val="en-US"/>
        </w:rPr>
      </w:pPr>
    </w:p>
    <w:p w14:paraId="784DD89D">
      <w:pPr>
        <w:keepNext w:val="0"/>
        <w:keepLines w:val="0"/>
        <w:widowControl w:val="0"/>
        <w:suppressLineNumbers w:val="0"/>
        <w:spacing w:before="156" w:beforeLines="50" w:beforeAutospacing="0" w:after="0" w:afterAutospacing="0" w:line="348" w:lineRule="auto"/>
        <w:ind w:left="0" w:right="0" w:firstLine="480" w:firstLineChars="150"/>
        <w:jc w:val="both"/>
        <w:rPr>
          <w:rFonts w:hint="eastAsia" w:ascii="宋体" w:hAnsi="宋体" w:eastAsia="仿宋_GB2312" w:cs="宋体"/>
          <w:sz w:val="32"/>
          <w:szCs w:val="24"/>
          <w:highlight w:val="none"/>
          <w:u w:val="single"/>
          <w:lang w:val="en-US"/>
        </w:rPr>
      </w:pPr>
      <w:r>
        <w:rPr>
          <w:rFonts w:hint="eastAsia" w:ascii="宋体" w:hAnsi="宋体" w:eastAsia="仿宋_GB2312" w:cs="仿宋_GB2312"/>
          <w:kern w:val="2"/>
          <w:sz w:val="32"/>
          <w:szCs w:val="24"/>
          <w:highlight w:val="none"/>
          <w:lang w:val="en-US" w:eastAsia="zh-CN" w:bidi="ar"/>
        </w:rPr>
        <w:t>部门</w:t>
      </w:r>
      <w:r>
        <w:rPr>
          <w:rFonts w:hint="eastAsia" w:ascii="宋体" w:hAnsi="宋体" w:eastAsia="仿宋_GB2312" w:cs="宋体"/>
          <w:kern w:val="2"/>
          <w:sz w:val="32"/>
          <w:szCs w:val="24"/>
          <w:highlight w:val="none"/>
          <w:lang w:val="en-US" w:eastAsia="zh-CN" w:bidi="ar"/>
        </w:rPr>
        <w:t>(</w:t>
      </w:r>
      <w:r>
        <w:rPr>
          <w:rFonts w:hint="eastAsia" w:ascii="宋体" w:hAnsi="宋体" w:eastAsia="仿宋_GB2312" w:cs="仿宋_GB2312"/>
          <w:kern w:val="2"/>
          <w:sz w:val="32"/>
          <w:szCs w:val="24"/>
          <w:highlight w:val="none"/>
          <w:lang w:val="en-US" w:eastAsia="zh-CN" w:bidi="ar"/>
        </w:rPr>
        <w:t>单位</w:t>
      </w:r>
      <w:r>
        <w:rPr>
          <w:rFonts w:hint="eastAsia" w:ascii="宋体" w:hAnsi="宋体" w:eastAsia="仿宋_GB2312" w:cs="宋体"/>
          <w:kern w:val="2"/>
          <w:sz w:val="32"/>
          <w:szCs w:val="24"/>
          <w:highlight w:val="none"/>
          <w:lang w:val="en-US" w:eastAsia="zh-CN" w:bidi="ar"/>
        </w:rPr>
        <w:t>)</w:t>
      </w:r>
      <w:r>
        <w:rPr>
          <w:rFonts w:hint="eastAsia" w:ascii="宋体" w:hAnsi="宋体" w:eastAsia="仿宋_GB2312" w:cs="仿宋_GB2312"/>
          <w:kern w:val="2"/>
          <w:sz w:val="32"/>
          <w:szCs w:val="24"/>
          <w:highlight w:val="none"/>
          <w:lang w:val="en-US" w:eastAsia="zh-CN" w:bidi="ar"/>
        </w:rPr>
        <w:t>名称</w:t>
      </w:r>
      <w:r>
        <w:rPr>
          <w:rFonts w:hint="eastAsia" w:ascii="宋体" w:hAnsi="宋体" w:eastAsia="仿宋_GB2312" w:cs="宋体"/>
          <w:kern w:val="2"/>
          <w:sz w:val="32"/>
          <w:szCs w:val="24"/>
          <w:highlight w:val="none"/>
          <w:u w:val="single"/>
          <w:lang w:val="en-US" w:eastAsia="zh-CN" w:bidi="ar"/>
        </w:rPr>
        <w:t xml:space="preserve">   </w:t>
      </w:r>
      <w:r>
        <w:rPr>
          <w:rFonts w:hint="eastAsia" w:ascii="仿宋_GB2312" w:hAnsi="Times New Roman" w:eastAsia="仿宋_GB2312" w:cs="仿宋_GB2312"/>
          <w:kern w:val="2"/>
          <w:sz w:val="32"/>
          <w:szCs w:val="32"/>
          <w:highlight w:val="none"/>
          <w:u w:val="single"/>
          <w:lang w:val="en-US" w:eastAsia="zh-CN" w:bidi="ar"/>
        </w:rPr>
        <w:t xml:space="preserve">衡阳县戏剧非遗传承保护中心 </w:t>
      </w:r>
      <w:r>
        <w:rPr>
          <w:rFonts w:hint="eastAsia" w:ascii="宋体" w:hAnsi="宋体" w:eastAsia="仿宋_GB2312" w:cs="宋体"/>
          <w:kern w:val="2"/>
          <w:sz w:val="32"/>
          <w:szCs w:val="24"/>
          <w:highlight w:val="none"/>
          <w:u w:val="single"/>
          <w:lang w:val="en-US" w:eastAsia="zh-CN" w:bidi="ar"/>
        </w:rPr>
        <w:t xml:space="preserve">    </w:t>
      </w:r>
    </w:p>
    <w:p w14:paraId="20E46214">
      <w:pPr>
        <w:keepNext w:val="0"/>
        <w:keepLines w:val="0"/>
        <w:widowControl w:val="0"/>
        <w:suppressLineNumbers w:val="0"/>
        <w:spacing w:before="156" w:beforeLines="50" w:beforeAutospacing="0" w:after="0" w:afterAutospacing="0" w:line="348" w:lineRule="auto"/>
        <w:ind w:left="0" w:right="0" w:firstLine="1440" w:firstLineChars="450"/>
        <w:jc w:val="both"/>
        <w:rPr>
          <w:rFonts w:hint="eastAsia" w:ascii="宋体" w:hAnsi="宋体" w:eastAsia="仿宋_GB2312" w:cs="宋体"/>
          <w:sz w:val="32"/>
          <w:szCs w:val="24"/>
          <w:highlight w:val="none"/>
          <w:lang w:val="en-US"/>
        </w:rPr>
      </w:pPr>
      <w:r>
        <w:rPr>
          <w:rFonts w:hint="eastAsia" w:ascii="宋体" w:hAnsi="宋体" w:eastAsia="仿宋_GB2312" w:cs="仿宋_GB2312"/>
          <w:kern w:val="2"/>
          <w:sz w:val="32"/>
          <w:szCs w:val="24"/>
          <w:highlight w:val="none"/>
          <w:lang w:val="en-US" w:eastAsia="zh-CN" w:bidi="ar"/>
        </w:rPr>
        <w:t>预算编码</w:t>
      </w:r>
      <w:r>
        <w:rPr>
          <w:rFonts w:hint="eastAsia" w:ascii="宋体" w:hAnsi="宋体" w:eastAsia="仿宋_GB2312" w:cs="宋体"/>
          <w:kern w:val="2"/>
          <w:sz w:val="32"/>
          <w:szCs w:val="24"/>
          <w:highlight w:val="none"/>
          <w:lang w:val="en-US" w:eastAsia="zh-CN" w:bidi="ar"/>
        </w:rPr>
        <w:t xml:space="preserve"> </w:t>
      </w:r>
      <w:r>
        <w:rPr>
          <w:rFonts w:hint="eastAsia" w:ascii="宋体" w:hAnsi="宋体" w:eastAsia="仿宋_GB2312" w:cs="宋体"/>
          <w:kern w:val="2"/>
          <w:sz w:val="32"/>
          <w:szCs w:val="24"/>
          <w:highlight w:val="none"/>
          <w:u w:val="single"/>
          <w:lang w:val="en-US" w:eastAsia="zh-CN" w:bidi="ar"/>
        </w:rPr>
        <w:t xml:space="preserve">          940003</w:t>
      </w:r>
      <w:r>
        <w:rPr>
          <w:rFonts w:hint="eastAsia" w:ascii="仿宋_GB2312" w:hAnsi="Times New Roman" w:eastAsia="仿宋_GB2312" w:cs="仿宋_GB2312"/>
          <w:kern w:val="2"/>
          <w:sz w:val="32"/>
          <w:szCs w:val="32"/>
          <w:highlight w:val="none"/>
          <w:u w:val="single"/>
          <w:lang w:val="en-US" w:eastAsia="zh-CN" w:bidi="ar"/>
        </w:rPr>
        <w:t xml:space="preserve">   </w:t>
      </w:r>
      <w:r>
        <w:rPr>
          <w:rFonts w:hint="eastAsia" w:ascii="宋体" w:hAnsi="宋体" w:eastAsia="仿宋_GB2312" w:cs="宋体"/>
          <w:kern w:val="2"/>
          <w:sz w:val="32"/>
          <w:szCs w:val="24"/>
          <w:highlight w:val="none"/>
          <w:u w:val="single"/>
          <w:lang w:val="en-US" w:eastAsia="zh-CN" w:bidi="ar"/>
        </w:rPr>
        <w:t xml:space="preserve">   </w:t>
      </w:r>
    </w:p>
    <w:p w14:paraId="47676325">
      <w:pPr>
        <w:keepNext w:val="0"/>
        <w:keepLines w:val="0"/>
        <w:widowControl w:val="0"/>
        <w:suppressLineNumbers w:val="0"/>
        <w:spacing w:before="0" w:beforeAutospacing="0" w:after="0" w:afterAutospacing="0" w:line="600" w:lineRule="exact"/>
        <w:ind w:left="0" w:right="0" w:firstLine="480" w:firstLineChars="150"/>
        <w:jc w:val="both"/>
        <w:rPr>
          <w:rFonts w:hint="eastAsia" w:ascii="宋体" w:hAnsi="宋体" w:eastAsia="仿宋_GB2312" w:cs="宋体"/>
          <w:sz w:val="32"/>
          <w:szCs w:val="24"/>
          <w:highlight w:val="none"/>
          <w:lang w:val="en-US"/>
        </w:rPr>
      </w:pPr>
      <w:r>
        <w:rPr>
          <w:rFonts w:hint="eastAsia" w:ascii="宋体" w:hAnsi="宋体" w:eastAsia="仿宋_GB2312" w:cs="宋体"/>
          <w:kern w:val="2"/>
          <w:sz w:val="32"/>
          <w:szCs w:val="24"/>
          <w:highlight w:val="none"/>
          <w:lang w:val="en-US" w:eastAsia="zh-CN" w:bidi="ar"/>
        </w:rPr>
        <w:t xml:space="preserve"> </w:t>
      </w:r>
    </w:p>
    <w:p w14:paraId="5A5FED28">
      <w:pPr>
        <w:keepNext w:val="0"/>
        <w:keepLines w:val="0"/>
        <w:widowControl w:val="0"/>
        <w:suppressLineNumbers w:val="0"/>
        <w:spacing w:before="0" w:beforeAutospacing="0" w:after="0" w:afterAutospacing="0" w:line="600" w:lineRule="exact"/>
        <w:ind w:left="0" w:right="0" w:firstLine="480" w:firstLineChars="150"/>
        <w:jc w:val="both"/>
        <w:rPr>
          <w:rFonts w:hint="eastAsia" w:ascii="宋体" w:hAnsi="宋体" w:eastAsia="仿宋_GB2312" w:cs="宋体"/>
          <w:sz w:val="32"/>
          <w:szCs w:val="24"/>
          <w:highlight w:val="none"/>
          <w:lang w:val="en-US"/>
        </w:rPr>
      </w:pPr>
    </w:p>
    <w:p w14:paraId="22BDDB87">
      <w:pPr>
        <w:keepNext w:val="0"/>
        <w:keepLines w:val="0"/>
        <w:widowControl w:val="0"/>
        <w:suppressLineNumbers w:val="0"/>
        <w:spacing w:before="0" w:beforeAutospacing="0" w:after="0" w:afterAutospacing="0" w:line="600" w:lineRule="exact"/>
        <w:ind w:left="0" w:right="0" w:firstLine="480" w:firstLineChars="150"/>
        <w:jc w:val="both"/>
        <w:rPr>
          <w:rFonts w:hint="eastAsia" w:ascii="宋体" w:hAnsi="宋体" w:eastAsia="仿宋_GB2312" w:cs="宋体"/>
          <w:sz w:val="32"/>
          <w:szCs w:val="24"/>
          <w:highlight w:val="none"/>
          <w:lang w:val="en-US"/>
        </w:rPr>
      </w:pPr>
      <w:r>
        <w:rPr>
          <w:rFonts w:hint="eastAsia" w:ascii="宋体" w:hAnsi="宋体" w:eastAsia="仿宋_GB2312" w:cs="仿宋_GB2312"/>
          <w:kern w:val="2"/>
          <w:sz w:val="32"/>
          <w:szCs w:val="24"/>
          <w:highlight w:val="none"/>
          <w:lang w:val="en-US" w:eastAsia="zh-CN" w:bidi="ar"/>
        </w:rPr>
        <w:t>单位负责人（签章）：</w:t>
      </w:r>
    </w:p>
    <w:p w14:paraId="43E45556">
      <w:pPr>
        <w:keepNext w:val="0"/>
        <w:keepLines w:val="0"/>
        <w:widowControl w:val="0"/>
        <w:suppressLineNumbers w:val="0"/>
        <w:spacing w:before="0" w:beforeAutospacing="0" w:after="0" w:afterAutospacing="0" w:line="600" w:lineRule="exact"/>
        <w:ind w:left="0" w:right="0" w:firstLine="480" w:firstLineChars="150"/>
        <w:jc w:val="both"/>
        <w:rPr>
          <w:rFonts w:hint="eastAsia" w:ascii="宋体" w:hAnsi="宋体" w:eastAsia="仿宋_GB2312" w:cs="宋体"/>
          <w:sz w:val="32"/>
          <w:szCs w:val="24"/>
          <w:highlight w:val="none"/>
          <w:lang w:val="en-US"/>
        </w:rPr>
      </w:pPr>
      <w:r>
        <w:rPr>
          <w:rFonts w:hint="eastAsia" w:ascii="宋体" w:hAnsi="宋体" w:eastAsia="仿宋_GB2312" w:cs="仿宋_GB2312"/>
          <w:kern w:val="2"/>
          <w:sz w:val="32"/>
          <w:szCs w:val="24"/>
          <w:highlight w:val="none"/>
          <w:lang w:val="en-US" w:eastAsia="zh-CN" w:bidi="ar"/>
        </w:rPr>
        <w:t>项目负责人（签章）：</w:t>
      </w:r>
    </w:p>
    <w:p w14:paraId="2D95E711">
      <w:pPr>
        <w:keepNext w:val="0"/>
        <w:keepLines w:val="0"/>
        <w:widowControl w:val="0"/>
        <w:suppressLineNumbers w:val="0"/>
        <w:spacing w:before="0" w:beforeAutospacing="0" w:after="0" w:afterAutospacing="0" w:line="600" w:lineRule="exact"/>
        <w:ind w:left="0" w:right="0" w:firstLine="480" w:firstLineChars="150"/>
        <w:jc w:val="both"/>
        <w:rPr>
          <w:rFonts w:hint="eastAsia" w:ascii="宋体" w:hAnsi="宋体" w:eastAsia="仿宋_GB2312" w:cs="宋体"/>
          <w:sz w:val="32"/>
          <w:szCs w:val="24"/>
          <w:highlight w:val="none"/>
          <w:lang w:val="en-US"/>
        </w:rPr>
      </w:pPr>
      <w:r>
        <w:rPr>
          <w:rFonts w:hint="eastAsia" w:ascii="宋体" w:hAnsi="宋体" w:eastAsia="仿宋_GB2312" w:cs="仿宋_GB2312"/>
          <w:kern w:val="2"/>
          <w:sz w:val="32"/>
          <w:szCs w:val="24"/>
          <w:highlight w:val="none"/>
          <w:lang w:val="en-US" w:eastAsia="zh-CN" w:bidi="ar"/>
        </w:rPr>
        <w:t>报告填报人（签章）：</w:t>
      </w:r>
    </w:p>
    <w:p w14:paraId="37F1D851">
      <w:pPr>
        <w:keepNext w:val="0"/>
        <w:keepLines w:val="0"/>
        <w:widowControl w:val="0"/>
        <w:suppressLineNumbers w:val="0"/>
        <w:spacing w:before="0" w:beforeAutospacing="0" w:after="0" w:afterAutospacing="0" w:line="348" w:lineRule="auto"/>
        <w:ind w:left="0" w:right="0" w:firstLine="3648" w:firstLineChars="1140"/>
        <w:jc w:val="both"/>
        <w:rPr>
          <w:rFonts w:hint="eastAsia" w:ascii="宋体" w:hAnsi="宋体" w:eastAsia="仿宋_GB2312" w:cs="宋体"/>
          <w:sz w:val="32"/>
          <w:szCs w:val="24"/>
          <w:highlight w:val="none"/>
          <w:lang w:val="en-US"/>
        </w:rPr>
      </w:pPr>
    </w:p>
    <w:p w14:paraId="326973CB">
      <w:pPr>
        <w:keepNext w:val="0"/>
        <w:keepLines w:val="0"/>
        <w:widowControl w:val="0"/>
        <w:suppressLineNumbers w:val="0"/>
        <w:autoSpaceDE/>
        <w:autoSpaceDN w:val="0"/>
        <w:spacing w:before="0" w:beforeAutospacing="0" w:after="0" w:afterAutospacing="0"/>
        <w:ind w:left="0" w:right="0"/>
        <w:jc w:val="center"/>
        <w:textAlignment w:val="center"/>
        <w:rPr>
          <w:rFonts w:hint="eastAsia" w:ascii="宋体" w:hAnsi="宋体" w:eastAsia="仿宋_GB2312" w:cs="宋体"/>
          <w:sz w:val="32"/>
          <w:szCs w:val="24"/>
          <w:highlight w:val="none"/>
          <w:lang w:val="en-US"/>
        </w:rPr>
      </w:pPr>
      <w:r>
        <w:rPr>
          <w:rFonts w:hint="eastAsia" w:ascii="宋体" w:hAnsi="宋体" w:eastAsia="仿宋_GB2312" w:cs="宋体"/>
          <w:kern w:val="2"/>
          <w:sz w:val="32"/>
          <w:szCs w:val="24"/>
          <w:highlight w:val="none"/>
          <w:lang w:val="en-US" w:eastAsia="zh-CN" w:bidi="ar"/>
        </w:rPr>
        <w:t xml:space="preserve">                  </w:t>
      </w:r>
    </w:p>
    <w:p w14:paraId="42F19810">
      <w:pPr>
        <w:keepNext w:val="0"/>
        <w:keepLines w:val="0"/>
        <w:widowControl w:val="0"/>
        <w:suppressLineNumbers w:val="0"/>
        <w:autoSpaceDE/>
        <w:autoSpaceDN w:val="0"/>
        <w:spacing w:before="0" w:beforeAutospacing="0" w:after="0" w:afterAutospacing="0"/>
        <w:ind w:left="0" w:right="0"/>
        <w:jc w:val="center"/>
        <w:textAlignment w:val="center"/>
        <w:rPr>
          <w:rFonts w:hint="eastAsia" w:ascii="宋体" w:hAnsi="宋体" w:eastAsia="仿宋_GB2312" w:cs="宋体"/>
          <w:sz w:val="32"/>
          <w:szCs w:val="24"/>
          <w:highlight w:val="none"/>
          <w:lang w:val="en-US"/>
        </w:rPr>
      </w:pPr>
    </w:p>
    <w:p w14:paraId="07736AB6">
      <w:pPr>
        <w:pStyle w:val="4"/>
        <w:widowControl/>
        <w:spacing w:before="101" w:beforeAutospacing="0" w:line="220" w:lineRule="auto"/>
        <w:ind w:left="0" w:firstLine="4512" w:firstLineChars="1200"/>
        <w:rPr>
          <w:sz w:val="31"/>
          <w:szCs w:val="31"/>
          <w:highlight w:val="none"/>
          <w:lang w:val="en-US"/>
        </w:rPr>
      </w:pPr>
      <w:r>
        <w:rPr>
          <w:spacing w:val="33"/>
          <w:sz w:val="31"/>
          <w:szCs w:val="31"/>
          <w:highlight w:val="none"/>
          <w:lang w:val="en-US"/>
        </w:rPr>
        <w:t>部门名称(加盖公章)</w:t>
      </w:r>
    </w:p>
    <w:p w14:paraId="4E032031">
      <w:pPr>
        <w:keepNext w:val="0"/>
        <w:keepLines w:val="0"/>
        <w:widowControl w:val="0"/>
        <w:suppressLineNumbers w:val="0"/>
        <w:spacing w:before="0" w:beforeAutospacing="0" w:after="0" w:afterAutospacing="0" w:line="348" w:lineRule="auto"/>
        <w:ind w:left="0" w:right="0" w:firstLine="3648" w:firstLineChars="1140"/>
        <w:jc w:val="both"/>
        <w:rPr>
          <w:rFonts w:hint="eastAsia" w:ascii="宋体" w:hAnsi="宋体" w:eastAsia="仿宋_GB2312" w:cs="宋体"/>
          <w:sz w:val="32"/>
          <w:szCs w:val="24"/>
          <w:highlight w:val="none"/>
          <w:lang w:val="en-US"/>
        </w:rPr>
      </w:pPr>
    </w:p>
    <w:p w14:paraId="19D6DD05">
      <w:pPr>
        <w:keepNext w:val="0"/>
        <w:keepLines w:val="0"/>
        <w:widowControl w:val="0"/>
        <w:suppressLineNumbers w:val="0"/>
        <w:spacing w:before="0" w:beforeAutospacing="0" w:after="0" w:afterAutospacing="0" w:line="348" w:lineRule="auto"/>
        <w:ind w:left="0" w:right="0" w:firstLine="4284" w:firstLineChars="1339"/>
        <w:jc w:val="both"/>
        <w:rPr>
          <w:rFonts w:hint="eastAsia" w:ascii="宋体" w:hAnsi="宋体" w:eastAsia="仿宋_GB2312" w:cs="宋体"/>
          <w:sz w:val="32"/>
          <w:szCs w:val="24"/>
          <w:highlight w:val="none"/>
          <w:lang w:val="en-US"/>
        </w:rPr>
      </w:pPr>
      <w:r>
        <w:rPr>
          <w:rFonts w:hint="eastAsia" w:ascii="宋体" w:hAnsi="宋体" w:eastAsia="仿宋_GB2312" w:cs="仿宋_GB2312"/>
          <w:kern w:val="2"/>
          <w:sz w:val="32"/>
          <w:szCs w:val="24"/>
          <w:highlight w:val="none"/>
          <w:lang w:val="en-US" w:eastAsia="zh-CN" w:bidi="ar"/>
        </w:rPr>
        <w:t>报告日期：</w:t>
      </w:r>
      <w:r>
        <w:rPr>
          <w:rFonts w:hint="eastAsia" w:ascii="宋体" w:hAnsi="宋体" w:eastAsia="仿宋_GB2312" w:cs="宋体"/>
          <w:kern w:val="2"/>
          <w:sz w:val="32"/>
          <w:szCs w:val="24"/>
          <w:highlight w:val="none"/>
          <w:lang w:val="en-US" w:eastAsia="zh-CN" w:bidi="ar"/>
        </w:rPr>
        <w:t>2025</w:t>
      </w:r>
      <w:r>
        <w:rPr>
          <w:rFonts w:hint="eastAsia" w:ascii="宋体" w:hAnsi="宋体" w:eastAsia="仿宋_GB2312" w:cs="仿宋_GB2312"/>
          <w:kern w:val="2"/>
          <w:sz w:val="32"/>
          <w:szCs w:val="24"/>
          <w:highlight w:val="none"/>
          <w:lang w:val="en-US" w:eastAsia="zh-CN" w:bidi="ar"/>
        </w:rPr>
        <w:t>年</w:t>
      </w:r>
      <w:r>
        <w:rPr>
          <w:rFonts w:hint="eastAsia" w:ascii="宋体" w:hAnsi="宋体" w:eastAsia="仿宋_GB2312" w:cs="宋体"/>
          <w:kern w:val="2"/>
          <w:sz w:val="32"/>
          <w:szCs w:val="24"/>
          <w:highlight w:val="none"/>
          <w:lang w:val="en-US" w:eastAsia="zh-CN" w:bidi="ar"/>
        </w:rPr>
        <w:t>06</w:t>
      </w:r>
      <w:r>
        <w:rPr>
          <w:rFonts w:hint="eastAsia" w:ascii="宋体" w:hAnsi="宋体" w:eastAsia="仿宋_GB2312" w:cs="仿宋_GB2312"/>
          <w:kern w:val="2"/>
          <w:sz w:val="32"/>
          <w:szCs w:val="24"/>
          <w:highlight w:val="none"/>
          <w:lang w:val="en-US" w:eastAsia="zh-CN" w:bidi="ar"/>
        </w:rPr>
        <w:t>月04日</w:t>
      </w:r>
    </w:p>
    <w:p w14:paraId="72F8D5CE">
      <w:pPr>
        <w:spacing w:line="348" w:lineRule="auto"/>
        <w:rPr>
          <w:rFonts w:hint="eastAsia" w:ascii="宋体" w:hAnsi="宋体" w:eastAsia="仿宋_GB2312" w:cs="Times New Roman"/>
          <w:kern w:val="2"/>
          <w:sz w:val="32"/>
          <w:szCs w:val="24"/>
          <w:highlight w:val="none"/>
          <w:lang w:val="en-US" w:eastAsia="zh-CN" w:bidi="ar"/>
        </w:rPr>
        <w:sectPr>
          <w:pgSz w:w="11906" w:h="16838"/>
          <w:pgMar w:top="1587" w:right="1304" w:bottom="1587" w:left="1588" w:header="851" w:footer="794" w:gutter="0"/>
          <w:pgNumType w:fmt="numberInDash"/>
          <w:cols w:space="425" w:num="1"/>
          <w:docGrid w:type="lines" w:linePitch="312" w:charSpace="0"/>
        </w:sectPr>
      </w:pPr>
    </w:p>
    <w:p w14:paraId="4C191873">
      <w:pPr>
        <w:keepNext w:val="0"/>
        <w:keepLines w:val="0"/>
        <w:widowControl w:val="0"/>
        <w:suppressLineNumbers w:val="0"/>
        <w:spacing w:before="0" w:beforeAutospacing="0" w:after="0" w:afterAutospacing="0"/>
        <w:ind w:left="0" w:right="0"/>
        <w:jc w:val="center"/>
        <w:rPr>
          <w:rFonts w:hint="eastAsia" w:ascii="方正小标宋_GBK" w:hAnsi="宋体" w:eastAsia="方正小标宋_GBK" w:cs="黑体"/>
          <w:kern w:val="2"/>
          <w:sz w:val="44"/>
          <w:szCs w:val="44"/>
          <w:highlight w:val="none"/>
          <w:lang w:val="en-US" w:eastAsia="zh-CN" w:bidi="ar"/>
        </w:rPr>
      </w:pPr>
      <w:r>
        <w:rPr>
          <w:rFonts w:hint="eastAsia" w:ascii="方正小标宋_GBK" w:hAnsi="宋体" w:eastAsia="方正小标宋_GBK" w:cs="黑体"/>
          <w:kern w:val="2"/>
          <w:sz w:val="44"/>
          <w:szCs w:val="44"/>
          <w:highlight w:val="none"/>
          <w:lang w:val="en-US" w:eastAsia="zh-CN" w:bidi="ar"/>
        </w:rPr>
        <w:t>衡阳县戏剧非遗传承保护中心</w:t>
      </w:r>
    </w:p>
    <w:p w14:paraId="14482A70">
      <w:pPr>
        <w:keepNext w:val="0"/>
        <w:keepLines w:val="0"/>
        <w:widowControl w:val="0"/>
        <w:suppressLineNumbers w:val="0"/>
        <w:spacing w:before="0" w:beforeAutospacing="0" w:after="0" w:afterAutospacing="0"/>
        <w:ind w:left="0" w:right="0"/>
        <w:jc w:val="center"/>
        <w:rPr>
          <w:rFonts w:hint="eastAsia" w:ascii="方正小标宋_GBK" w:hAnsi="宋体" w:eastAsia="方正小标宋_GBK" w:cs="黑体"/>
          <w:sz w:val="44"/>
          <w:szCs w:val="44"/>
          <w:highlight w:val="none"/>
          <w:lang w:val="en-US"/>
        </w:rPr>
      </w:pPr>
      <w:r>
        <w:rPr>
          <w:rFonts w:hint="eastAsia" w:ascii="方正小标宋_GBK" w:hAnsi="宋体" w:eastAsia="方正小标宋_GBK" w:cs="黑体"/>
          <w:kern w:val="2"/>
          <w:sz w:val="44"/>
          <w:szCs w:val="44"/>
          <w:highlight w:val="none"/>
          <w:lang w:val="en-US" w:eastAsia="zh-CN" w:bidi="ar"/>
        </w:rPr>
        <w:t>整体支出绩效评价报告</w:t>
      </w:r>
    </w:p>
    <w:p w14:paraId="4F085DE3">
      <w:pPr>
        <w:keepNext w:val="0"/>
        <w:keepLines w:val="0"/>
        <w:widowControl w:val="0"/>
        <w:suppressLineNumbers w:val="0"/>
        <w:spacing w:before="0" w:beforeAutospacing="0" w:after="0" w:afterAutospacing="0" w:line="600" w:lineRule="exact"/>
        <w:ind w:left="0" w:right="0" w:firstLine="640" w:firstLineChars="200"/>
        <w:jc w:val="both"/>
        <w:rPr>
          <w:rFonts w:hint="eastAsia" w:ascii="宋体" w:hAnsi="宋体" w:eastAsia="仿宋_GB2312" w:cs="宋体"/>
          <w:b/>
          <w:bCs w:val="0"/>
          <w:sz w:val="32"/>
          <w:szCs w:val="32"/>
          <w:highlight w:val="none"/>
          <w:lang w:val="en-US"/>
        </w:rPr>
      </w:pPr>
      <w:r>
        <w:rPr>
          <w:rFonts w:hint="eastAsia" w:ascii="黑体" w:hAnsi="宋体" w:eastAsia="黑体" w:cs="黑体"/>
          <w:kern w:val="2"/>
          <w:sz w:val="32"/>
          <w:szCs w:val="32"/>
          <w:highlight w:val="none"/>
          <w:lang w:val="en-US" w:eastAsia="zh-CN" w:bidi="ar"/>
        </w:rPr>
        <w:t>一、部门（单位）概况</w:t>
      </w:r>
    </w:p>
    <w:p w14:paraId="71BBF7F6">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（一）部门（单位）基本情况</w:t>
      </w:r>
    </w:p>
    <w:p w14:paraId="1B5CB9E0">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衡阳县戏剧非遗传承保护中心是湖南省衡阳县专门负责地方戏剧类非物质文化遗产的挖掘、保护、传承和推广的机构。主要职责是：</w:t>
      </w:r>
    </w:p>
    <w:p w14:paraId="2826BAE8">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outlineLvl w:val="0"/>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1、承担戏剧非物质文化遗产的保护、传承任务</w:t>
      </w:r>
    </w:p>
    <w:p w14:paraId="220D384B">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outlineLvl w:val="0"/>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2、编演传统和现代戏剧，宣传党和国家的方针政策，为社会主义精神文明建设服务</w:t>
      </w:r>
    </w:p>
    <w:p w14:paraId="26061673">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outlineLvl w:val="0"/>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3、戏剧非物质文化遗产的整理、移植、传带，编演传统和现代戏剧</w:t>
      </w:r>
    </w:p>
    <w:p w14:paraId="323A0D62">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outlineLvl w:val="0"/>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4、演艺人才辅导培养</w:t>
      </w:r>
    </w:p>
    <w:p w14:paraId="3A95788C">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outlineLvl w:val="0"/>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5、公益性惠民演出等</w:t>
      </w:r>
    </w:p>
    <w:p w14:paraId="772556D8">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中共衡阳县戏剧非遗传承保护中心(原花鼓戏剧团)为股级差额拨款事业单位，编制人数16人，在职23人，退休11人。</w:t>
      </w:r>
    </w:p>
    <w:p w14:paraId="4F722C6E">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（二）部门(单位)整体支出规模、使用方向和主要内容、涉及范围等。</w:t>
      </w:r>
    </w:p>
    <w:p w14:paraId="3D4350DF">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2024年度本单位收入全年预算数为79.87万元，其中：一般公共预算财政拨款收入79.87万元。按支出性质：基本支出79.87万元。本年收入决算数244.06万元，本年支出决算数244.06万元，本年年末结转（结余）0.00万元。</w:t>
      </w:r>
    </w:p>
    <w:p w14:paraId="0B1A6D38">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2024年决算总支出244.06万元，按支出性质分类，其中：基本支出87.63万元，占总支出的35.91%，项目支出156.43万元，占总支出的64.09%；按支出经济分类，其中：工资福利支出120.09万元，占总支出的49.21%，商品和服务支出118.52万元，占总支出的48.56%，对个人和家庭的补助5.45万元，占总支出的2.23%。</w:t>
      </w:r>
    </w:p>
    <w:p w14:paraId="1E98F249">
      <w:pPr>
        <w:keepNext w:val="0"/>
        <w:keepLines w:val="0"/>
        <w:widowControl w:val="0"/>
        <w:suppressLineNumbers w:val="0"/>
        <w:spacing w:before="0" w:beforeAutospacing="0" w:after="0" w:afterAutospacing="0" w:line="360" w:lineRule="auto"/>
        <w:ind w:left="0" w:right="0" w:firstLine="640" w:firstLineChars="200"/>
        <w:jc w:val="both"/>
        <w:rPr>
          <w:rFonts w:hint="eastAsia" w:ascii="黑体" w:hAnsi="宋体" w:eastAsia="黑体" w:cs="黑体"/>
          <w:sz w:val="32"/>
          <w:szCs w:val="32"/>
          <w:highlight w:val="none"/>
          <w:lang w:val="en-US"/>
        </w:rPr>
      </w:pPr>
      <w:r>
        <w:rPr>
          <w:rFonts w:hint="eastAsia" w:ascii="黑体" w:hAnsi="宋体" w:eastAsia="黑体" w:cs="黑体"/>
          <w:kern w:val="2"/>
          <w:sz w:val="32"/>
          <w:szCs w:val="32"/>
          <w:highlight w:val="none"/>
          <w:lang w:val="en-US" w:eastAsia="zh-CN" w:bidi="ar"/>
        </w:rPr>
        <w:t>二、一般公共预算支出情况</w:t>
      </w:r>
    </w:p>
    <w:p w14:paraId="1BFEBFF6">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（一）基本支出</w:t>
      </w:r>
    </w:p>
    <w:p w14:paraId="4309E661">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仿宋_GB2312"/>
          <w:sz w:val="32"/>
          <w:szCs w:val="32"/>
          <w:highlight w:val="none"/>
          <w:lang w:val="en-US"/>
        </w:rPr>
      </w:pPr>
      <w:r>
        <w:rPr>
          <w:rFonts w:hint="default" w:ascii="Times New Roman" w:hAnsi="Times New Roman" w:eastAsia="仿宋_GB2312" w:cs="Times New Roman"/>
          <w:kern w:val="2"/>
          <w:sz w:val="32"/>
          <w:szCs w:val="32"/>
          <w:highlight w:val="none"/>
          <w:lang w:val="en-US" w:eastAsia="zh-CN" w:bidi="ar"/>
        </w:rPr>
        <w:t>2024</w:t>
      </w:r>
      <w:r>
        <w:rPr>
          <w:rFonts w:hint="eastAsia" w:ascii="Times New Roman" w:hAnsi="Times New Roman" w:eastAsia="仿宋_GB2312" w:cs="仿宋_GB2312"/>
          <w:kern w:val="2"/>
          <w:sz w:val="32"/>
          <w:szCs w:val="32"/>
          <w:highlight w:val="none"/>
          <w:lang w:val="en-US" w:eastAsia="zh-CN" w:bidi="ar"/>
        </w:rPr>
        <w:t>年基本支出</w:t>
      </w:r>
      <w:r>
        <w:rPr>
          <w:rFonts w:hint="eastAsia" w:ascii="仿宋" w:hAnsi="仿宋" w:eastAsia="仿宋" w:cs="仿宋"/>
          <w:kern w:val="2"/>
          <w:sz w:val="32"/>
          <w:szCs w:val="32"/>
          <w:highlight w:val="none"/>
          <w:lang w:val="en-US" w:eastAsia="zh-CN" w:bidi="ar"/>
        </w:rPr>
        <w:t>87.63</w:t>
      </w:r>
      <w:r>
        <w:rPr>
          <w:rFonts w:hint="eastAsia" w:ascii="Times New Roman" w:hAnsi="Times New Roman" w:eastAsia="仿宋_GB2312" w:cs="仿宋_GB2312"/>
          <w:kern w:val="2"/>
          <w:sz w:val="32"/>
          <w:szCs w:val="32"/>
          <w:highlight w:val="none"/>
          <w:lang w:val="en-US" w:eastAsia="zh-CN" w:bidi="ar"/>
        </w:rPr>
        <w:t>万元，其中：人员经费</w:t>
      </w:r>
      <w:r>
        <w:rPr>
          <w:rFonts w:hint="eastAsia" w:ascii="Times New Roman" w:hAnsi="Times New Roman" w:eastAsia="仿宋_GB2312" w:cs="Times New Roman"/>
          <w:kern w:val="2"/>
          <w:sz w:val="32"/>
          <w:szCs w:val="32"/>
          <w:highlight w:val="none"/>
          <w:lang w:val="en-US" w:eastAsia="zh-CN" w:bidi="ar"/>
        </w:rPr>
        <w:t>85.62</w:t>
      </w:r>
      <w:r>
        <w:rPr>
          <w:rFonts w:hint="eastAsia" w:ascii="Times New Roman" w:hAnsi="Times New Roman" w:eastAsia="仿宋_GB2312" w:cs="仿宋_GB2312"/>
          <w:kern w:val="2"/>
          <w:sz w:val="32"/>
          <w:szCs w:val="32"/>
          <w:highlight w:val="none"/>
          <w:lang w:val="en-US" w:eastAsia="zh-CN" w:bidi="ar"/>
        </w:rPr>
        <w:t>万元，公用经费</w:t>
      </w:r>
      <w:r>
        <w:rPr>
          <w:rFonts w:hint="eastAsia" w:ascii="Times New Roman" w:hAnsi="Times New Roman" w:eastAsia="仿宋_GB2312" w:cs="Times New Roman"/>
          <w:kern w:val="2"/>
          <w:sz w:val="32"/>
          <w:szCs w:val="32"/>
          <w:highlight w:val="none"/>
          <w:lang w:val="en-US" w:eastAsia="zh-CN" w:bidi="ar"/>
        </w:rPr>
        <w:t>2</w:t>
      </w:r>
      <w:r>
        <w:rPr>
          <w:rFonts w:hint="eastAsia" w:ascii="Times New Roman" w:hAnsi="Times New Roman" w:eastAsia="仿宋_GB2312" w:cs="仿宋_GB2312"/>
          <w:kern w:val="2"/>
          <w:sz w:val="32"/>
          <w:szCs w:val="32"/>
          <w:highlight w:val="none"/>
          <w:lang w:val="en-US" w:eastAsia="zh-CN" w:bidi="ar"/>
        </w:rPr>
        <w:t>万元，主要是为保障部门正常运转、完成日常工作任务而发生的各项支出，包括用于基本工资、津贴补贴等人员经费以及办公费、印刷费、水电费、办公设备购置等公用经费。</w:t>
      </w:r>
    </w:p>
    <w:p w14:paraId="5CCE690A">
      <w:pPr>
        <w:keepNext w:val="0"/>
        <w:keepLines w:val="0"/>
        <w:widowControl w:val="0"/>
        <w:suppressLineNumbers w:val="0"/>
        <w:spacing w:before="0" w:beforeAutospacing="0" w:after="0" w:afterAutospacing="0" w:line="600" w:lineRule="exact"/>
        <w:ind w:left="0" w:right="0" w:firstLine="640" w:firstLineChars="200"/>
        <w:jc w:val="both"/>
        <w:outlineLvl w:val="0"/>
        <w:rPr>
          <w:rFonts w:eastAsia="仿宋_GB2312"/>
          <w:sz w:val="32"/>
          <w:szCs w:val="32"/>
          <w:highlight w:val="none"/>
          <w:lang w:val="en-US"/>
        </w:rPr>
      </w:pPr>
      <w:r>
        <w:rPr>
          <w:rFonts w:hint="eastAsia" w:ascii="Times New Roman" w:hAnsi="Times New Roman" w:eastAsia="仿宋_GB2312" w:cs="仿宋_GB2312"/>
          <w:kern w:val="2"/>
          <w:sz w:val="32"/>
          <w:szCs w:val="32"/>
          <w:highlight w:val="none"/>
          <w:lang w:val="en-US" w:eastAsia="zh-CN" w:bidi="ar"/>
        </w:rPr>
        <w:t>本单位在认真开展厉行节约反对浪费规定学习的同时，倡导全体工作人员弘扬艰苦奋斗、勤俭节约的优良作风，进一步推进建设节约型单位。严格执行中央“八项”规定，着力控制“三公”经费预算支出，</w:t>
      </w:r>
      <w:r>
        <w:rPr>
          <w:rFonts w:hint="default" w:ascii="Times New Roman" w:hAnsi="Times New Roman" w:eastAsia="仿宋_GB2312" w:cs="Times New Roman"/>
          <w:kern w:val="2"/>
          <w:sz w:val="32"/>
          <w:szCs w:val="32"/>
          <w:highlight w:val="none"/>
          <w:lang w:val="en-US" w:eastAsia="zh-CN" w:bidi="ar"/>
        </w:rPr>
        <w:t>2024</w:t>
      </w:r>
      <w:r>
        <w:rPr>
          <w:rFonts w:hint="eastAsia" w:ascii="Times New Roman" w:hAnsi="Times New Roman" w:eastAsia="仿宋_GB2312" w:cs="仿宋_GB2312"/>
          <w:kern w:val="2"/>
          <w:sz w:val="32"/>
          <w:szCs w:val="32"/>
          <w:highlight w:val="none"/>
          <w:lang w:val="en-US" w:eastAsia="zh-CN" w:bidi="ar"/>
        </w:rPr>
        <w:t>年“三公”经费支出合计</w:t>
      </w:r>
      <w:r>
        <w:rPr>
          <w:rFonts w:hint="default" w:ascii="Times New Roman" w:hAnsi="Times New Roman" w:eastAsia="仿宋_GB2312" w:cs="Times New Roman"/>
          <w:kern w:val="2"/>
          <w:sz w:val="32"/>
          <w:szCs w:val="32"/>
          <w:highlight w:val="none"/>
          <w:lang w:val="en-US" w:eastAsia="zh-CN" w:bidi="ar"/>
        </w:rPr>
        <w:t>0.00</w:t>
      </w:r>
      <w:r>
        <w:rPr>
          <w:rFonts w:hint="eastAsia" w:ascii="Times New Roman" w:hAnsi="Times New Roman" w:eastAsia="仿宋_GB2312" w:cs="仿宋_GB2312"/>
          <w:kern w:val="2"/>
          <w:sz w:val="32"/>
          <w:szCs w:val="32"/>
          <w:highlight w:val="none"/>
          <w:lang w:val="en-US" w:eastAsia="zh-CN" w:bidi="ar"/>
        </w:rPr>
        <w:t>万元，与上年比持平。</w:t>
      </w:r>
    </w:p>
    <w:p w14:paraId="6A4FD95F">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（二）项目支出</w:t>
      </w:r>
    </w:p>
    <w:p w14:paraId="4C5DFEE2">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1、项目资金(包括财政资金、自筹资金等)安排落实、总投入等情况分析。</w:t>
      </w:r>
    </w:p>
    <w:p w14:paraId="17E042C7">
      <w:pPr>
        <w:keepNext w:val="0"/>
        <w:keepLines w:val="0"/>
        <w:widowControl w:val="0"/>
        <w:suppressLineNumbers w:val="0"/>
        <w:spacing w:before="0" w:beforeAutospacing="0" w:after="0" w:afterAutospacing="0" w:line="600" w:lineRule="exact"/>
        <w:ind w:left="0" w:right="0" w:firstLine="640" w:firstLineChars="200"/>
        <w:jc w:val="both"/>
        <w:outlineLvl w:val="0"/>
        <w:rPr>
          <w:highlight w:val="none"/>
          <w:lang w:val="en-US"/>
        </w:rPr>
      </w:pPr>
      <w:r>
        <w:rPr>
          <w:rFonts w:hint="default" w:ascii="Times New Roman" w:hAnsi="Times New Roman" w:eastAsia="仿宋_GB2312" w:cs="Times New Roman"/>
          <w:kern w:val="2"/>
          <w:sz w:val="32"/>
          <w:szCs w:val="32"/>
          <w:highlight w:val="none"/>
          <w:lang w:val="en-US" w:eastAsia="zh-CN" w:bidi="ar"/>
        </w:rPr>
        <w:t>2024</w:t>
      </w:r>
      <w:r>
        <w:rPr>
          <w:rFonts w:hint="eastAsia" w:ascii="Times New Roman" w:hAnsi="Times New Roman" w:eastAsia="仿宋_GB2312" w:cs="仿宋_GB2312"/>
          <w:kern w:val="2"/>
          <w:sz w:val="32"/>
          <w:szCs w:val="32"/>
          <w:highlight w:val="none"/>
          <w:lang w:val="en-US" w:eastAsia="zh-CN" w:bidi="ar"/>
        </w:rPr>
        <w:t>年项目支出</w:t>
      </w:r>
      <w:r>
        <w:rPr>
          <w:rFonts w:hint="eastAsia" w:ascii="仿宋" w:hAnsi="仿宋" w:eastAsia="仿宋" w:cs="仿宋"/>
          <w:kern w:val="2"/>
          <w:sz w:val="32"/>
          <w:szCs w:val="32"/>
          <w:highlight w:val="none"/>
          <w:lang w:val="en-US" w:eastAsia="zh-CN" w:bidi="ar"/>
        </w:rPr>
        <w:t>84.05</w:t>
      </w:r>
      <w:r>
        <w:rPr>
          <w:rFonts w:hint="eastAsia" w:ascii="Times New Roman" w:hAnsi="Times New Roman" w:eastAsia="仿宋_GB2312" w:cs="仿宋_GB2312"/>
          <w:kern w:val="2"/>
          <w:sz w:val="32"/>
          <w:szCs w:val="32"/>
          <w:highlight w:val="none"/>
          <w:lang w:val="en-US" w:eastAsia="zh-CN" w:bidi="ar"/>
        </w:rPr>
        <w:t>万元，主要是完成教师工资福利、保险、公积金、绩效工资的发放，加强教师培训，提升教师业务水平而产生的支出。</w:t>
      </w:r>
    </w:p>
    <w:p w14:paraId="06625240">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2、项目资金(主要指财政资金)实际使用情况分析。</w:t>
      </w:r>
    </w:p>
    <w:p w14:paraId="6AEF0B2A">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本单位项目资金使用严格遵循预算批复用途，未出现挤占、挪用或超范围支出等情况。在项目执行过程中严格执行国库集中支付制度，确保资金支付安全、透明。落实项目资金台账管理，定期核对账目，确保账实相符。</w:t>
      </w:r>
    </w:p>
    <w:p w14:paraId="5BAB619B">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3、项目资金管理情况分析，主要包括管理制度、办法的制定及执行情况。</w:t>
      </w:r>
    </w:p>
    <w:p w14:paraId="1C40D84F">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本单位高度重视项目资金管理工作，根据《中华人民共和国预算法》《行政事业单位内部控制规范》等法律法规要求，结合本单位实际情况，制定了项目资金管理办法，明确了项目资金的申请、审批、使用、监督等各环节管理要求，确保资金管理有章可循、规范运作。建立了项目资金绩效评价机制，以绩效评价结果作为下年度预算安排的重要依据。</w:t>
      </w:r>
    </w:p>
    <w:p w14:paraId="6F0B2EEE">
      <w:pPr>
        <w:keepNext w:val="0"/>
        <w:keepLines w:val="0"/>
        <w:widowControl w:val="0"/>
        <w:suppressLineNumbers w:val="0"/>
        <w:spacing w:before="0" w:beforeAutospacing="0" w:after="0" w:afterAutospacing="0" w:line="360" w:lineRule="auto"/>
        <w:ind w:left="0" w:right="0" w:firstLine="640" w:firstLineChars="200"/>
        <w:jc w:val="both"/>
        <w:rPr>
          <w:rFonts w:hint="eastAsia" w:ascii="黑体" w:hAnsi="宋体" w:eastAsia="黑体" w:cs="黑体"/>
          <w:sz w:val="32"/>
          <w:szCs w:val="32"/>
          <w:highlight w:val="none"/>
          <w:lang w:val="en-US"/>
        </w:rPr>
      </w:pPr>
      <w:r>
        <w:rPr>
          <w:rFonts w:hint="eastAsia" w:ascii="黑体" w:hAnsi="宋体" w:eastAsia="黑体" w:cs="黑体"/>
          <w:kern w:val="2"/>
          <w:sz w:val="32"/>
          <w:szCs w:val="32"/>
          <w:highlight w:val="none"/>
          <w:lang w:val="en-US" w:eastAsia="zh-CN" w:bidi="ar"/>
        </w:rPr>
        <w:t>三、项目组织实施情况</w:t>
      </w:r>
    </w:p>
    <w:p w14:paraId="6185DA31">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（一）项目组织情况分析，主要包括项目招投标、调整、竣工验收等情况。</w:t>
      </w:r>
    </w:p>
    <w:p w14:paraId="216D02A7">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本单位严格遵循《中华人民共和国招标投标法》及政府采购相关规定，对达到招标限额的项目，均依法依规履行公开招标程序。招标过程坚持"公开、公平、公正"原则，通过政府采购平台发布招标公告，组建评标委员会独立评审，确保招标程序规范透明。未达到招标限额的项目，严格执行询价、竞争性谈判等采购方式，择优确定供应商。</w:t>
      </w:r>
    </w:p>
    <w:p w14:paraId="53A9BA77">
      <w:pPr>
        <w:keepNext w:val="0"/>
        <w:keepLines w:val="0"/>
        <w:widowControl w:val="0"/>
        <w:numPr>
          <w:ilvl w:val="0"/>
          <w:numId w:val="1"/>
        </w:numPr>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项目管理情况分析，主要包括项目管理制度建设、日常检查监督管理等情况。</w:t>
      </w:r>
    </w:p>
    <w:p w14:paraId="6B8F713C">
      <w:pPr>
        <w:keepNext w:val="0"/>
        <w:keepLines w:val="0"/>
        <w:widowControl w:val="0"/>
        <w:suppressLineNumbers w:val="0"/>
        <w:spacing w:before="0" w:beforeAutospacing="0" w:after="0" w:afterAutospacing="0" w:line="600" w:lineRule="exact"/>
        <w:ind w:left="0" w:right="0" w:firstLine="640" w:firstLineChars="200"/>
        <w:jc w:val="both"/>
        <w:outlineLvl w:val="0"/>
        <w:rPr>
          <w:rFonts w:hint="eastAsia" w:ascii="仿宋" w:hAnsi="仿宋" w:eastAsia="仿宋" w:cs="仿宋"/>
          <w:sz w:val="32"/>
          <w:szCs w:val="32"/>
          <w:highlight w:val="none"/>
          <w:lang w:val="en-US"/>
        </w:rPr>
      </w:pPr>
      <w:r>
        <w:rPr>
          <w:rFonts w:hint="eastAsia" w:ascii="Calibri" w:hAnsi="Calibri" w:eastAsia="仿宋_GB2312" w:cs="仿宋_GB2312"/>
          <w:kern w:val="2"/>
          <w:sz w:val="32"/>
          <w:szCs w:val="32"/>
          <w:highlight w:val="none"/>
          <w:lang w:val="en-US" w:eastAsia="zh-CN" w:bidi="ar"/>
        </w:rPr>
        <w:t>本单位项目支出严格执行单位财务管理制度，强化资金管理和使用。严格遵守国家、省、市财务管理法律法规，本着勤俭节约原则，管理好用好每笔资金。本单位财务活动依法接受审计、财政、纪检监察等部门的监督检查。</w:t>
      </w:r>
    </w:p>
    <w:p w14:paraId="48840E0D">
      <w:pPr>
        <w:keepNext w:val="0"/>
        <w:keepLines w:val="0"/>
        <w:widowControl w:val="0"/>
        <w:suppressLineNumbers w:val="0"/>
        <w:spacing w:before="0" w:beforeAutospacing="0" w:after="0" w:afterAutospacing="0" w:line="360" w:lineRule="auto"/>
        <w:ind w:left="0" w:right="0" w:firstLine="640" w:firstLineChars="200"/>
        <w:jc w:val="both"/>
        <w:rPr>
          <w:rFonts w:hint="eastAsia" w:ascii="黑体" w:hAnsi="宋体" w:eastAsia="黑体" w:cs="黑体"/>
          <w:sz w:val="32"/>
          <w:szCs w:val="32"/>
          <w:highlight w:val="none"/>
          <w:lang w:val="en-US"/>
        </w:rPr>
      </w:pPr>
      <w:r>
        <w:rPr>
          <w:rFonts w:hint="eastAsia" w:ascii="黑体" w:hAnsi="宋体" w:eastAsia="黑体" w:cs="黑体"/>
          <w:kern w:val="2"/>
          <w:sz w:val="32"/>
          <w:szCs w:val="32"/>
          <w:highlight w:val="none"/>
          <w:lang w:val="en-US" w:eastAsia="zh-CN" w:bidi="ar"/>
        </w:rPr>
        <w:t>四、资产管理情况</w:t>
      </w:r>
    </w:p>
    <w:p w14:paraId="109A4698">
      <w:pPr>
        <w:keepNext w:val="0"/>
        <w:keepLines w:val="0"/>
        <w:widowControl w:val="0"/>
        <w:suppressLineNumbers w:val="0"/>
        <w:spacing w:before="0" w:beforeAutospacing="0" w:after="0" w:afterAutospacing="0" w:line="360" w:lineRule="auto"/>
        <w:ind w:left="0" w:right="0" w:firstLine="640" w:firstLineChars="200"/>
        <w:jc w:val="both"/>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1.制度建设。我单位高度重视资产管理工作，依据《行政事业单位国有资产管理办法》及上级主管部门相关规定，建立健全了本单位资产管理制度，明确了资产配置、使用、处置等各环节的管理要求，确保资产管理有章可循、规范有序。</w:t>
      </w:r>
    </w:p>
    <w:p w14:paraId="7F96805F">
      <w:pPr>
        <w:keepNext w:val="0"/>
        <w:keepLines w:val="0"/>
        <w:widowControl w:val="0"/>
        <w:suppressLineNumbers w:val="0"/>
        <w:spacing w:before="0" w:beforeAutospacing="0" w:after="0" w:afterAutospacing="0" w:line="360" w:lineRule="auto"/>
        <w:ind w:left="0" w:right="0" w:firstLine="640" w:firstLineChars="200"/>
        <w:jc w:val="both"/>
        <w:rPr>
          <w:highlight w:val="none"/>
          <w:lang w:val="en-US"/>
        </w:rPr>
      </w:pPr>
      <w:r>
        <w:rPr>
          <w:rFonts w:hint="eastAsia" w:ascii="仿宋" w:hAnsi="仿宋" w:eastAsia="仿宋" w:cs="仿宋"/>
          <w:kern w:val="2"/>
          <w:sz w:val="32"/>
          <w:szCs w:val="32"/>
          <w:highlight w:val="none"/>
          <w:lang w:val="en-US" w:eastAsia="zh-CN" w:bidi="ar"/>
        </w:rPr>
        <w:t>2.管理措施。一是严格执行政府采购程序，按照“先预算、后采购”原则，合理配置办公设施等固定资产，确保资产购置符合实际需求，并纳入财政预算管理。二是建立资产台账，实行“一物一卡”管理，定期盘点核对，确保账实相符。三是明确资产使用责任人，落实“谁使用、谁保管”责任制，防止资产流失或损坏。四是对达到报废年限或无法继续使用的资产，严格履行审批程序，经上级主管部门批准后，按规范进行报废处置。</w:t>
      </w:r>
    </w:p>
    <w:p w14:paraId="3DACD5D3">
      <w:pPr>
        <w:keepNext w:val="0"/>
        <w:keepLines w:val="0"/>
        <w:widowControl w:val="0"/>
        <w:numPr>
          <w:ilvl w:val="0"/>
          <w:numId w:val="2"/>
        </w:numPr>
        <w:suppressLineNumbers w:val="0"/>
        <w:spacing w:before="0" w:beforeAutospacing="0" w:after="0" w:afterAutospacing="0" w:line="360" w:lineRule="auto"/>
        <w:ind w:left="0" w:right="0" w:firstLine="640" w:firstLineChars="200"/>
        <w:jc w:val="both"/>
        <w:rPr>
          <w:rFonts w:hint="eastAsia" w:ascii="黑体" w:hAnsi="宋体" w:eastAsia="黑体" w:cs="黑体"/>
          <w:sz w:val="32"/>
          <w:szCs w:val="32"/>
          <w:highlight w:val="none"/>
          <w:lang w:val="en-US"/>
        </w:rPr>
      </w:pPr>
      <w:r>
        <w:rPr>
          <w:rFonts w:hint="eastAsia" w:ascii="黑体" w:hAnsi="宋体" w:eastAsia="黑体" w:cs="黑体"/>
          <w:kern w:val="2"/>
          <w:sz w:val="32"/>
          <w:szCs w:val="32"/>
          <w:highlight w:val="none"/>
          <w:lang w:val="en-US" w:eastAsia="zh-CN" w:bidi="ar"/>
        </w:rPr>
        <w:t>政府性基金预算支出情况</w:t>
      </w:r>
    </w:p>
    <w:p w14:paraId="4E78ACF2">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本单位本年度无此支出。</w:t>
      </w:r>
    </w:p>
    <w:p w14:paraId="7CABD416">
      <w:pPr>
        <w:keepNext w:val="0"/>
        <w:keepLines w:val="0"/>
        <w:widowControl w:val="0"/>
        <w:numPr>
          <w:ilvl w:val="0"/>
          <w:numId w:val="2"/>
        </w:numPr>
        <w:suppressLineNumbers w:val="0"/>
        <w:spacing w:before="0" w:beforeAutospacing="0" w:after="0" w:afterAutospacing="0" w:line="360" w:lineRule="auto"/>
        <w:ind w:left="0" w:right="0" w:firstLine="640" w:firstLineChars="200"/>
        <w:jc w:val="both"/>
        <w:rPr>
          <w:rFonts w:hint="eastAsia" w:ascii="黑体" w:hAnsi="宋体" w:eastAsia="黑体" w:cs="黑体"/>
          <w:sz w:val="32"/>
          <w:szCs w:val="32"/>
          <w:highlight w:val="none"/>
          <w:lang w:val="en-US"/>
        </w:rPr>
      </w:pPr>
      <w:r>
        <w:rPr>
          <w:rFonts w:hint="eastAsia" w:ascii="黑体" w:hAnsi="宋体" w:eastAsia="黑体" w:cs="黑体"/>
          <w:kern w:val="2"/>
          <w:sz w:val="32"/>
          <w:szCs w:val="32"/>
          <w:highlight w:val="none"/>
          <w:lang w:val="en-US" w:eastAsia="zh-CN" w:bidi="ar"/>
        </w:rPr>
        <w:t>国有资本经营预算支出情况</w:t>
      </w:r>
    </w:p>
    <w:p w14:paraId="06771327">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本单位本年度无此支出。</w:t>
      </w:r>
    </w:p>
    <w:p w14:paraId="50B98DBA">
      <w:pPr>
        <w:keepNext w:val="0"/>
        <w:keepLines w:val="0"/>
        <w:widowControl w:val="0"/>
        <w:numPr>
          <w:ilvl w:val="0"/>
          <w:numId w:val="2"/>
        </w:numPr>
        <w:suppressLineNumbers w:val="0"/>
        <w:spacing w:before="0" w:beforeAutospacing="0" w:after="0" w:afterAutospacing="0" w:line="360" w:lineRule="auto"/>
        <w:ind w:left="0" w:right="0" w:firstLine="640" w:firstLineChars="200"/>
        <w:jc w:val="both"/>
        <w:rPr>
          <w:rFonts w:hint="eastAsia" w:ascii="黑体" w:hAnsi="宋体" w:eastAsia="黑体" w:cs="黑体"/>
          <w:sz w:val="32"/>
          <w:szCs w:val="32"/>
          <w:highlight w:val="none"/>
          <w:lang w:val="en-US"/>
        </w:rPr>
      </w:pPr>
      <w:r>
        <w:rPr>
          <w:rFonts w:hint="eastAsia" w:ascii="黑体" w:hAnsi="宋体" w:eastAsia="黑体" w:cs="黑体"/>
          <w:kern w:val="2"/>
          <w:sz w:val="32"/>
          <w:szCs w:val="32"/>
          <w:highlight w:val="none"/>
          <w:lang w:val="en-US" w:eastAsia="zh-CN" w:bidi="ar"/>
        </w:rPr>
        <w:t>社会保险基金预算支出情况</w:t>
      </w:r>
    </w:p>
    <w:p w14:paraId="6BB70E7E">
      <w:pPr>
        <w:keepNext w:val="0"/>
        <w:keepLines w:val="0"/>
        <w:widowControl w:val="0"/>
        <w:suppressLineNumbers w:val="0"/>
        <w:spacing w:before="0" w:beforeAutospacing="0" w:after="0" w:afterAutospacing="0" w:line="360" w:lineRule="auto"/>
        <w:ind w:left="0" w:right="0" w:firstLine="640" w:firstLineChars="200"/>
        <w:jc w:val="both"/>
        <w:outlineLvl w:val="0"/>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本单位本年度无此支出。</w:t>
      </w:r>
    </w:p>
    <w:p w14:paraId="2CC239B6">
      <w:pPr>
        <w:numPr>
          <w:ilvl w:val="0"/>
          <w:numId w:val="0"/>
        </w:numPr>
        <w:ind w:leftChars="200" w:firstLine="320" w:firstLineChars="100"/>
      </w:pPr>
      <w:r>
        <w:rPr>
          <w:rFonts w:hint="eastAsia" w:ascii="黑体" w:hAnsi="宋体" w:eastAsia="黑体" w:cs="黑体"/>
          <w:kern w:val="2"/>
          <w:sz w:val="32"/>
          <w:szCs w:val="32"/>
          <w:highlight w:val="none"/>
          <w:lang w:val="en-US" w:eastAsia="zh-CN" w:bidi="ar"/>
        </w:rPr>
        <w:t>八、部门整体支出绩效情况</w:t>
      </w:r>
    </w:p>
    <w:p w14:paraId="06024776">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（一）艺术创作</w:t>
      </w:r>
    </w:p>
    <w:p w14:paraId="67D4C6A9">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深入挖掘本土文化资源，用活地域文化和红色资源展开艺术创作，倾力打造地标性艺术精品，复排了大型传统古装戏《三子争母》，小戏《小砍樵》《说媒》。</w:t>
      </w:r>
    </w:p>
    <w:p w14:paraId="0E43B783">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今年以来，为更好地传承和弘扬民族文化，激发民众对本土文化的认同感和自豪感，从而增强文化自信‌，在创作中深入挖掘本土文化资源，用活地域文化和红色资源展开艺术创作，倾力打造地标性艺术精品，创作了《一根扁担长又长》《还有后来人》《铁一般的信仰》《大爱无边》等多个戏曲作品。花鼓小戏《一根扁担长又长》主人公为湖南衡阳县曲兰镇前进村进冲组村民邹玉祥，他因祖孙三代为路人义务担水、护亭修亭百余年的事迹而被誉为“中国好人”，排演该戏旨在充分利用文艺宣传，让我们身边的好人好事得到广泛传扬。花鼓小戏《还有后来人》是以衡阳县人夏明翰烈士为原型，以“明翰精神”红色资源及烈士家乡的传统艺术相结合，塑造了碧血丹心的夏明翰形象，演员们用生动传神的语言、热血激腾的情感演绎了夏明翰烈士被捕狱中，写下三封家书然后英勇就义的故事，再现了夏明翰烈士坚如磐石的信仰、视死如归的英雄气概和深厚的家国情怀。情景剧《铁一般的信仰》新编音乐情景剧《铁一般的信仰》，则以夏明翰烈士家“一门五烈”的英雄事迹为主题；</w:t>
      </w:r>
    </w:p>
    <w:p w14:paraId="7C020A58">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《大爱无边》则是以衡阳县岘山镇藕塘村村民“湖南好人”肖高敏为原型创作的语言类艺术作品；</w:t>
      </w:r>
    </w:p>
    <w:p w14:paraId="3738F76B">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为充实“送戏下乡”惠民演艺活动演出内容，满足社会各界观众的需求，还复排了大型传统古装衡州花鼓戏《三子争母》，折子戏《说媒》《小砍樵》；新编了一台集戏曲串烧、折子戏、小品、歌曲、舞蹈、渔鼓等为一体的综艺节目。</w:t>
      </w:r>
    </w:p>
    <w:p w14:paraId="30A58B68">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（二）演出工作成效</w:t>
      </w:r>
    </w:p>
    <w:p w14:paraId="61958FDB">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1.继续组成一支精干的表演队伍，积极配合政府，为党的政策、方针、路线、开展各项宣传演出活动，发挥职能，不断开展“送戏下乡 ，演艺惠民“公共文化进村入户•戏曲进乡村”“周末百姓剧场””“扫黑除恶专项工作暨禁毒宣传文艺巡演”等惠民演艺活动，满足广大人民群众日益增长的精神文化生活，将精神文明送进乡村，融入群众。</w:t>
      </w:r>
    </w:p>
    <w:p w14:paraId="4A1D7EB4">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2.全年完成“送戏下乡、演艺惠民”演出120场，惠及观众15.67万余人次。</w:t>
      </w:r>
    </w:p>
    <w:p w14:paraId="646539FE">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各类公益性演出、政府指派演出精彩纷呈。积极响应省、市、县政府及文化主管部门的重点文化工作安排，精心组织节目参加了在衡阳县梅花小镇由湖南省文化和旅游厅举办的2024年元旦春节“送戏曲进万村，送书画进万家”下基层文艺惠民启动仪式、在夏明翰文化宫参加省委宣传部举办的2023年四季度湖南好人榜发布仪式暨“中国好人榜”“湖南好人榜”（衡阳县站）启动仪式、库宗桥华山村2024衡阳市春季文化旅游节暨衡阳县第十三届油菜花节、船山时间谷“我们的节日·中秋——心‘芯’相印兴蒸阳”文艺汇演、衡阳县2024下半年“送新兵、迎老兵”暨为立功军人家属集中送喜报文艺汇演、“云锦梅香.醉美杉桥”学习宣传党的二十届三中全会精神暨衡阳县第十一届职工文化进基层演出活动、等重大文化活动演出。</w:t>
      </w:r>
    </w:p>
    <w:p w14:paraId="5E84709A">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承办了“清风迎春”廉洁活动进乡村、2024年“衡阳县科技周”、衡阳县2024年乡村文化旅游节暨第三届黄桃采摘节、等活动演出。</w:t>
      </w:r>
    </w:p>
    <w:p w14:paraId="1D37AE8B">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（三）“戏曲进校园”亮点工作</w:t>
      </w:r>
    </w:p>
    <w:p w14:paraId="73C8FFD7">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为更好的传承弘扬衡州花鼓戏，让更多的小朋友了解和喜欢衡州花鼓戏，开展戏曲教学。6月30日，支部书记、团长陈轶主动联系衡阳县叁立艺术培训学校，率领传承人、艺术骨干，开展“‘衡州花鼓戏进课堂’走进叁立艺术培训学校”活动，演员老师们耐心地为孩子们讲解衡州花鼓戏的艺术特色，剧种行当，戏剧行头，传统戏剧服装等一些基本知识，教唱了传统花鼓戏《刘海戏金蟾》中的比古调、中秋调等，带小朋友们练习旦角云手、小生台步等。小朋友们个个兴趣盎然、认真投入，十分开心。通过生动有趣的戏曲教学，以优秀传统文化和浓厚的戏曲艺术氛围涵养幼儿，在他们心中形成美好的回忆，栽培他们从小对传统艺术感兴趣，厚植原乡情结和戏剧传承意识的种子。</w:t>
      </w:r>
    </w:p>
    <w:p w14:paraId="2B8807DC">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10月17日，剧团“送戏曲进校园”走进衡阳县实验学校，全体演职员们在该校体育馆为1700余名位师生代表带来了一场精彩的戏曲艺术盛宴。剧团精选了戏曲串烧《梨园荟萃》、伦理小品《烛光里的妈妈》、民族器乐《琵琶、古筝》合奏、歌曲《超越梦想》《解放区的天》《说唱脸谱》《苹果香》、花鼓小戏《一根扁担长又长》《还有后来人》等精彩节目。特别是“明翰精神”红色题材花鼓戏《还有后来人》，更将现场的气氛带入了高潮，演员们用生动传神的语言、热血激腾的情感演绎了夏明翰烈士被捕狱中，写下三封家书后英勇就义的故事，塑造了碧血丹心的夏明翰形象，再现了夏明翰烈士坚如磐石的信仰、视死如归的英雄气概和深厚的家国情怀，现场师生为之震撼，感动落泪，掌声不断。“戏曲进校园”活动，把传统戏曲文化与红色文化相结合引进校园，为学生们提供了一个近距离领略传统艺术魅力和传承红色文化的平台，让国粹之美和红色基因在校园内绽放更绚丽的光彩。</w:t>
      </w:r>
    </w:p>
    <w:p w14:paraId="29CBF704">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（四）获得省级荣誉、奖项</w:t>
      </w:r>
    </w:p>
    <w:p w14:paraId="6CB57ABF">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1.10月，红剧《还有后来人》作为全省艺术精品被省文旅厅选调，在长沙实验剧场参加“第八届湖南艺术节创作小戏小品展演”。</w:t>
      </w:r>
    </w:p>
    <w:p w14:paraId="22E34D64">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2.11月，创作微短剧《铁一般的信仰》参加由由湖南省委宣传部、湖南省文化和旅游厅共同主办的“2024湖南首届红色微短剧大赛”，赴长沙毛泽东与第一师范纪念馆参加决赛，荣获“三等奖”。</w:t>
      </w:r>
    </w:p>
    <w:p w14:paraId="6A9A6379">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（五）常规工作井然有序</w:t>
      </w:r>
    </w:p>
    <w:p w14:paraId="228B556F">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1.及时按照上级部署，做好意识形态、安全生产、爱国卫生、综治民调、禁毒扫黑等工作，张贴宣传展板，组织好台帐资料。</w:t>
      </w:r>
    </w:p>
    <w:p w14:paraId="5DF81D66">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2.财务工作做到日清月结，编制好内控制度，严守制度。</w:t>
      </w:r>
    </w:p>
    <w:p w14:paraId="0ECE603F">
      <w:pPr>
        <w:numPr>
          <w:ilvl w:val="0"/>
          <w:numId w:val="0"/>
        </w:numPr>
        <w:ind w:firstLine="640" w:firstLineChars="200"/>
        <w:rPr>
          <w:rFonts w:hint="eastAsia" w:ascii="仿宋" w:hAnsi="仿宋" w:eastAsia="仿宋" w:cs="仿宋"/>
          <w:i w:val="0"/>
          <w:kern w:val="2"/>
          <w:sz w:val="32"/>
          <w:szCs w:val="32"/>
          <w:lang w:val="en-US" w:eastAsia="zh-CN" w:bidi="ar"/>
        </w:rPr>
      </w:pPr>
      <w:r>
        <w:rPr>
          <w:rFonts w:hint="eastAsia" w:ascii="仿宋" w:hAnsi="仿宋" w:eastAsia="仿宋" w:cs="仿宋"/>
          <w:i w:val="0"/>
          <w:kern w:val="2"/>
          <w:sz w:val="32"/>
          <w:szCs w:val="32"/>
          <w:lang w:val="en-US" w:eastAsia="zh-CN" w:bidi="ar"/>
        </w:rPr>
        <w:t>3.剧院定期进行安全检查，排除隐患；专人打扫，剧场与会议中心保持环境干净整洁，营造一个良好的公共文化服务环境。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PSEMBED1">
    <w:panose1 w:val="0201060001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E6030"/>
    <w:multiLevelType w:val="multilevel"/>
    <w:tmpl w:val="17EE6030"/>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3818D188"/>
    <w:multiLevelType w:val="multilevel"/>
    <w:tmpl w:val="3818D188"/>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030E8"/>
    <w:rsid w:val="58A34505"/>
    <w:rsid w:val="7D000201"/>
    <w:rsid w:val="7DC8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Times New Roman"/>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仿宋" w:hAnsi="仿宋" w:eastAsia="仿宋" w:cs="仿宋"/>
      <w:kern w:val="2"/>
      <w:sz w:val="32"/>
      <w:szCs w:val="32"/>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4181</Words>
  <Characters>4349</Characters>
  <Lines>0</Lines>
  <Paragraphs>0</Paragraphs>
  <TotalTime>14</TotalTime>
  <ScaleCrop>false</ScaleCrop>
  <LinksUpToDate>false</LinksUpToDate>
  <CharactersWithSpaces>4394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2025-05-21T09:29:00Z</dcterms:created>
  <dc:creator>徐筱彤</dc:creator>
  <cp:lastModifiedBy>张小惠</cp:lastModifiedBy>
  <dcterms:modified xsi:type="dcterms:W3CDTF">2025-11-03T02:55:30Z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eyJoZGlkIjoiN2YzNjBkOTgyNWQ1YTMxYzM3MzMwNWFiODNmOWIzYWMiLCJ1c2VySWQiOiI0MjkyMzcxOTAifQ==</vt:lpwstr>
  </property>
  <property fmtid="{D5CDD505-2E9C-101B-9397-08002B2CF9AE}" pid="4" name="ICV">
    <vt:lpwstr>E92765553CCC4079A28D8EB838E5399A_13</vt:lpwstr>
  </property>
</Properties>
</file>