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51" w:rsidRDefault="00BD247E">
      <w:pPr>
        <w:jc w:val="center"/>
        <w:rPr>
          <w:rFonts w:ascii="Times New Roman" w:eastAsia="方正小标宋_GBK" w:hAnsi="Times New Roman" w:cs="Times New Roman"/>
          <w:color w:val="FF0000"/>
          <w:sz w:val="109"/>
        </w:rPr>
      </w:pPr>
      <w:proofErr w:type="gramStart"/>
      <w:r>
        <w:rPr>
          <w:rFonts w:ascii="Times New Roman" w:eastAsia="方正小标宋_GBK" w:hAnsi="Times New Roman" w:cs="Times New Roman"/>
          <w:color w:val="FF0000"/>
          <w:spacing w:val="115"/>
          <w:w w:val="50"/>
          <w:sz w:val="109"/>
        </w:rPr>
        <w:t>衡</w:t>
      </w:r>
      <w:proofErr w:type="gramEnd"/>
      <w:r>
        <w:rPr>
          <w:rFonts w:ascii="Times New Roman" w:eastAsia="方正小标宋_GBK" w:hAnsi="Times New Roman" w:cs="Times New Roman"/>
          <w:color w:val="FF0000"/>
          <w:w w:val="50"/>
          <w:sz w:val="109"/>
        </w:rPr>
        <w:t xml:space="preserve">  </w:t>
      </w:r>
      <w:r>
        <w:rPr>
          <w:rFonts w:ascii="Times New Roman" w:eastAsia="方正小标宋_GBK" w:hAnsi="Times New Roman" w:cs="Times New Roman"/>
          <w:color w:val="FF0000"/>
          <w:w w:val="50"/>
          <w:sz w:val="109"/>
        </w:rPr>
        <w:t>阳</w:t>
      </w:r>
      <w:r>
        <w:rPr>
          <w:rFonts w:ascii="Times New Roman" w:eastAsia="方正小标宋_GBK" w:hAnsi="Times New Roman" w:cs="Times New Roman"/>
          <w:color w:val="FF0000"/>
          <w:w w:val="50"/>
          <w:sz w:val="109"/>
        </w:rPr>
        <w:t xml:space="preserve">  </w:t>
      </w:r>
      <w:r>
        <w:rPr>
          <w:rFonts w:ascii="Times New Roman" w:eastAsia="方正小标宋_GBK" w:hAnsi="Times New Roman" w:cs="Times New Roman"/>
          <w:color w:val="FF0000"/>
          <w:w w:val="50"/>
          <w:sz w:val="109"/>
        </w:rPr>
        <w:t>县</w:t>
      </w:r>
      <w:r>
        <w:rPr>
          <w:rFonts w:ascii="Times New Roman" w:eastAsia="方正小标宋_GBK" w:hAnsi="Times New Roman" w:cs="Times New Roman"/>
          <w:color w:val="FF0000"/>
          <w:w w:val="50"/>
          <w:sz w:val="109"/>
        </w:rPr>
        <w:t xml:space="preserve">  </w:t>
      </w:r>
      <w:r>
        <w:rPr>
          <w:rFonts w:ascii="Times New Roman" w:eastAsia="方正小标宋_GBK" w:hAnsi="Times New Roman" w:cs="Times New Roman" w:hint="eastAsia"/>
          <w:color w:val="FF0000"/>
          <w:w w:val="50"/>
          <w:sz w:val="109"/>
        </w:rPr>
        <w:t>司</w:t>
      </w:r>
      <w:r>
        <w:rPr>
          <w:rFonts w:ascii="Times New Roman" w:eastAsia="方正小标宋_GBK" w:hAnsi="Times New Roman" w:cs="Times New Roman" w:hint="eastAsia"/>
          <w:color w:val="FF0000"/>
          <w:w w:val="50"/>
          <w:sz w:val="109"/>
        </w:rPr>
        <w:t xml:space="preserve">  </w:t>
      </w:r>
      <w:r>
        <w:rPr>
          <w:rFonts w:ascii="Times New Roman" w:eastAsia="方正小标宋_GBK" w:hAnsi="Times New Roman" w:cs="Times New Roman" w:hint="eastAsia"/>
          <w:color w:val="FF0000"/>
          <w:w w:val="50"/>
          <w:sz w:val="109"/>
        </w:rPr>
        <w:t>法</w:t>
      </w:r>
      <w:r>
        <w:rPr>
          <w:rFonts w:ascii="Times New Roman" w:eastAsia="方正小标宋_GBK" w:hAnsi="Times New Roman" w:cs="Times New Roman" w:hint="eastAsia"/>
          <w:color w:val="FF0000"/>
          <w:w w:val="50"/>
          <w:sz w:val="109"/>
        </w:rPr>
        <w:t xml:space="preserve">  </w:t>
      </w:r>
      <w:r>
        <w:rPr>
          <w:rFonts w:ascii="Times New Roman" w:eastAsia="方正小标宋_GBK" w:hAnsi="Times New Roman" w:cs="Times New Roman" w:hint="eastAsia"/>
          <w:color w:val="FF0000"/>
          <w:w w:val="50"/>
          <w:sz w:val="109"/>
        </w:rPr>
        <w:t>局</w:t>
      </w:r>
    </w:p>
    <w:p w:rsidR="00665751" w:rsidRDefault="002726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直线 12" o:spid="_x0000_s1026" style="position:absolute;z-index:251659264;mso-width-relative:page;mso-height-relative:page" from=".65pt,.65pt" to="414.65pt,.65pt" strokecolor="red" strokeweight="2.25pt"/>
        </w:pict>
      </w:r>
    </w:p>
    <w:p w:rsidR="00665751" w:rsidRDefault="00BD247E">
      <w:pPr>
        <w:spacing w:line="360" w:lineRule="auto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/>
          <w:sz w:val="36"/>
          <w:szCs w:val="36"/>
        </w:rPr>
        <w:t>部门整体支出绩效自评报告</w:t>
      </w:r>
    </w:p>
    <w:p w:rsidR="00665751" w:rsidRDefault="00665751">
      <w:pPr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</w:p>
    <w:p w:rsidR="00665751" w:rsidRDefault="00BD247E">
      <w:pPr>
        <w:pStyle w:val="1"/>
        <w:widowControl/>
        <w:spacing w:line="360" w:lineRule="auto"/>
        <w:ind w:left="640" w:firstLineChars="0" w:firstLine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一、部门、单位基本情况</w:t>
      </w:r>
    </w:p>
    <w:p w:rsidR="00665751" w:rsidRDefault="00BD247E">
      <w:pPr>
        <w:pStyle w:val="1"/>
        <w:widowControl/>
        <w:spacing w:line="360" w:lineRule="auto"/>
        <w:ind w:left="640" w:firstLineChars="0" w:firstLine="0"/>
        <w:rPr>
          <w:rFonts w:asciiTheme="majorEastAsia" w:eastAsiaTheme="majorEastAsia" w:hAnsiTheme="majorEastAsia"/>
          <w:sz w:val="32"/>
          <w:szCs w:val="32"/>
        </w:rPr>
      </w:pPr>
      <w:r>
        <w:rPr>
          <w:rFonts w:eastAsia="楷体_GB2312"/>
          <w:sz w:val="32"/>
          <w:szCs w:val="32"/>
        </w:rPr>
        <w:t>（一）机构设置情况</w:t>
      </w:r>
    </w:p>
    <w:p w:rsidR="00665751" w:rsidRDefault="00BD247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FB04BE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年本单位共有内设股室1</w:t>
      </w:r>
      <w:r w:rsidR="0027264A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 xml:space="preserve">个， 26个司法所，所属事业单位4个。 </w:t>
      </w:r>
    </w:p>
    <w:p w:rsidR="00665751" w:rsidRDefault="00BD247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内设股室分别是办公室、法治研究督查室、社区矫正管理股、行政复议与应诉股、行政执法协调监督股、规范性文件和合同审查管理股、法律事务股、普法与依法治理</w:t>
      </w:r>
      <w:r w:rsidR="0027264A">
        <w:rPr>
          <w:rFonts w:ascii="仿宋" w:eastAsia="仿宋" w:hAnsi="仿宋" w:hint="eastAsia"/>
          <w:sz w:val="32"/>
          <w:szCs w:val="32"/>
        </w:rPr>
        <w:t>股、基层法治建设股、公共法律服务管理股、装备财务保障股、政工室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。</w:t>
      </w:r>
    </w:p>
    <w:p w:rsidR="00665751" w:rsidRDefault="00BD247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25个司法所分别是樟木司法所、集</w:t>
      </w:r>
      <w:proofErr w:type="gramStart"/>
      <w:r>
        <w:rPr>
          <w:rFonts w:ascii="仿宋" w:eastAsia="仿宋" w:hAnsi="仿宋" w:hint="eastAsia"/>
          <w:sz w:val="32"/>
          <w:szCs w:val="32"/>
        </w:rPr>
        <w:t>兵司法</w:t>
      </w:r>
      <w:proofErr w:type="gramEnd"/>
      <w:r>
        <w:rPr>
          <w:rFonts w:ascii="仿宋" w:eastAsia="仿宋" w:hAnsi="仿宋" w:hint="eastAsia"/>
          <w:sz w:val="32"/>
          <w:szCs w:val="32"/>
        </w:rPr>
        <w:t>所、</w:t>
      </w:r>
      <w:proofErr w:type="gramStart"/>
      <w:r>
        <w:rPr>
          <w:rFonts w:ascii="仿宋" w:eastAsia="仿宋" w:hAnsi="仿宋" w:hint="eastAsia"/>
          <w:sz w:val="32"/>
          <w:szCs w:val="32"/>
        </w:rPr>
        <w:t>岣嵝</w:t>
      </w:r>
      <w:proofErr w:type="gramEnd"/>
      <w:r>
        <w:rPr>
          <w:rFonts w:ascii="仿宋" w:eastAsia="仿宋" w:hAnsi="仿宋" w:hint="eastAsia"/>
          <w:sz w:val="32"/>
          <w:szCs w:val="32"/>
        </w:rPr>
        <w:t>司法所、</w:t>
      </w:r>
      <w:proofErr w:type="gramStart"/>
      <w:r>
        <w:rPr>
          <w:rFonts w:ascii="仿宋" w:eastAsia="仿宋" w:hAnsi="仿宋" w:hint="eastAsia"/>
          <w:sz w:val="32"/>
          <w:szCs w:val="32"/>
        </w:rPr>
        <w:t>杉桥司法</w:t>
      </w:r>
      <w:proofErr w:type="gramEnd"/>
      <w:r>
        <w:rPr>
          <w:rFonts w:ascii="仿宋" w:eastAsia="仿宋" w:hAnsi="仿宋" w:hint="eastAsia"/>
          <w:sz w:val="32"/>
          <w:szCs w:val="32"/>
        </w:rPr>
        <w:t>所、樟树司法所、</w:t>
      </w:r>
      <w:proofErr w:type="gramStart"/>
      <w:r>
        <w:rPr>
          <w:rFonts w:ascii="仿宋" w:eastAsia="仿宋" w:hAnsi="仿宋" w:hint="eastAsia"/>
          <w:sz w:val="32"/>
          <w:szCs w:val="32"/>
        </w:rPr>
        <w:t>板市司法</w:t>
      </w:r>
      <w:proofErr w:type="gramEnd"/>
      <w:r>
        <w:rPr>
          <w:rFonts w:ascii="仿宋" w:eastAsia="仿宋" w:hAnsi="仿宋" w:hint="eastAsia"/>
          <w:sz w:val="32"/>
          <w:szCs w:val="32"/>
        </w:rPr>
        <w:t>所、西渡司法所、</w:t>
      </w:r>
      <w:proofErr w:type="gramStart"/>
      <w:r>
        <w:rPr>
          <w:rFonts w:ascii="仿宋" w:eastAsia="仿宋" w:hAnsi="仿宋" w:hint="eastAsia"/>
          <w:sz w:val="32"/>
          <w:szCs w:val="32"/>
        </w:rPr>
        <w:t>岘山司法</w:t>
      </w:r>
      <w:proofErr w:type="gramEnd"/>
      <w:r>
        <w:rPr>
          <w:rFonts w:ascii="仿宋" w:eastAsia="仿宋" w:hAnsi="仿宋" w:hint="eastAsia"/>
          <w:sz w:val="32"/>
          <w:szCs w:val="32"/>
        </w:rPr>
        <w:t>所、井</w:t>
      </w:r>
      <w:proofErr w:type="gramStart"/>
      <w:r>
        <w:rPr>
          <w:rFonts w:ascii="仿宋" w:eastAsia="仿宋" w:hAnsi="仿宋" w:hint="eastAsia"/>
          <w:sz w:val="32"/>
          <w:szCs w:val="32"/>
        </w:rPr>
        <w:t>头司法</w:t>
      </w:r>
      <w:proofErr w:type="gramEnd"/>
      <w:r>
        <w:rPr>
          <w:rFonts w:ascii="仿宋" w:eastAsia="仿宋" w:hAnsi="仿宋" w:hint="eastAsia"/>
          <w:sz w:val="32"/>
          <w:szCs w:val="32"/>
        </w:rPr>
        <w:t>所、关市司法所、演</w:t>
      </w:r>
      <w:proofErr w:type="gramStart"/>
      <w:r>
        <w:rPr>
          <w:rFonts w:ascii="仿宋" w:eastAsia="仿宋" w:hAnsi="仿宋" w:hint="eastAsia"/>
          <w:sz w:val="32"/>
          <w:szCs w:val="32"/>
        </w:rPr>
        <w:t>陂</w:t>
      </w:r>
      <w:proofErr w:type="gramEnd"/>
      <w:r>
        <w:rPr>
          <w:rFonts w:ascii="仿宋" w:eastAsia="仿宋" w:hAnsi="仿宋" w:hint="eastAsia"/>
          <w:sz w:val="32"/>
          <w:szCs w:val="32"/>
        </w:rPr>
        <w:t>司法所、栏</w:t>
      </w:r>
      <w:proofErr w:type="gramStart"/>
      <w:r>
        <w:rPr>
          <w:rFonts w:ascii="仿宋" w:eastAsia="仿宋" w:hAnsi="仿宋" w:hint="eastAsia"/>
          <w:sz w:val="32"/>
          <w:szCs w:val="32"/>
        </w:rPr>
        <w:t>垅司法</w:t>
      </w:r>
      <w:proofErr w:type="gramEnd"/>
      <w:r>
        <w:rPr>
          <w:rFonts w:ascii="仿宋" w:eastAsia="仿宋" w:hAnsi="仿宋" w:hint="eastAsia"/>
          <w:sz w:val="32"/>
          <w:szCs w:val="32"/>
        </w:rPr>
        <w:t>所、三</w:t>
      </w:r>
      <w:proofErr w:type="gramStart"/>
      <w:r>
        <w:rPr>
          <w:rFonts w:ascii="仿宋" w:eastAsia="仿宋" w:hAnsi="仿宋" w:hint="eastAsia"/>
          <w:sz w:val="32"/>
          <w:szCs w:val="32"/>
        </w:rPr>
        <w:t>湖司法</w:t>
      </w:r>
      <w:proofErr w:type="gramEnd"/>
      <w:r>
        <w:rPr>
          <w:rFonts w:ascii="仿宋" w:eastAsia="仿宋" w:hAnsi="仿宋" w:hint="eastAsia"/>
          <w:sz w:val="32"/>
          <w:szCs w:val="32"/>
        </w:rPr>
        <w:t>所、长安司法所、库</w:t>
      </w:r>
      <w:proofErr w:type="gramStart"/>
      <w:r>
        <w:rPr>
          <w:rFonts w:ascii="仿宋" w:eastAsia="仿宋" w:hAnsi="仿宋" w:hint="eastAsia"/>
          <w:sz w:val="32"/>
          <w:szCs w:val="32"/>
        </w:rPr>
        <w:t>宗桥司法</w:t>
      </w:r>
      <w:proofErr w:type="gramEnd"/>
      <w:r>
        <w:rPr>
          <w:rFonts w:ascii="仿宋" w:eastAsia="仿宋" w:hAnsi="仿宋" w:hint="eastAsia"/>
          <w:sz w:val="32"/>
          <w:szCs w:val="32"/>
        </w:rPr>
        <w:t>所、金兰司法所、洪市司法所、大安司法所、曲兰司法所、金</w:t>
      </w:r>
      <w:r>
        <w:rPr>
          <w:rFonts w:ascii="仿宋" w:eastAsia="仿宋" w:hAnsi="仿宋" w:hint="eastAsia"/>
          <w:sz w:val="32"/>
          <w:szCs w:val="32"/>
        </w:rPr>
        <w:lastRenderedPageBreak/>
        <w:t>溪司法所、溪</w:t>
      </w:r>
      <w:proofErr w:type="gramStart"/>
      <w:r>
        <w:rPr>
          <w:rFonts w:ascii="仿宋" w:eastAsia="仿宋" w:hAnsi="仿宋" w:hint="eastAsia"/>
          <w:sz w:val="32"/>
          <w:szCs w:val="32"/>
        </w:rPr>
        <w:t>江司法</w:t>
      </w:r>
      <w:proofErr w:type="gramEnd"/>
      <w:r>
        <w:rPr>
          <w:rFonts w:ascii="仿宋" w:eastAsia="仿宋" w:hAnsi="仿宋" w:hint="eastAsia"/>
          <w:sz w:val="32"/>
          <w:szCs w:val="32"/>
        </w:rPr>
        <w:t>所、界</w:t>
      </w:r>
      <w:proofErr w:type="gramStart"/>
      <w:r>
        <w:rPr>
          <w:rFonts w:ascii="仿宋" w:eastAsia="仿宋" w:hAnsi="仿宋" w:hint="eastAsia"/>
          <w:sz w:val="32"/>
          <w:szCs w:val="32"/>
        </w:rPr>
        <w:t>牌司法</w:t>
      </w:r>
      <w:proofErr w:type="gramEnd"/>
      <w:r>
        <w:rPr>
          <w:rFonts w:ascii="仿宋" w:eastAsia="仿宋" w:hAnsi="仿宋" w:hint="eastAsia"/>
          <w:sz w:val="32"/>
          <w:szCs w:val="32"/>
        </w:rPr>
        <w:t>所、石市司法所、</w:t>
      </w:r>
      <w:proofErr w:type="gramStart"/>
      <w:r>
        <w:rPr>
          <w:rFonts w:ascii="仿宋" w:eastAsia="仿宋" w:hAnsi="仿宋" w:hint="eastAsia"/>
          <w:sz w:val="32"/>
          <w:szCs w:val="32"/>
        </w:rPr>
        <w:t>渣江司法</w:t>
      </w:r>
      <w:proofErr w:type="gramEnd"/>
      <w:r>
        <w:rPr>
          <w:rFonts w:ascii="仿宋" w:eastAsia="仿宋" w:hAnsi="仿宋" w:hint="eastAsia"/>
          <w:sz w:val="32"/>
          <w:szCs w:val="32"/>
        </w:rPr>
        <w:t>所、台</w:t>
      </w:r>
      <w:proofErr w:type="gramStart"/>
      <w:r>
        <w:rPr>
          <w:rFonts w:ascii="仿宋" w:eastAsia="仿宋" w:hAnsi="仿宋" w:hint="eastAsia"/>
          <w:sz w:val="32"/>
          <w:szCs w:val="32"/>
        </w:rPr>
        <w:t>源司法</w:t>
      </w:r>
      <w:proofErr w:type="gramEnd"/>
      <w:r>
        <w:rPr>
          <w:rFonts w:ascii="仿宋" w:eastAsia="仿宋" w:hAnsi="仿宋" w:hint="eastAsia"/>
          <w:sz w:val="32"/>
          <w:szCs w:val="32"/>
        </w:rPr>
        <w:t>所。</w:t>
      </w:r>
    </w:p>
    <w:p w:rsidR="00665751" w:rsidRDefault="00BD247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所属事业单位分别是衡阳县法律援助中心、衡阳县人民政府法律顾问室、公证处、社区矫正事务中心。</w:t>
      </w:r>
    </w:p>
    <w:p w:rsidR="00665751" w:rsidRDefault="00BD247E">
      <w:pPr>
        <w:pStyle w:val="1"/>
        <w:widowControl/>
        <w:spacing w:line="360" w:lineRule="auto"/>
        <w:ind w:left="640" w:firstLineChars="0" w:firstLine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（二）人员编制情况</w:t>
      </w:r>
    </w:p>
    <w:p w:rsidR="00665751" w:rsidRDefault="00BD247E">
      <w:pPr>
        <w:pStyle w:val="1"/>
        <w:widowControl/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FB04BE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年本单位年未编制人数104人，在职10</w:t>
      </w:r>
      <w:r w:rsidR="00FB04BE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人，退休</w:t>
      </w:r>
      <w:r w:rsidR="00DE7753">
        <w:rPr>
          <w:rFonts w:ascii="仿宋" w:eastAsia="仿宋" w:hAnsi="仿宋" w:hint="eastAsia"/>
          <w:sz w:val="32"/>
          <w:szCs w:val="32"/>
        </w:rPr>
        <w:t>40</w:t>
      </w:r>
      <w:r>
        <w:rPr>
          <w:rFonts w:ascii="仿宋" w:eastAsia="仿宋" w:hAnsi="仿宋" w:hint="eastAsia"/>
          <w:sz w:val="32"/>
          <w:szCs w:val="32"/>
        </w:rPr>
        <w:t>人。</w:t>
      </w:r>
    </w:p>
    <w:p w:rsidR="00665751" w:rsidRDefault="00BD247E">
      <w:pPr>
        <w:pStyle w:val="1"/>
        <w:widowControl/>
        <w:spacing w:line="360" w:lineRule="auto"/>
        <w:ind w:left="640" w:firstLineChars="0" w:firstLine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eastAsia="黑体" w:hint="eastAsia"/>
          <w:sz w:val="32"/>
          <w:szCs w:val="32"/>
        </w:rPr>
        <w:t>预算支出情况</w:t>
      </w:r>
    </w:p>
    <w:p w:rsidR="00665751" w:rsidRDefault="00BD247E">
      <w:pPr>
        <w:pStyle w:val="1"/>
        <w:widowControl/>
        <w:spacing w:line="360" w:lineRule="auto"/>
        <w:ind w:left="640" w:firstLineChars="0" w:firstLine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</w:t>
      </w:r>
      <w:r>
        <w:rPr>
          <w:rFonts w:eastAsia="楷体_GB2312" w:hint="eastAsia"/>
          <w:sz w:val="32"/>
          <w:szCs w:val="32"/>
        </w:rPr>
        <w:t>部门</w:t>
      </w:r>
      <w:r>
        <w:rPr>
          <w:rFonts w:eastAsia="楷体_GB2312"/>
          <w:sz w:val="32"/>
          <w:szCs w:val="32"/>
        </w:rPr>
        <w:t>预</w:t>
      </w:r>
      <w:r>
        <w:rPr>
          <w:rFonts w:eastAsia="楷体_GB2312" w:hint="eastAsia"/>
          <w:sz w:val="32"/>
          <w:szCs w:val="32"/>
        </w:rPr>
        <w:t>决</w:t>
      </w:r>
      <w:r>
        <w:rPr>
          <w:rFonts w:eastAsia="楷体_GB2312"/>
          <w:sz w:val="32"/>
          <w:szCs w:val="32"/>
        </w:rPr>
        <w:t>算情况</w:t>
      </w:r>
    </w:p>
    <w:p w:rsidR="00665751" w:rsidRDefault="00BD247E">
      <w:pPr>
        <w:pStyle w:val="1"/>
        <w:widowControl/>
        <w:spacing w:line="360" w:lineRule="auto"/>
        <w:ind w:left="640" w:firstLineChars="0" w:firstLine="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1</w:t>
      </w:r>
      <w:r>
        <w:rPr>
          <w:rFonts w:eastAsia="楷体_GB2312" w:hint="eastAsia"/>
          <w:sz w:val="32"/>
          <w:szCs w:val="32"/>
        </w:rPr>
        <w:t>、部门预算情况</w:t>
      </w:r>
    </w:p>
    <w:p w:rsidR="00665751" w:rsidRDefault="00BD247E">
      <w:pPr>
        <w:pStyle w:val="2"/>
        <w:widowControl/>
        <w:spacing w:line="360" w:lineRule="auto"/>
        <w:ind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 w:rsidR="00DE7753"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年年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初部门预算安收入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排1</w:t>
      </w:r>
      <w:r w:rsidR="0042328C">
        <w:rPr>
          <w:rFonts w:ascii="仿宋" w:eastAsia="仿宋" w:hAnsi="仿宋" w:cs="仿宋" w:hint="eastAsia"/>
          <w:color w:val="000000"/>
          <w:sz w:val="32"/>
          <w:szCs w:val="32"/>
        </w:rPr>
        <w:t>736.42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万元，其中，一般公共预算拨款</w:t>
      </w:r>
      <w:r w:rsidR="0042328C">
        <w:rPr>
          <w:rFonts w:ascii="仿宋" w:eastAsia="仿宋" w:hAnsi="仿宋" w:cs="仿宋" w:hint="eastAsia"/>
          <w:color w:val="000000"/>
          <w:sz w:val="32"/>
          <w:szCs w:val="32"/>
        </w:rPr>
        <w:t>1736.42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万元；</w:t>
      </w:r>
      <w:r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202</w:t>
      </w:r>
      <w:r w:rsidR="0042328C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年年初预算安排支出</w:t>
      </w:r>
      <w:r w:rsidR="0042328C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1736.42</w:t>
      </w:r>
      <w:r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万元，其中基本支出</w:t>
      </w:r>
      <w:r w:rsidR="0042328C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1736.42</w:t>
      </w:r>
      <w:r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665751" w:rsidRDefault="00BD247E">
      <w:pPr>
        <w:pStyle w:val="2"/>
        <w:widowControl/>
        <w:numPr>
          <w:ilvl w:val="0"/>
          <w:numId w:val="1"/>
        </w:numPr>
        <w:spacing w:line="360" w:lineRule="auto"/>
        <w:ind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部门决算情况（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含年中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预算追加情况）</w:t>
      </w:r>
    </w:p>
    <w:p w:rsidR="00665751" w:rsidRDefault="00BD247E">
      <w:pPr>
        <w:pStyle w:val="2"/>
        <w:widowControl/>
        <w:spacing w:line="360" w:lineRule="auto"/>
        <w:ind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 w:rsidR="00DE7753"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年决算总收入</w:t>
      </w:r>
      <w:r w:rsidR="0042328C">
        <w:rPr>
          <w:rFonts w:ascii="仿宋" w:eastAsia="仿宋" w:hAnsi="仿宋" w:cs="仿宋" w:hint="eastAsia"/>
          <w:color w:val="000000"/>
          <w:sz w:val="32"/>
          <w:szCs w:val="32"/>
        </w:rPr>
        <w:t>2276.04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万元，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较预算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增加</w:t>
      </w:r>
      <w:r w:rsidR="0042328C">
        <w:rPr>
          <w:rFonts w:ascii="仿宋" w:eastAsia="仿宋" w:hAnsi="仿宋" w:cs="仿宋" w:hint="eastAsia"/>
          <w:color w:val="000000"/>
          <w:sz w:val="32"/>
          <w:szCs w:val="32"/>
        </w:rPr>
        <w:t>539.62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万元，总支出</w:t>
      </w:r>
      <w:r w:rsidR="0042328C">
        <w:rPr>
          <w:rFonts w:ascii="仿宋" w:eastAsia="仿宋" w:hAnsi="仿宋" w:cs="仿宋" w:hint="eastAsia"/>
          <w:color w:val="000000"/>
          <w:sz w:val="32"/>
          <w:szCs w:val="32"/>
        </w:rPr>
        <w:t>2276.04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万元，其中：基本支出</w:t>
      </w:r>
      <w:r w:rsidR="0042328C">
        <w:rPr>
          <w:rFonts w:ascii="仿宋" w:eastAsia="仿宋" w:hAnsi="仿宋" w:cs="仿宋" w:hint="eastAsia"/>
          <w:color w:val="000000"/>
          <w:sz w:val="32"/>
          <w:szCs w:val="32"/>
        </w:rPr>
        <w:t>1705.66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万元，占总支出的</w:t>
      </w:r>
      <w:r w:rsidR="0042328C">
        <w:rPr>
          <w:rFonts w:ascii="仿宋" w:eastAsia="仿宋" w:hAnsi="仿宋" w:cs="仿宋" w:hint="eastAsia"/>
          <w:color w:val="000000"/>
          <w:sz w:val="32"/>
          <w:szCs w:val="32"/>
        </w:rPr>
        <w:t>74.94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%；项目支出</w:t>
      </w:r>
      <w:r w:rsidR="0042328C">
        <w:rPr>
          <w:rFonts w:ascii="仿宋" w:eastAsia="仿宋" w:hAnsi="仿宋" w:cs="仿宋" w:hint="eastAsia"/>
          <w:color w:val="000000"/>
          <w:sz w:val="32"/>
          <w:szCs w:val="32"/>
        </w:rPr>
        <w:t>570.38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万元，占总支出的</w:t>
      </w:r>
      <w:r w:rsidR="0042328C">
        <w:rPr>
          <w:rFonts w:ascii="仿宋" w:eastAsia="仿宋" w:hAnsi="仿宋" w:cs="仿宋" w:hint="eastAsia"/>
          <w:color w:val="000000"/>
          <w:sz w:val="32"/>
          <w:szCs w:val="32"/>
        </w:rPr>
        <w:t>26.06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%。差异产生的主要原因是年中追加全年绩效奖、本级和上级项目经费预算等。</w:t>
      </w:r>
    </w:p>
    <w:p w:rsidR="00665751" w:rsidRDefault="00BD247E">
      <w:pPr>
        <w:pStyle w:val="2"/>
        <w:widowControl/>
        <w:numPr>
          <w:ilvl w:val="0"/>
          <w:numId w:val="2"/>
        </w:numPr>
        <w:spacing w:line="360" w:lineRule="auto"/>
        <w:ind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部门预算执行情况</w:t>
      </w:r>
    </w:p>
    <w:p w:rsidR="00665751" w:rsidRDefault="00BD247E">
      <w:pPr>
        <w:pStyle w:val="2"/>
        <w:widowControl/>
        <w:spacing w:line="360" w:lineRule="auto"/>
        <w:ind w:firstLineChars="0" w:firstLine="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1、“三公”经费执行情况</w:t>
      </w:r>
    </w:p>
    <w:p w:rsidR="00665751" w:rsidRDefault="00BD247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202</w:t>
      </w:r>
      <w:r w:rsidR="00DE58AC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年“三公”</w:t>
      </w:r>
      <w:r>
        <w:rPr>
          <w:rFonts w:ascii="仿宋" w:eastAsia="仿宋" w:hAnsi="仿宋"/>
          <w:sz w:val="32"/>
          <w:szCs w:val="32"/>
        </w:rPr>
        <w:t>经费预算为</w:t>
      </w:r>
      <w:r w:rsidR="00DE58AC">
        <w:rPr>
          <w:rFonts w:ascii="仿宋" w:eastAsia="仿宋" w:hAnsi="仿宋" w:hint="eastAsia"/>
          <w:sz w:val="32"/>
          <w:szCs w:val="32"/>
        </w:rPr>
        <w:t>10.31</w:t>
      </w:r>
      <w:r>
        <w:rPr>
          <w:rFonts w:ascii="仿宋" w:eastAsia="仿宋" w:hAnsi="仿宋"/>
          <w:sz w:val="32"/>
          <w:szCs w:val="32"/>
        </w:rPr>
        <w:t>万元，</w:t>
      </w:r>
      <w:r>
        <w:rPr>
          <w:rFonts w:ascii="仿宋" w:eastAsia="仿宋" w:hAnsi="仿宋" w:hint="eastAsia"/>
          <w:sz w:val="32"/>
          <w:szCs w:val="32"/>
        </w:rPr>
        <w:t>其中：因公出国（境）费0万元，</w:t>
      </w:r>
      <w:r>
        <w:rPr>
          <w:rFonts w:ascii="仿宋" w:eastAsia="仿宋" w:hAnsi="仿宋"/>
          <w:sz w:val="32"/>
          <w:szCs w:val="32"/>
        </w:rPr>
        <w:t>公务用车购置费及运行维护费</w:t>
      </w:r>
      <w:r w:rsidR="00DE58AC">
        <w:rPr>
          <w:rFonts w:ascii="仿宋" w:eastAsia="仿宋" w:hAnsi="仿宋" w:hint="eastAsia"/>
          <w:sz w:val="32"/>
          <w:szCs w:val="32"/>
        </w:rPr>
        <w:t>5.31</w:t>
      </w:r>
      <w:r>
        <w:rPr>
          <w:rFonts w:ascii="仿宋" w:eastAsia="仿宋" w:hAnsi="仿宋"/>
          <w:sz w:val="32"/>
          <w:szCs w:val="32"/>
        </w:rPr>
        <w:t>万元，公务接待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。“三公”经费决算数</w:t>
      </w:r>
      <w:r w:rsidR="00380AC6">
        <w:rPr>
          <w:rFonts w:ascii="仿宋" w:eastAsia="仿宋" w:hAnsi="仿宋" w:hint="eastAsia"/>
          <w:sz w:val="32"/>
          <w:szCs w:val="32"/>
        </w:rPr>
        <w:t>7.68</w:t>
      </w:r>
      <w:r>
        <w:rPr>
          <w:rFonts w:ascii="仿宋" w:eastAsia="仿宋" w:hAnsi="仿宋" w:hint="eastAsia"/>
          <w:sz w:val="32"/>
          <w:szCs w:val="32"/>
        </w:rPr>
        <w:t>万元，其中：因公出国（境）费0万元，</w:t>
      </w:r>
      <w:r>
        <w:rPr>
          <w:rFonts w:ascii="仿宋" w:eastAsia="仿宋" w:hAnsi="仿宋"/>
          <w:sz w:val="32"/>
          <w:szCs w:val="32"/>
        </w:rPr>
        <w:t>公务用车购置费及运行维护费</w:t>
      </w:r>
      <w:r>
        <w:rPr>
          <w:rFonts w:ascii="仿宋" w:eastAsia="仿宋" w:hAnsi="仿宋" w:hint="eastAsia"/>
          <w:sz w:val="32"/>
          <w:szCs w:val="32"/>
        </w:rPr>
        <w:t>5.</w:t>
      </w:r>
      <w:r w:rsidR="00380AC6">
        <w:rPr>
          <w:rFonts w:ascii="仿宋" w:eastAsia="仿宋" w:hAnsi="仿宋" w:hint="eastAsia"/>
          <w:sz w:val="32"/>
          <w:szCs w:val="32"/>
        </w:rPr>
        <w:t>31</w:t>
      </w:r>
      <w:r>
        <w:rPr>
          <w:rFonts w:ascii="仿宋" w:eastAsia="仿宋" w:hAnsi="仿宋"/>
          <w:sz w:val="32"/>
          <w:szCs w:val="32"/>
        </w:rPr>
        <w:t>万元，公务接待</w:t>
      </w:r>
      <w:r w:rsidR="00380AC6">
        <w:rPr>
          <w:rFonts w:ascii="仿宋" w:eastAsia="仿宋" w:hAnsi="仿宋" w:hint="eastAsia"/>
          <w:sz w:val="32"/>
          <w:szCs w:val="32"/>
        </w:rPr>
        <w:t>2.37</w:t>
      </w:r>
      <w:r>
        <w:rPr>
          <w:rFonts w:ascii="仿宋" w:eastAsia="仿宋" w:hAnsi="仿宋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65751" w:rsidRDefault="00BD247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2、政府采购执行情况</w:t>
      </w:r>
    </w:p>
    <w:p w:rsidR="00665751" w:rsidRDefault="00BD247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380AC6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年度政府采购支出150万元，其中货物45万元，工程30万元，服务75万元。</w:t>
      </w:r>
    </w:p>
    <w:p w:rsidR="00665751" w:rsidRDefault="00BD247E">
      <w:pPr>
        <w:numPr>
          <w:ilvl w:val="0"/>
          <w:numId w:val="1"/>
        </w:num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资产管理情况</w:t>
      </w:r>
    </w:p>
    <w:p w:rsidR="00665751" w:rsidRDefault="00BD247E" w:rsidP="004327E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380AC6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年年</w:t>
      </w:r>
      <w:proofErr w:type="gramStart"/>
      <w:r>
        <w:rPr>
          <w:rFonts w:ascii="仿宋" w:eastAsia="仿宋" w:hAnsi="仿宋" w:hint="eastAsia"/>
          <w:sz w:val="32"/>
          <w:szCs w:val="32"/>
        </w:rPr>
        <w:t>末资产</w:t>
      </w:r>
      <w:proofErr w:type="gramEnd"/>
      <w:r>
        <w:rPr>
          <w:rFonts w:ascii="仿宋" w:eastAsia="仿宋" w:hAnsi="仿宋" w:hint="eastAsia"/>
          <w:sz w:val="32"/>
          <w:szCs w:val="32"/>
        </w:rPr>
        <w:t>总额</w:t>
      </w:r>
      <w:r w:rsidR="00380AC6">
        <w:rPr>
          <w:rFonts w:ascii="仿宋" w:eastAsia="仿宋" w:hAnsi="仿宋" w:hint="eastAsia"/>
          <w:sz w:val="32"/>
          <w:szCs w:val="32"/>
        </w:rPr>
        <w:t>1594.31</w:t>
      </w:r>
      <w:r>
        <w:rPr>
          <w:rFonts w:ascii="仿宋" w:eastAsia="仿宋" w:hAnsi="仿宋" w:hint="eastAsia"/>
          <w:sz w:val="32"/>
          <w:szCs w:val="32"/>
        </w:rPr>
        <w:t>万元，负债总额</w:t>
      </w:r>
      <w:r w:rsidR="00380AC6">
        <w:rPr>
          <w:rFonts w:ascii="仿宋" w:eastAsia="仿宋" w:hAnsi="仿宋" w:hint="eastAsia"/>
          <w:sz w:val="32"/>
          <w:szCs w:val="32"/>
        </w:rPr>
        <w:t>14.97</w:t>
      </w:r>
      <w:r>
        <w:rPr>
          <w:rFonts w:ascii="仿宋" w:eastAsia="仿宋" w:hAnsi="仿宋" w:hint="eastAsia"/>
          <w:sz w:val="32"/>
          <w:szCs w:val="32"/>
        </w:rPr>
        <w:t>万元，净资产</w:t>
      </w:r>
      <w:r w:rsidR="00380AC6">
        <w:rPr>
          <w:rFonts w:ascii="仿宋" w:eastAsia="仿宋" w:hAnsi="仿宋" w:hint="eastAsia"/>
          <w:sz w:val="32"/>
          <w:szCs w:val="32"/>
        </w:rPr>
        <w:t>1579.35</w:t>
      </w:r>
      <w:r>
        <w:rPr>
          <w:rFonts w:ascii="仿宋" w:eastAsia="仿宋" w:hAnsi="仿宋" w:hint="eastAsia"/>
          <w:sz w:val="32"/>
          <w:szCs w:val="32"/>
        </w:rPr>
        <w:t>万元。截至202</w:t>
      </w:r>
      <w:r w:rsidR="00380AC6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年12月31日，固定资产账面原值</w:t>
      </w:r>
      <w:r w:rsidR="00380AC6">
        <w:rPr>
          <w:rFonts w:ascii="仿宋" w:eastAsia="仿宋" w:hAnsi="仿宋" w:hint="eastAsia"/>
          <w:sz w:val="32"/>
          <w:szCs w:val="32"/>
        </w:rPr>
        <w:t>1914.62</w:t>
      </w:r>
      <w:r>
        <w:rPr>
          <w:rFonts w:ascii="仿宋" w:eastAsia="仿宋" w:hAnsi="仿宋" w:hint="eastAsia"/>
          <w:sz w:val="32"/>
          <w:szCs w:val="32"/>
        </w:rPr>
        <w:t>万元，在用资产</w:t>
      </w:r>
      <w:r w:rsidR="00380AC6">
        <w:rPr>
          <w:rFonts w:ascii="仿宋" w:eastAsia="仿宋" w:hAnsi="仿宋" w:hint="eastAsia"/>
          <w:sz w:val="32"/>
          <w:szCs w:val="32"/>
        </w:rPr>
        <w:t>1914.62</w:t>
      </w:r>
      <w:r>
        <w:rPr>
          <w:rFonts w:ascii="仿宋" w:eastAsia="仿宋" w:hAnsi="仿宋" w:hint="eastAsia"/>
          <w:sz w:val="32"/>
          <w:szCs w:val="32"/>
        </w:rPr>
        <w:t>万元，资产使用率100%。</w:t>
      </w:r>
    </w:p>
    <w:p w:rsidR="00665751" w:rsidRDefault="00BD247E">
      <w:pPr>
        <w:spacing w:line="360" w:lineRule="auto"/>
        <w:ind w:firstLine="645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</w:t>
      </w:r>
      <w:r>
        <w:rPr>
          <w:rFonts w:ascii="Times New Roman" w:eastAsia="黑体" w:hAnsi="Times New Roman"/>
          <w:sz w:val="32"/>
          <w:szCs w:val="32"/>
        </w:rPr>
        <w:t>部门整体支出绩效情况</w:t>
      </w:r>
    </w:p>
    <w:p w:rsidR="00665751" w:rsidRDefault="00BD247E">
      <w:pPr>
        <w:spacing w:line="360" w:lineRule="auto"/>
        <w:ind w:firstLine="645"/>
        <w:rPr>
          <w:rFonts w:ascii="Times New Roman" w:eastAsia="楷体_GB2312" w:hAnsi="Times New Roman"/>
          <w:bCs/>
          <w:sz w:val="32"/>
          <w:szCs w:val="32"/>
        </w:rPr>
      </w:pPr>
      <w:r>
        <w:rPr>
          <w:rFonts w:ascii="Times New Roman" w:eastAsia="楷体_GB2312" w:hAnsi="Times New Roman"/>
          <w:bCs/>
          <w:sz w:val="32"/>
          <w:szCs w:val="32"/>
        </w:rPr>
        <w:t>（一）综合评价结论</w:t>
      </w:r>
    </w:p>
    <w:p w:rsidR="00665751" w:rsidRDefault="00BD247E">
      <w:pPr>
        <w:spacing w:line="360" w:lineRule="auto"/>
        <w:ind w:firstLine="645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综合评价总分为9</w:t>
      </w:r>
      <w:r w:rsidR="004327E3">
        <w:rPr>
          <w:rFonts w:ascii="仿宋" w:eastAsia="仿宋" w:hAnsi="仿宋" w:hint="eastAsia"/>
          <w:sz w:val="32"/>
          <w:szCs w:val="32"/>
        </w:rPr>
        <w:t>8.99</w:t>
      </w:r>
      <w:r>
        <w:rPr>
          <w:rFonts w:ascii="仿宋" w:eastAsia="仿宋" w:hAnsi="仿宋" w:hint="eastAsia"/>
          <w:sz w:val="32"/>
          <w:szCs w:val="32"/>
        </w:rPr>
        <w:t>分，等级为优秀</w:t>
      </w:r>
      <w:r>
        <w:rPr>
          <w:rFonts w:ascii="仿宋" w:eastAsia="仿宋" w:hAnsi="仿宋"/>
          <w:color w:val="000000"/>
          <w:sz w:val="32"/>
          <w:szCs w:val="32"/>
        </w:rPr>
        <w:t>。</w:t>
      </w:r>
    </w:p>
    <w:p w:rsidR="00665751" w:rsidRDefault="00BD247E">
      <w:pPr>
        <w:spacing w:line="360" w:lineRule="auto"/>
        <w:ind w:firstLine="645"/>
        <w:rPr>
          <w:rFonts w:ascii="Times New Roman" w:eastAsia="楷体_GB2312" w:hAnsi="Times New Roman"/>
          <w:bCs/>
          <w:sz w:val="32"/>
          <w:szCs w:val="32"/>
        </w:rPr>
      </w:pPr>
      <w:r>
        <w:rPr>
          <w:rFonts w:ascii="Times New Roman" w:eastAsia="楷体_GB2312" w:hAnsi="Times New Roman"/>
          <w:bCs/>
          <w:sz w:val="32"/>
          <w:szCs w:val="32"/>
        </w:rPr>
        <w:t>（二）综合评价情况</w:t>
      </w:r>
    </w:p>
    <w:p w:rsidR="00665751" w:rsidRDefault="00BD247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D835A1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年，我局在县委、县政府的领导和市司法局的精心指导下，积极履行司法行政职能，充分发挥司法行政在</w:t>
      </w:r>
      <w:r>
        <w:rPr>
          <w:rFonts w:ascii="仿宋" w:eastAsia="仿宋" w:hAnsi="仿宋" w:hint="eastAsia"/>
          <w:sz w:val="32"/>
          <w:szCs w:val="32"/>
        </w:rPr>
        <w:lastRenderedPageBreak/>
        <w:t>维护社会和谐稳定、服务经济社会发展和保障改善民生、推进全面依法治县中的职能作用，积极作为，真抓实干，奋力开拓，各项工作不断取得新的进展和成效。主要绩效如下：</w:t>
      </w:r>
    </w:p>
    <w:p w:rsidR="00665751" w:rsidRDefault="00BD247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1、预算配置合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。严格控编，全年单位在职人数与编办核定编制数一致（与百菲特人事薪资网络管理信息系统一致）；严格“三公”经费审批支出，公务接待支出要求凭公函接待。</w:t>
      </w:r>
    </w:p>
    <w:p w:rsidR="00665751" w:rsidRDefault="00BD247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2、预算执行严格。我局严格执行国家财经法规和有关专项资金管理办法的规定，成立了预算绩效管理工作领导小组，建立了绩效管理制度、绩效评价监控制度等一系列管理制度，财务管理制度、</w:t>
      </w:r>
      <w:proofErr w:type="gramStart"/>
      <w:r>
        <w:rPr>
          <w:rFonts w:ascii="仿宋" w:eastAsia="仿宋" w:hAnsi="仿宋" w:hint="eastAsia"/>
          <w:sz w:val="32"/>
          <w:szCs w:val="32"/>
        </w:rPr>
        <w:t>励行</w:t>
      </w:r>
      <w:proofErr w:type="gramEnd"/>
      <w:r>
        <w:rPr>
          <w:rFonts w:ascii="仿宋" w:eastAsia="仿宋" w:hAnsi="仿宋" w:hint="eastAsia"/>
          <w:sz w:val="32"/>
          <w:szCs w:val="32"/>
        </w:rPr>
        <w:t>节约等内部管理制度健全，内部控制制度健全完整并执行良好，在本年度内未出现廉政风险。按时完成预算绩效目标申报、预算绩效评价报告工作，预算编制准确，部门整体绩效目标编制完整、合理，严格执行“三公”经费预算，没有产生债务。资金的拨付有完整的审批过程和手续，支出符合部门预算批复的用途，资金使用无截留、挤占、挪用、虚列支出等情况。年度预、决算财政信息按要求在县</w:t>
      </w:r>
      <w:proofErr w:type="gramStart"/>
      <w:r>
        <w:rPr>
          <w:rFonts w:ascii="仿宋" w:eastAsia="仿宋" w:hAnsi="仿宋" w:hint="eastAsia"/>
          <w:sz w:val="32"/>
          <w:szCs w:val="32"/>
        </w:rPr>
        <w:t>党政民户网</w:t>
      </w:r>
      <w:proofErr w:type="gramEnd"/>
      <w:r>
        <w:rPr>
          <w:rFonts w:ascii="仿宋" w:eastAsia="仿宋" w:hAnsi="仿宋" w:hint="eastAsia"/>
          <w:sz w:val="32"/>
          <w:szCs w:val="32"/>
        </w:rPr>
        <w:t>公开，基础数据信息和会计信息资料真实、完整，按要求及时、准确、全面开展和上报资产清查工作。</w:t>
      </w:r>
    </w:p>
    <w:p w:rsidR="00665751" w:rsidRDefault="00BD247E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、预算资金使用效益良好。我局严格坚持中央八项规定，以改进机关作风、规范行政行为为抓手，切实改进文风会风，加强经费及资产管理，努力提高司法行政效能，充分发挥公共法律服务中心便民功效，降低行政成本效果较好。认真查找突出问题，积极制定整改措施，建立健全制度，全面提升司法行政队伍法治能力和服务水平，取得了良好的社会效益，社会公众和服务对象满意率不断提升，努力为建设富裕美丽和谐的新蒸阳营造良好的法治环境。</w:t>
      </w:r>
    </w:p>
    <w:p w:rsidR="008F1056" w:rsidRDefault="00BD247E" w:rsidP="008F1056">
      <w:pPr>
        <w:spacing w:line="360" w:lineRule="auto"/>
        <w:ind w:firstLineChars="200" w:firstLine="640"/>
        <w:rPr>
          <w:rFonts w:ascii="Times New Roman" w:eastAsia="黑体" w:hAnsi="Times New Roman" w:cs="Times New Roman"/>
          <w:kern w:val="2"/>
          <w:sz w:val="32"/>
          <w:szCs w:val="32"/>
        </w:rPr>
      </w:pPr>
      <w:r w:rsidRPr="004327E3">
        <w:rPr>
          <w:rFonts w:ascii="Times New Roman" w:eastAsia="黑体" w:hAnsi="Times New Roman" w:cs="Times New Roman" w:hint="eastAsia"/>
          <w:kern w:val="2"/>
          <w:sz w:val="32"/>
          <w:szCs w:val="32"/>
        </w:rPr>
        <w:t>四、项目绩效目标完成情况</w:t>
      </w:r>
    </w:p>
    <w:p w:rsidR="008F1056" w:rsidRDefault="008F1056" w:rsidP="008F105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F1056">
        <w:rPr>
          <w:rFonts w:ascii="仿宋" w:eastAsia="仿宋" w:hAnsi="仿宋" w:hint="eastAsia"/>
          <w:sz w:val="32"/>
          <w:szCs w:val="32"/>
        </w:rPr>
        <w:t>湘财预【2023】353号：2024年司法行政系统中央和省级政法转移支付资金</w:t>
      </w:r>
      <w:r>
        <w:rPr>
          <w:rFonts w:ascii="仿宋" w:eastAsia="仿宋" w:hAnsi="仿宋" w:hint="eastAsia"/>
          <w:sz w:val="32"/>
          <w:szCs w:val="32"/>
        </w:rPr>
        <w:t>331万元，</w:t>
      </w:r>
      <w:r w:rsidRPr="008F1056">
        <w:rPr>
          <w:rFonts w:ascii="仿宋" w:eastAsia="仿宋" w:hAnsi="仿宋" w:hint="eastAsia"/>
          <w:sz w:val="32"/>
          <w:szCs w:val="32"/>
        </w:rPr>
        <w:t>其中：业务（办案）经费159万元，业务装备经费63万元，法律援助办案补助经费37万元，规范化司法所创建项目经费50万，社区矫正经费7万元，人民调解案件“以奖代补”经费15万元。上年无结转资金。</w:t>
      </w:r>
    </w:p>
    <w:p w:rsidR="008F1056" w:rsidRPr="0027264A" w:rsidRDefault="008F1056" w:rsidP="008F1056">
      <w:pPr>
        <w:widowControl w:val="0"/>
        <w:adjustRightInd/>
        <w:snapToGrid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7264A">
        <w:rPr>
          <w:rFonts w:ascii="仿宋" w:eastAsia="仿宋" w:hAnsi="仿宋" w:hint="eastAsia"/>
          <w:sz w:val="32"/>
          <w:szCs w:val="32"/>
        </w:rPr>
        <w:t>2024年度法律援助受理案件数指标值310件，全年实际完成值439件，完成指标值；2024年度法律援助案件办结率指标值90%件，全年实际完成值90%，完成指标值。</w:t>
      </w:r>
    </w:p>
    <w:p w:rsidR="008F1056" w:rsidRDefault="008F1056" w:rsidP="008F1056">
      <w:pPr>
        <w:widowControl w:val="0"/>
        <w:adjustRightInd/>
        <w:snapToGrid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7264A">
        <w:rPr>
          <w:rFonts w:ascii="仿宋" w:eastAsia="仿宋" w:hAnsi="仿宋" w:hint="eastAsia"/>
          <w:sz w:val="32"/>
          <w:szCs w:val="32"/>
        </w:rPr>
        <w:t>2024年度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人民调解受理案件数指标值</w:t>
      </w:r>
      <w:r>
        <w:rPr>
          <w:rFonts w:ascii="仿宋_GB2312" w:eastAsia="仿宋_GB2312" w:hAnsi="仿宋_GB2312" w:cs="仿宋_GB2312" w:hint="eastAsia"/>
          <w:sz w:val="32"/>
          <w:szCs w:val="32"/>
        </w:rPr>
        <w:t>5000件，全年实际完成值6074件，完成指标值；2024年度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人民调解案件办结率指标值</w:t>
      </w:r>
      <w:r>
        <w:rPr>
          <w:rFonts w:ascii="仿宋_GB2312" w:eastAsia="仿宋_GB2312" w:hAnsi="仿宋_GB2312" w:cs="仿宋_GB2312" w:hint="eastAsia"/>
          <w:sz w:val="32"/>
          <w:szCs w:val="32"/>
        </w:rPr>
        <w:t>98%件，全年实际完成值98%，完成指标值。</w:t>
      </w:r>
    </w:p>
    <w:p w:rsidR="008F1056" w:rsidRDefault="008F1056" w:rsidP="008F1056">
      <w:pPr>
        <w:widowControl w:val="0"/>
        <w:adjustRightInd/>
        <w:snapToGrid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2024年度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社区矫正受理案件数指标值</w:t>
      </w:r>
      <w:r>
        <w:rPr>
          <w:rFonts w:ascii="仿宋_GB2312" w:eastAsia="仿宋_GB2312" w:hAnsi="仿宋_GB2312" w:cs="仿宋_GB2312" w:hint="eastAsia"/>
          <w:sz w:val="32"/>
          <w:szCs w:val="32"/>
        </w:rPr>
        <w:t>300件，全年实际完成值357件，完成指标值；2024年度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社区矫正案件办结率指标值</w:t>
      </w:r>
      <w:r>
        <w:rPr>
          <w:rFonts w:ascii="仿宋_GB2312" w:eastAsia="仿宋_GB2312" w:hAnsi="仿宋_GB2312" w:cs="仿宋_GB2312" w:hint="eastAsia"/>
          <w:sz w:val="32"/>
          <w:szCs w:val="32"/>
        </w:rPr>
        <w:t>100%件，全年实际完成值100%，完成指标值。</w:t>
      </w:r>
    </w:p>
    <w:p w:rsidR="008F1056" w:rsidRDefault="008F1056" w:rsidP="008F1056">
      <w:pPr>
        <w:widowControl w:val="0"/>
        <w:adjustRightInd/>
        <w:snapToGrid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2024年度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安置帮教受理案件数指标值</w:t>
      </w:r>
      <w:r>
        <w:rPr>
          <w:rFonts w:ascii="仿宋_GB2312" w:eastAsia="仿宋_GB2312" w:hAnsi="仿宋_GB2312" w:cs="仿宋_GB2312" w:hint="eastAsia"/>
          <w:sz w:val="32"/>
          <w:szCs w:val="32"/>
        </w:rPr>
        <w:t>600件，全年实际完成值924件，完成指标值；2024年度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安置帮教案件办结率指标值</w:t>
      </w:r>
      <w:r>
        <w:rPr>
          <w:rFonts w:ascii="仿宋_GB2312" w:eastAsia="仿宋_GB2312" w:hAnsi="仿宋_GB2312" w:cs="仿宋_GB2312" w:hint="eastAsia"/>
          <w:sz w:val="32"/>
          <w:szCs w:val="32"/>
        </w:rPr>
        <w:t>100%件，全年实际完成值100%，完成指标值。</w:t>
      </w:r>
    </w:p>
    <w:p w:rsidR="008F1056" w:rsidRDefault="008F1056" w:rsidP="008F1056">
      <w:pPr>
        <w:widowControl w:val="0"/>
        <w:adjustRightInd/>
        <w:snapToGrid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2024年度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为人民群众提供有效的公共法律服务指标值</w:t>
      </w:r>
      <w:r>
        <w:rPr>
          <w:rFonts w:ascii="仿宋_GB2312" w:eastAsia="仿宋_GB2312" w:hAnsi="仿宋_GB2312" w:cs="仿宋_GB2312" w:hint="eastAsia"/>
          <w:sz w:val="32"/>
          <w:szCs w:val="32"/>
        </w:rPr>
        <w:t>98%，全年实际完成值98%，完成指标值。</w:t>
      </w:r>
    </w:p>
    <w:p w:rsidR="008F1056" w:rsidRDefault="008F1056" w:rsidP="008F1056">
      <w:pPr>
        <w:widowControl w:val="0"/>
        <w:adjustRightInd/>
        <w:snapToGrid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2024年度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对基层司法行政机关办案经费保障力度持续加强，指标值</w:t>
      </w:r>
      <w:r>
        <w:rPr>
          <w:rFonts w:ascii="仿宋_GB2312" w:eastAsia="仿宋_GB2312" w:hAnsi="仿宋_GB2312" w:cs="仿宋_GB2312" w:hint="eastAsia"/>
          <w:sz w:val="32"/>
          <w:szCs w:val="32"/>
        </w:rPr>
        <w:t>98%，全年实际完成值98%，完成指标值。</w:t>
      </w:r>
    </w:p>
    <w:p w:rsidR="008F1056" w:rsidRDefault="008F1056" w:rsidP="008F1056">
      <w:pPr>
        <w:widowControl w:val="0"/>
        <w:adjustRightInd/>
        <w:snapToGrid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2024年度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对基层司法行政机关业务装备经费保障力度持续加强，指标值</w:t>
      </w:r>
      <w:r>
        <w:rPr>
          <w:rFonts w:ascii="仿宋_GB2312" w:eastAsia="仿宋_GB2312" w:hAnsi="仿宋_GB2312" w:cs="仿宋_GB2312" w:hint="eastAsia"/>
          <w:sz w:val="32"/>
          <w:szCs w:val="32"/>
        </w:rPr>
        <w:t>98%，全年实际完成值98%，完成指标值。</w:t>
      </w:r>
    </w:p>
    <w:p w:rsidR="008F1056" w:rsidRPr="008F1056" w:rsidRDefault="008F1056" w:rsidP="008F105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2024年度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基层司法行政机关满意度，指标值</w:t>
      </w:r>
      <w:r>
        <w:rPr>
          <w:rFonts w:ascii="仿宋_GB2312" w:eastAsia="仿宋_GB2312" w:hAnsi="仿宋_GB2312" w:cs="仿宋_GB2312" w:hint="eastAsia"/>
          <w:sz w:val="32"/>
          <w:szCs w:val="32"/>
        </w:rPr>
        <w:t>98%，全年实际完成值98%，完成指标值。</w:t>
      </w:r>
    </w:p>
    <w:p w:rsidR="00665751" w:rsidRDefault="00BD247E">
      <w:pPr>
        <w:pStyle w:val="1"/>
        <w:widowControl/>
        <w:spacing w:line="360" w:lineRule="auto"/>
        <w:ind w:left="640" w:firstLineChars="0" w:firstLine="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、存在的问题及原因分析</w:t>
      </w:r>
      <w:r>
        <w:rPr>
          <w:rFonts w:eastAsia="黑体" w:hint="eastAsia"/>
          <w:sz w:val="32"/>
          <w:szCs w:val="32"/>
        </w:rPr>
        <w:t>及改进措施</w:t>
      </w:r>
    </w:p>
    <w:p w:rsidR="00665751" w:rsidRDefault="00BD247E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1、绩效评价管理制度尚不健全。是由于预算绩效管理工作开展时间短，涉及面广，专业性强，单位对预算绩效管理理解不充分，对预算绩效管理业务不精通，在一定程度上影响了绩效评价工作质量。</w:t>
      </w:r>
    </w:p>
    <w:p w:rsidR="00665751" w:rsidRPr="004327E3" w:rsidRDefault="00BD247E" w:rsidP="004327E3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2、绩效评价指标体系不完善。是由于财政支出的评价对象涉及行业多，项目之间差异性大，真正能体现项目效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果的个性指标，在标准设计上存在难度，导致评价内容不够全面，评价数据采集缺少充分的调查分析和严密的逻辑关系，难以满足不同层面和不同性质的绩效评价需求。</w:t>
      </w:r>
    </w:p>
    <w:p w:rsidR="00665751" w:rsidRDefault="004327E3">
      <w:pPr>
        <w:spacing w:line="360" w:lineRule="auto"/>
        <w:ind w:firstLine="645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六</w:t>
      </w:r>
      <w:r w:rsidR="00BD247E">
        <w:rPr>
          <w:rFonts w:ascii="Times New Roman" w:eastAsia="黑体" w:hAnsi="Times New Roman"/>
          <w:sz w:val="32"/>
          <w:szCs w:val="32"/>
        </w:rPr>
        <w:t>、其他需要说明的情况</w:t>
      </w:r>
    </w:p>
    <w:p w:rsidR="00665751" w:rsidRDefault="00BD247E">
      <w:pPr>
        <w:spacing w:line="360" w:lineRule="auto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无</w:t>
      </w:r>
    </w:p>
    <w:p w:rsidR="00665751" w:rsidRDefault="00665751">
      <w:pPr>
        <w:spacing w:line="360" w:lineRule="auto"/>
        <w:ind w:firstLine="645"/>
        <w:rPr>
          <w:rFonts w:ascii="Times New Roman" w:eastAsia="仿宋_GB2312" w:hAnsi="Times New Roman"/>
          <w:sz w:val="32"/>
          <w:szCs w:val="32"/>
        </w:rPr>
      </w:pPr>
    </w:p>
    <w:p w:rsidR="00665751" w:rsidRDefault="00BD247E">
      <w:pPr>
        <w:spacing w:line="360" w:lineRule="auto"/>
        <w:ind w:right="320" w:firstLine="645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衡阳县司法局</w:t>
      </w:r>
    </w:p>
    <w:p w:rsidR="00665751" w:rsidRDefault="00BD247E">
      <w:pPr>
        <w:spacing w:line="360" w:lineRule="auto"/>
        <w:ind w:firstLine="645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D835A1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 w:rsidR="00D835A1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D835A1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665751" w:rsidRDefault="00665751">
      <w:pPr>
        <w:spacing w:line="360" w:lineRule="auto"/>
        <w:ind w:firstLine="645"/>
        <w:rPr>
          <w:rFonts w:ascii="Times New Roman" w:eastAsia="仿宋_GB2312" w:hAnsi="Times New Roman"/>
          <w:sz w:val="32"/>
          <w:szCs w:val="32"/>
        </w:rPr>
      </w:pPr>
    </w:p>
    <w:p w:rsidR="00665751" w:rsidRDefault="00665751">
      <w:pPr>
        <w:spacing w:line="360" w:lineRule="auto"/>
        <w:ind w:firstLine="645"/>
        <w:rPr>
          <w:rFonts w:ascii="Times New Roman" w:eastAsia="仿宋_GB2312" w:hAnsi="Times New Roman"/>
          <w:sz w:val="32"/>
          <w:szCs w:val="32"/>
        </w:rPr>
      </w:pPr>
    </w:p>
    <w:p w:rsidR="00665751" w:rsidRDefault="00665751">
      <w:pPr>
        <w:spacing w:line="320" w:lineRule="exact"/>
        <w:rPr>
          <w:rFonts w:asciiTheme="minorEastAsia" w:eastAsiaTheme="minorEastAsia" w:hAnsiTheme="minorEastAsia"/>
          <w:sz w:val="21"/>
          <w:szCs w:val="21"/>
        </w:rPr>
      </w:pPr>
    </w:p>
    <w:sectPr w:rsidR="00665751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AD0" w:rsidRDefault="00E12AD0">
      <w:pPr>
        <w:spacing w:after="0"/>
      </w:pPr>
      <w:r>
        <w:separator/>
      </w:r>
    </w:p>
  </w:endnote>
  <w:endnote w:type="continuationSeparator" w:id="0">
    <w:p w:rsidR="00E12AD0" w:rsidRDefault="00E12A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AD0" w:rsidRDefault="00E12AD0">
      <w:pPr>
        <w:spacing w:after="0"/>
      </w:pPr>
      <w:r>
        <w:separator/>
      </w:r>
    </w:p>
  </w:footnote>
  <w:footnote w:type="continuationSeparator" w:id="0">
    <w:p w:rsidR="00E12AD0" w:rsidRDefault="00E12A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751" w:rsidRDefault="00665751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4AEC9"/>
    <w:multiLevelType w:val="singleLevel"/>
    <w:tmpl w:val="38C4AEC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F2CEC05"/>
    <w:multiLevelType w:val="singleLevel"/>
    <w:tmpl w:val="4F2CEC05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ommondata" w:val="eyJoZGlkIjoiNzk4N2Y1NGVjZWMxNzYzNDI1MzBmMmVkMzc5OTNkMGMifQ=="/>
  </w:docVars>
  <w:rsids>
    <w:rsidRoot w:val="00D31D50"/>
    <w:rsid w:val="000504C4"/>
    <w:rsid w:val="000C7708"/>
    <w:rsid w:val="000E0CDE"/>
    <w:rsid w:val="001B75DA"/>
    <w:rsid w:val="001C43F9"/>
    <w:rsid w:val="00214E90"/>
    <w:rsid w:val="002459FE"/>
    <w:rsid w:val="0027264A"/>
    <w:rsid w:val="002F2146"/>
    <w:rsid w:val="003136C3"/>
    <w:rsid w:val="00323B43"/>
    <w:rsid w:val="00325B26"/>
    <w:rsid w:val="00380AC6"/>
    <w:rsid w:val="003C2C77"/>
    <w:rsid w:val="003D37D8"/>
    <w:rsid w:val="00411F14"/>
    <w:rsid w:val="0042328C"/>
    <w:rsid w:val="00426133"/>
    <w:rsid w:val="004327E3"/>
    <w:rsid w:val="004358AB"/>
    <w:rsid w:val="00462A4A"/>
    <w:rsid w:val="005071DB"/>
    <w:rsid w:val="00597D0F"/>
    <w:rsid w:val="005B4DDF"/>
    <w:rsid w:val="005F0648"/>
    <w:rsid w:val="00640AE4"/>
    <w:rsid w:val="00665751"/>
    <w:rsid w:val="0069516B"/>
    <w:rsid w:val="006D68A2"/>
    <w:rsid w:val="00705719"/>
    <w:rsid w:val="00706BE4"/>
    <w:rsid w:val="00724239"/>
    <w:rsid w:val="00757AC6"/>
    <w:rsid w:val="00783B37"/>
    <w:rsid w:val="007B070B"/>
    <w:rsid w:val="008B7726"/>
    <w:rsid w:val="008E036B"/>
    <w:rsid w:val="008F1056"/>
    <w:rsid w:val="0095059E"/>
    <w:rsid w:val="0099405D"/>
    <w:rsid w:val="009E1AAB"/>
    <w:rsid w:val="00A04480"/>
    <w:rsid w:val="00A56E5C"/>
    <w:rsid w:val="00A70A75"/>
    <w:rsid w:val="00AB6CB2"/>
    <w:rsid w:val="00AD3B56"/>
    <w:rsid w:val="00B224ED"/>
    <w:rsid w:val="00B70283"/>
    <w:rsid w:val="00BD247E"/>
    <w:rsid w:val="00CB1F0A"/>
    <w:rsid w:val="00CB6CC1"/>
    <w:rsid w:val="00D31D50"/>
    <w:rsid w:val="00D835A1"/>
    <w:rsid w:val="00D86F41"/>
    <w:rsid w:val="00D96B56"/>
    <w:rsid w:val="00DE58AC"/>
    <w:rsid w:val="00DE7753"/>
    <w:rsid w:val="00DF7C8E"/>
    <w:rsid w:val="00E12AD0"/>
    <w:rsid w:val="00E24818"/>
    <w:rsid w:val="00E35F1C"/>
    <w:rsid w:val="00E65DDE"/>
    <w:rsid w:val="00EA0C7A"/>
    <w:rsid w:val="00EA198E"/>
    <w:rsid w:val="00F34767"/>
    <w:rsid w:val="00F40166"/>
    <w:rsid w:val="00F73CEB"/>
    <w:rsid w:val="00FB04BE"/>
    <w:rsid w:val="00FE69B6"/>
    <w:rsid w:val="10F90765"/>
    <w:rsid w:val="1AF401F3"/>
    <w:rsid w:val="22484639"/>
    <w:rsid w:val="3E360C06"/>
    <w:rsid w:val="58676F42"/>
    <w:rsid w:val="7C087383"/>
    <w:rsid w:val="7EA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/>
      <w:kern w:val="2"/>
      <w:sz w:val="18"/>
      <w:szCs w:val="24"/>
    </w:rPr>
  </w:style>
  <w:style w:type="paragraph" w:styleId="a4">
    <w:name w:val="header"/>
    <w:basedOn w:val="a"/>
    <w:link w:val="Char1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/>
      <w:kern w:val="2"/>
      <w:sz w:val="18"/>
      <w:szCs w:val="18"/>
    </w:rPr>
  </w:style>
  <w:style w:type="character" w:styleId="a5">
    <w:name w:val="FollowedHyperlink"/>
    <w:uiPriority w:val="99"/>
    <w:unhideWhenUsed/>
    <w:rPr>
      <w:color w:val="515151"/>
      <w:u w:val="none"/>
    </w:rPr>
  </w:style>
  <w:style w:type="character" w:customStyle="1" w:styleId="Char">
    <w:name w:val="页眉 Char"/>
    <w:basedOn w:val="a0"/>
    <w:rPr>
      <w:kern w:val="2"/>
      <w:sz w:val="18"/>
      <w:szCs w:val="18"/>
    </w:rPr>
  </w:style>
  <w:style w:type="character" w:customStyle="1" w:styleId="Char0">
    <w:name w:val="页脚 Char"/>
    <w:basedOn w:val="a0"/>
    <w:rPr>
      <w:kern w:val="2"/>
      <w:sz w:val="18"/>
      <w:szCs w:val="24"/>
    </w:rPr>
  </w:style>
  <w:style w:type="character" w:customStyle="1" w:styleId="Char10">
    <w:name w:val="页眉 Char1"/>
    <w:basedOn w:val="a0"/>
    <w:link w:val="a4"/>
    <w:uiPriority w:val="99"/>
    <w:semiHidden/>
    <w:rPr>
      <w:rFonts w:ascii="Tahoma" w:hAnsi="Tahoma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Pr>
      <w:rFonts w:ascii="Tahoma" w:hAnsi="Tahoma"/>
      <w:sz w:val="18"/>
      <w:szCs w:val="18"/>
    </w:rPr>
  </w:style>
  <w:style w:type="paragraph" w:customStyle="1" w:styleId="1">
    <w:name w:val="列出段落1"/>
    <w:basedOn w:val="a"/>
    <w:uiPriority w:val="99"/>
    <w:qFormat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">
    <w:name w:val="列出段落2"/>
    <w:basedOn w:val="a"/>
    <w:uiPriority w:val="99"/>
    <w:qFormat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3">
    <w:name w:val="列出段落3"/>
    <w:basedOn w:val="a"/>
    <w:uiPriority w:val="99"/>
    <w:qFormat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1CharCharChar">
    <w:name w:val="Char1 Char Char Char"/>
    <w:basedOn w:val="a"/>
    <w:qFormat/>
    <w:pPr>
      <w:widowControl w:val="0"/>
      <w:tabs>
        <w:tab w:val="left" w:pos="1280"/>
      </w:tabs>
      <w:adjustRightInd/>
      <w:snapToGrid/>
      <w:spacing w:after="0"/>
      <w:ind w:left="432" w:hanging="432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412</Words>
  <Characters>2354</Characters>
  <Application>Microsoft Office Word</Application>
  <DocSecurity>0</DocSecurity>
  <Lines>19</Lines>
  <Paragraphs>5</Paragraphs>
  <ScaleCrop>false</ScaleCrop>
  <Company>Microsoft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47</cp:revision>
  <cp:lastPrinted>2023-03-15T01:09:00Z</cp:lastPrinted>
  <dcterms:created xsi:type="dcterms:W3CDTF">2008-09-11T17:20:00Z</dcterms:created>
  <dcterms:modified xsi:type="dcterms:W3CDTF">2025-10-23T02:07:00Z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4718E8E6A1D74E99A62F61A7B3072284_12</vt:lpwstr>
  </property>
</Properties>
</file>