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13993">
      <w:pPr>
        <w:pStyle w:val="3"/>
        <w:keepNext/>
        <w:keepLines/>
        <w:pageBreakBefore/>
        <w:widowControl w:val="0"/>
        <w:kinsoku/>
        <w:wordWrap/>
        <w:overflowPunct/>
        <w:topLinePunct w:val="0"/>
        <w:autoSpaceDE/>
        <w:autoSpaceDN/>
        <w:bidi w:val="0"/>
        <w:adjustRightInd/>
        <w:snapToGrid/>
        <w:spacing w:after="157" w:afterLines="50"/>
        <w:textAlignment w:val="auto"/>
        <w:rPr>
          <w:rFonts w:hint="eastAsia" w:ascii="宋体" w:hAnsi="宋体" w:eastAsia="宋体" w:cs="Times New Roman"/>
          <w:sz w:val="32"/>
          <w:szCs w:val="22"/>
        </w:rPr>
      </w:pPr>
      <w:bookmarkStart w:id="0" w:name="_Toc256000013"/>
      <w:bookmarkStart w:id="1" w:name="_Toc157521589"/>
      <w:r>
        <w:rPr>
          <w:rFonts w:hint="eastAsia" w:ascii="宋体" w:hAnsi="宋体" w:eastAsia="宋体" w:cs="Times New Roman"/>
          <w:sz w:val="32"/>
          <w:szCs w:val="22"/>
          <w:highlight w:val="white"/>
        </w:rPr>
        <w:t>第四章  采购需求</w:t>
      </w:r>
      <w:bookmarkEnd w:id="0"/>
      <w:bookmarkEnd w:id="1"/>
    </w:p>
    <w:p w14:paraId="32530BD9">
      <w:pPr>
        <w:adjustRightInd w:val="0"/>
        <w:snapToGrid w:val="0"/>
        <w:spacing w:line="500" w:lineRule="exact"/>
        <w:jc w:val="center"/>
        <w:outlineLvl w:val="0"/>
        <w:rPr>
          <w:rFonts w:hint="eastAsia" w:ascii="宋体" w:hAnsi="宋体" w:eastAsia="宋体" w:cs="宋体"/>
          <w:b/>
          <w:bCs/>
          <w:color w:val="auto"/>
          <w:sz w:val="28"/>
          <w:szCs w:val="28"/>
        </w:rPr>
      </w:pPr>
      <w:bookmarkStart w:id="2" w:name="_bookmark17"/>
      <w:bookmarkEnd w:id="2"/>
      <w:r>
        <w:rPr>
          <w:rFonts w:hint="eastAsia" w:ascii="宋体" w:hAnsi="宋体" w:eastAsia="宋体" w:cs="宋体"/>
          <w:b/>
          <w:bCs/>
          <w:color w:val="auto"/>
          <w:sz w:val="28"/>
          <w:szCs w:val="28"/>
          <w:lang w:val="en-US" w:eastAsia="zh-CN"/>
        </w:rPr>
        <w:t>包1：</w:t>
      </w:r>
      <w:r>
        <w:rPr>
          <w:rFonts w:hint="eastAsia" w:ascii="宋体" w:hAnsi="宋体" w:eastAsia="宋体" w:cs="宋体"/>
          <w:b/>
          <w:bCs/>
          <w:color w:val="auto"/>
          <w:sz w:val="28"/>
          <w:szCs w:val="28"/>
        </w:rPr>
        <w:t>粪肥处理技术服务</w:t>
      </w:r>
    </w:p>
    <w:p w14:paraId="2803FFE4">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一、采购清单一览表</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15"/>
        <w:gridCol w:w="1029"/>
        <w:gridCol w:w="5479"/>
      </w:tblGrid>
      <w:tr w14:paraId="31A6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32" w:type="dxa"/>
            <w:noWrap w:val="0"/>
            <w:vAlign w:val="center"/>
          </w:tcPr>
          <w:p w14:paraId="3BFDC6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eastAsia="宋体" w:cs="Times New Roman"/>
                <w:b w:val="0"/>
                <w:bCs w:val="0"/>
                <w:color w:val="auto"/>
                <w:sz w:val="24"/>
                <w:szCs w:val="24"/>
              </w:rPr>
            </w:pPr>
            <w:r>
              <w:rPr>
                <w:rFonts w:hint="eastAsia" w:ascii="Calibri" w:hAnsi="Calibri" w:eastAsia="宋体" w:cs="Times New Roman"/>
                <w:b w:val="0"/>
                <w:bCs w:val="0"/>
                <w:color w:val="auto"/>
                <w:sz w:val="24"/>
                <w:szCs w:val="24"/>
              </w:rPr>
              <w:t>序号</w:t>
            </w:r>
          </w:p>
        </w:tc>
        <w:tc>
          <w:tcPr>
            <w:tcW w:w="1515" w:type="dxa"/>
            <w:noWrap w:val="0"/>
            <w:vAlign w:val="center"/>
          </w:tcPr>
          <w:p w14:paraId="138EE9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eastAsia="宋体" w:cs="Times New Roman"/>
                <w:b w:val="0"/>
                <w:bCs w:val="0"/>
                <w:color w:val="auto"/>
                <w:sz w:val="24"/>
                <w:szCs w:val="24"/>
              </w:rPr>
            </w:pPr>
            <w:r>
              <w:rPr>
                <w:rFonts w:hint="eastAsia" w:ascii="Calibri" w:hAnsi="Calibri" w:eastAsia="宋体" w:cs="Times New Roman"/>
                <w:b w:val="0"/>
                <w:bCs w:val="0"/>
                <w:color w:val="auto"/>
                <w:sz w:val="24"/>
                <w:szCs w:val="24"/>
              </w:rPr>
              <w:t>项目名称</w:t>
            </w:r>
          </w:p>
        </w:tc>
        <w:tc>
          <w:tcPr>
            <w:tcW w:w="1029" w:type="dxa"/>
            <w:noWrap w:val="0"/>
            <w:vAlign w:val="center"/>
          </w:tcPr>
          <w:p w14:paraId="12B542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eastAsia="宋体" w:cs="Times New Roman"/>
                <w:b w:val="0"/>
                <w:bCs w:val="0"/>
                <w:color w:val="auto"/>
                <w:sz w:val="24"/>
                <w:szCs w:val="24"/>
              </w:rPr>
            </w:pPr>
            <w:r>
              <w:rPr>
                <w:rFonts w:hint="eastAsia" w:ascii="Calibri" w:hAnsi="Calibri" w:eastAsia="宋体" w:cs="Times New Roman"/>
                <w:b w:val="0"/>
                <w:bCs w:val="0"/>
                <w:color w:val="auto"/>
                <w:sz w:val="24"/>
                <w:szCs w:val="24"/>
              </w:rPr>
              <w:t>数量</w:t>
            </w:r>
          </w:p>
        </w:tc>
        <w:tc>
          <w:tcPr>
            <w:tcW w:w="5479" w:type="dxa"/>
            <w:noWrap w:val="0"/>
            <w:vAlign w:val="center"/>
          </w:tcPr>
          <w:p w14:paraId="55BF35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eastAsia="宋体" w:cs="Times New Roman"/>
                <w:b w:val="0"/>
                <w:bCs w:val="0"/>
                <w:color w:val="auto"/>
                <w:sz w:val="24"/>
                <w:szCs w:val="24"/>
              </w:rPr>
            </w:pPr>
            <w:r>
              <w:rPr>
                <w:rFonts w:hint="eastAsia" w:ascii="Calibri" w:hAnsi="Calibri" w:eastAsia="宋体" w:cs="Times New Roman"/>
                <w:b w:val="0"/>
                <w:bCs w:val="0"/>
                <w:color w:val="auto"/>
                <w:sz w:val="24"/>
                <w:szCs w:val="24"/>
              </w:rPr>
              <w:t>基本要求</w:t>
            </w:r>
          </w:p>
        </w:tc>
      </w:tr>
      <w:tr w14:paraId="4754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732" w:type="dxa"/>
            <w:noWrap w:val="0"/>
            <w:vAlign w:val="center"/>
          </w:tcPr>
          <w:p w14:paraId="46E030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1</w:t>
            </w:r>
          </w:p>
        </w:tc>
        <w:tc>
          <w:tcPr>
            <w:tcW w:w="1515" w:type="dxa"/>
            <w:noWrap w:val="0"/>
            <w:vAlign w:val="center"/>
          </w:tcPr>
          <w:p w14:paraId="73300285">
            <w:pPr>
              <w:adjustRightInd w:val="0"/>
              <w:snapToGrid w:val="0"/>
              <w:spacing w:line="360" w:lineRule="auto"/>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Cs w:val="21"/>
              </w:rPr>
              <w:t>技术服务</w:t>
            </w:r>
          </w:p>
        </w:tc>
        <w:tc>
          <w:tcPr>
            <w:tcW w:w="1029" w:type="dxa"/>
            <w:noWrap w:val="0"/>
            <w:vAlign w:val="center"/>
          </w:tcPr>
          <w:p w14:paraId="72E6AA8A">
            <w:pPr>
              <w:spacing w:line="360" w:lineRule="auto"/>
              <w:jc w:val="center"/>
              <w:rPr>
                <w:rFonts w:hint="eastAsia" w:ascii="Times New Roman" w:hAnsi="Times New Roman" w:eastAsia="宋体" w:cs="Times New Roman"/>
                <w:b w:val="0"/>
                <w:bCs w:val="0"/>
                <w:color w:val="auto"/>
                <w:sz w:val="24"/>
                <w:szCs w:val="24"/>
                <w:vertAlign w:val="baseline"/>
                <w:lang w:val="en-US" w:eastAsia="zh-CN"/>
              </w:rPr>
            </w:pPr>
            <w:r>
              <w:rPr>
                <w:rFonts w:hint="eastAsia" w:ascii="Calibri" w:hAnsi="Calibri" w:eastAsia="宋体" w:cs="Times New Roman"/>
                <w:b w:val="0"/>
                <w:bCs w:val="0"/>
                <w:color w:val="auto"/>
                <w:szCs w:val="21"/>
              </w:rPr>
              <w:t>1项</w:t>
            </w:r>
          </w:p>
        </w:tc>
        <w:tc>
          <w:tcPr>
            <w:tcW w:w="5479" w:type="dxa"/>
            <w:noWrap w:val="0"/>
            <w:vAlign w:val="center"/>
          </w:tcPr>
          <w:p w14:paraId="3D1ECECA">
            <w:pPr>
              <w:spacing w:line="360" w:lineRule="auto"/>
              <w:ind w:firstLine="315" w:firstLineChars="150"/>
              <w:jc w:val="left"/>
              <w:rPr>
                <w:rFonts w:ascii="宋体" w:hAnsi="宋体" w:eastAsia="宋体" w:cs="宋体"/>
                <w:b w:val="0"/>
                <w:bCs w:val="0"/>
                <w:color w:val="auto"/>
                <w:szCs w:val="21"/>
              </w:rPr>
            </w:pPr>
            <w:r>
              <w:rPr>
                <w:rFonts w:hint="eastAsia" w:ascii="宋体" w:hAnsi="宋体" w:eastAsia="宋体" w:cs="Times New Roman"/>
                <w:b w:val="0"/>
                <w:bCs w:val="0"/>
                <w:color w:val="auto"/>
                <w:szCs w:val="21"/>
              </w:rPr>
              <w:t>包含技术人员费用、差旅费、讲座费、专家团队费、远程服务费、和管理费用等；</w:t>
            </w:r>
            <w:r>
              <w:rPr>
                <w:rFonts w:hint="eastAsia" w:ascii="宋体" w:hAnsi="宋体" w:eastAsia="宋体" w:cs="宋体"/>
                <w:b w:val="0"/>
                <w:bCs w:val="0"/>
                <w:color w:val="auto"/>
                <w:szCs w:val="21"/>
              </w:rPr>
              <w:t>根据相关技术标准制订切实可行的技术方案，全程负责粪肥处理的技术保障和粪肥施用的技术指导；</w:t>
            </w:r>
          </w:p>
          <w:p w14:paraId="271BEC36">
            <w:pPr>
              <w:widowControl w:val="0"/>
              <w:spacing w:after="120" w:line="360" w:lineRule="auto"/>
              <w:ind w:left="0" w:leftChars="0" w:firstLine="315" w:firstLineChars="150"/>
              <w:jc w:val="both"/>
              <w:rPr>
                <w:rFonts w:hint="eastAsia" w:ascii="Times New Roman" w:hAnsi="Times New Roman" w:eastAsia="宋体" w:cs="Times New Roman"/>
                <w:b w:val="0"/>
                <w:bCs w:val="0"/>
                <w:color w:val="auto"/>
                <w:kern w:val="0"/>
                <w:sz w:val="24"/>
                <w:szCs w:val="24"/>
                <w:vertAlign w:val="baseline"/>
                <w:lang w:val="en-US" w:eastAsia="zh-CN" w:bidi="ar-SA"/>
              </w:rPr>
            </w:pPr>
            <w:r>
              <w:rPr>
                <w:rFonts w:hint="eastAsia" w:ascii="Calibri" w:hAnsi="Calibri" w:eastAsia="宋体" w:cs="Times New Roman"/>
                <w:b w:val="0"/>
                <w:bCs w:val="0"/>
                <w:color w:val="auto"/>
                <w:kern w:val="2"/>
                <w:sz w:val="21"/>
                <w:szCs w:val="21"/>
                <w:lang w:val="en-US" w:eastAsia="zh-CN" w:bidi="ar-SA"/>
              </w:rPr>
              <w:t>根据衡阳土壤特性及种植结构现状，为种植户免费提供配肥和施肥个性化需求方案；为各类作物的粪肥施用和生产管理提供高效的技术服务；技术力量方面须具备与衡阳主产作物（水稻、油菜，蔬菜、水果、茶叶，烟叶，湘莲，中药材）技术需求相关的专家；教授团队力量具备教授级专家不少于3名，教授全年为项目提供全程技术跟踪服务不少于4次；参与项目各环节技术培训，组织第三方服务企业进行一次专题培训。</w:t>
            </w:r>
          </w:p>
        </w:tc>
      </w:tr>
      <w:tr w14:paraId="53F2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32" w:type="dxa"/>
            <w:noWrap w:val="0"/>
            <w:vAlign w:val="center"/>
          </w:tcPr>
          <w:p w14:paraId="4C235D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2</w:t>
            </w:r>
          </w:p>
        </w:tc>
        <w:tc>
          <w:tcPr>
            <w:tcW w:w="1515" w:type="dxa"/>
            <w:noWrap w:val="0"/>
            <w:vAlign w:val="center"/>
          </w:tcPr>
          <w:p w14:paraId="24E00946">
            <w:pPr>
              <w:adjustRightInd w:val="0"/>
              <w:snapToGrid w:val="0"/>
              <w:spacing w:line="360" w:lineRule="auto"/>
              <w:jc w:val="center"/>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rPr>
              <w:t>技术手册</w:t>
            </w:r>
          </w:p>
        </w:tc>
        <w:tc>
          <w:tcPr>
            <w:tcW w:w="1029" w:type="dxa"/>
            <w:noWrap w:val="0"/>
            <w:vAlign w:val="center"/>
          </w:tcPr>
          <w:p w14:paraId="5B07B838">
            <w:pPr>
              <w:adjustRightInd w:val="0"/>
              <w:snapToGrid w:val="0"/>
              <w:spacing w:line="360" w:lineRule="auto"/>
              <w:jc w:val="center"/>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rPr>
              <w:t>2000本</w:t>
            </w:r>
          </w:p>
        </w:tc>
        <w:tc>
          <w:tcPr>
            <w:tcW w:w="5479" w:type="dxa"/>
            <w:noWrap w:val="0"/>
            <w:vAlign w:val="center"/>
          </w:tcPr>
          <w:p w14:paraId="09DDA6B9">
            <w:pPr>
              <w:spacing w:line="360" w:lineRule="auto"/>
              <w:jc w:val="left"/>
              <w:rPr>
                <w:rFonts w:hint="eastAsia" w:ascii="Times New Roman" w:hAnsi="Times New Roman" w:eastAsia="宋体" w:cs="Times New Roman"/>
                <w:b w:val="0"/>
                <w:bCs w:val="0"/>
                <w:color w:val="auto"/>
                <w:sz w:val="24"/>
                <w:szCs w:val="24"/>
                <w:vertAlign w:val="baseline"/>
                <w:lang w:val="en-US" w:eastAsia="zh-CN"/>
              </w:rPr>
            </w:pPr>
            <w:r>
              <w:rPr>
                <w:rFonts w:hint="eastAsia" w:ascii="Calibri" w:hAnsi="Calibri" w:eastAsia="宋体" w:cs="Times New Roman"/>
                <w:b w:val="0"/>
                <w:bCs w:val="0"/>
                <w:color w:val="auto"/>
                <w:szCs w:val="21"/>
              </w:rPr>
              <w:t>技术手册（宣传挂图）是图文并茂彩色版，包含粪肥处理和作物生产管理量大部分组成；数量是根据全县10万亩面积参与人员、培训参与人员和各企业（第三方服务组织和种植户）相关人员人人都能拿到。</w:t>
            </w:r>
          </w:p>
        </w:tc>
      </w:tr>
      <w:tr w14:paraId="18C3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2" w:type="dxa"/>
            <w:noWrap w:val="0"/>
            <w:vAlign w:val="center"/>
          </w:tcPr>
          <w:p w14:paraId="0EA752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4</w:t>
            </w:r>
          </w:p>
        </w:tc>
        <w:tc>
          <w:tcPr>
            <w:tcW w:w="1515" w:type="dxa"/>
            <w:noWrap w:val="0"/>
            <w:vAlign w:val="center"/>
          </w:tcPr>
          <w:p w14:paraId="3D063FC3">
            <w:pPr>
              <w:adjustRightInd w:val="0"/>
              <w:snapToGrid w:val="0"/>
              <w:spacing w:line="360" w:lineRule="auto"/>
              <w:jc w:val="center"/>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rPr>
              <w:t>微生物菌剂</w:t>
            </w:r>
          </w:p>
        </w:tc>
        <w:tc>
          <w:tcPr>
            <w:tcW w:w="1029" w:type="dxa"/>
            <w:noWrap w:val="0"/>
            <w:vAlign w:val="center"/>
          </w:tcPr>
          <w:p w14:paraId="14DDD3B5">
            <w:pPr>
              <w:adjustRightInd w:val="0"/>
              <w:snapToGrid w:val="0"/>
              <w:spacing w:line="360" w:lineRule="auto"/>
              <w:jc w:val="center"/>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rPr>
              <w:t>65000L或65000KG</w:t>
            </w:r>
          </w:p>
        </w:tc>
        <w:tc>
          <w:tcPr>
            <w:tcW w:w="5479" w:type="dxa"/>
            <w:noWrap w:val="0"/>
            <w:vAlign w:val="center"/>
          </w:tcPr>
          <w:p w14:paraId="71CFEFD5">
            <w:pPr>
              <w:spacing w:line="360" w:lineRule="auto"/>
              <w:jc w:val="left"/>
              <w:rPr>
                <w:rFonts w:hint="eastAsia" w:ascii="Times New Roman" w:hAnsi="Times New Roman" w:eastAsia="宋体" w:cs="Times New Roman"/>
                <w:b w:val="0"/>
                <w:bCs w:val="0"/>
                <w:color w:val="auto"/>
                <w:sz w:val="24"/>
                <w:szCs w:val="24"/>
                <w:vertAlign w:val="baseline"/>
                <w:lang w:val="en-US" w:eastAsia="zh-CN"/>
              </w:rPr>
            </w:pPr>
            <w:r>
              <w:rPr>
                <w:rFonts w:hint="eastAsia" w:ascii="宋体" w:hAnsi="宋体" w:eastAsia="宋体" w:cs="宋体"/>
                <w:b w:val="0"/>
                <w:bCs w:val="0"/>
                <w:color w:val="auto"/>
                <w:szCs w:val="21"/>
              </w:rPr>
              <w:t>为确保堆肥质量要求，粪肥处理技术服务公司须免费提供不低于65000L或65000KG的微生物菌剂，其质量要求符《GB20287-2006》中农用微生物产品技术指标，</w:t>
            </w:r>
            <w:r>
              <w:rPr>
                <w:rFonts w:hint="eastAsia" w:ascii="Calibri" w:hAnsi="Calibri" w:eastAsia="宋体" w:cs="Times New Roman"/>
                <w:b w:val="0"/>
                <w:bCs w:val="0"/>
                <w:color w:val="auto"/>
                <w:szCs w:val="21"/>
              </w:rPr>
              <w:t>以提供检测报告为准。</w:t>
            </w:r>
          </w:p>
        </w:tc>
      </w:tr>
    </w:tbl>
    <w:p w14:paraId="0DF3E308">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二、服务内容</w:t>
      </w:r>
    </w:p>
    <w:p w14:paraId="4CB6AF03">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粪肥处理专业技术服务机构负责对整个项目进行技术指导和保障，制定可行的技术方案，编订技术手册。在重点做好粪肥处理技术服务前提下，组织专业技术服务团队协助</w:t>
      </w:r>
      <w:r>
        <w:rPr>
          <w:rFonts w:hint="eastAsia" w:ascii="宋体" w:hAnsi="宋体" w:eastAsia="宋体" w:cs="宋体"/>
          <w:b w:val="0"/>
          <w:bCs w:val="0"/>
          <w:color w:val="auto"/>
          <w:sz w:val="24"/>
          <w:szCs w:val="24"/>
          <w:highlight w:val="none"/>
          <w:lang w:val="en-US" w:eastAsia="zh-CN"/>
        </w:rPr>
        <w:t>县</w:t>
      </w:r>
      <w:r>
        <w:rPr>
          <w:rFonts w:hint="eastAsia" w:ascii="宋体" w:hAnsi="宋体" w:eastAsia="宋体" w:cs="宋体"/>
          <w:b w:val="0"/>
          <w:bCs w:val="0"/>
          <w:color w:val="auto"/>
          <w:sz w:val="24"/>
          <w:szCs w:val="24"/>
          <w:highlight w:val="none"/>
          <w:lang w:eastAsia="zh-CN"/>
        </w:rPr>
        <w:t>农业农村局进行相关技术培训，加强种植户个性化施肥指导，全程指导第三方社会化全环节服务组织完成堆肥、液态粪肥生产和施用，在粪肥风险监测评估专业机构协助下，做好粪肥还田的质量安全监管工作。确保粪肥质量安全，探索粪肥合理施用方式方法。</w:t>
      </w:r>
    </w:p>
    <w:p w14:paraId="47807C3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衡阳县</w:t>
      </w:r>
      <w:r>
        <w:rPr>
          <w:rFonts w:hint="eastAsia" w:ascii="宋体" w:hAnsi="宋体" w:eastAsia="宋体" w:cs="宋体"/>
          <w:b w:val="0"/>
          <w:bCs w:val="0"/>
          <w:color w:val="auto"/>
          <w:sz w:val="24"/>
          <w:szCs w:val="24"/>
          <w:highlight w:val="none"/>
        </w:rPr>
        <w:t>土壤</w:t>
      </w:r>
      <w:r>
        <w:rPr>
          <w:rFonts w:hint="eastAsia" w:ascii="宋体" w:hAnsi="宋体" w:eastAsia="宋体" w:cs="宋体"/>
          <w:b w:val="0"/>
          <w:bCs w:val="0"/>
          <w:color w:val="auto"/>
          <w:sz w:val="24"/>
          <w:szCs w:val="24"/>
          <w:highlight w:val="none"/>
          <w:lang w:eastAsia="zh-CN"/>
        </w:rPr>
        <w:t>特性</w:t>
      </w:r>
      <w:r>
        <w:rPr>
          <w:rFonts w:hint="eastAsia" w:ascii="宋体" w:hAnsi="宋体" w:eastAsia="宋体" w:cs="宋体"/>
          <w:b w:val="0"/>
          <w:bCs w:val="0"/>
          <w:color w:val="auto"/>
          <w:sz w:val="24"/>
          <w:szCs w:val="24"/>
          <w:highlight w:val="none"/>
        </w:rPr>
        <w:t>及种植结构现状，为种植</w:t>
      </w:r>
      <w:r>
        <w:rPr>
          <w:rFonts w:hint="eastAsia" w:ascii="宋体" w:hAnsi="宋体" w:eastAsia="宋体" w:cs="宋体"/>
          <w:b w:val="0"/>
          <w:bCs w:val="0"/>
          <w:color w:val="auto"/>
          <w:sz w:val="24"/>
          <w:szCs w:val="24"/>
          <w:highlight w:val="none"/>
          <w:lang w:eastAsia="zh-CN"/>
        </w:rPr>
        <w:t>户</w:t>
      </w:r>
      <w:r>
        <w:rPr>
          <w:rFonts w:hint="eastAsia" w:ascii="宋体" w:hAnsi="宋体" w:eastAsia="宋体" w:cs="宋体"/>
          <w:b w:val="0"/>
          <w:bCs w:val="0"/>
          <w:color w:val="auto"/>
          <w:sz w:val="24"/>
          <w:szCs w:val="24"/>
          <w:highlight w:val="none"/>
        </w:rPr>
        <w:t>免费提供配</w:t>
      </w:r>
      <w:r>
        <w:rPr>
          <w:rFonts w:hint="eastAsia" w:ascii="宋体" w:hAnsi="宋体" w:eastAsia="宋体" w:cs="宋体"/>
          <w:b w:val="0"/>
          <w:bCs w:val="0"/>
          <w:color w:val="auto"/>
          <w:sz w:val="24"/>
          <w:szCs w:val="24"/>
          <w:highlight w:val="none"/>
          <w:lang w:eastAsia="zh-CN"/>
        </w:rPr>
        <w:t>肥</w:t>
      </w:r>
      <w:r>
        <w:rPr>
          <w:rFonts w:hint="eastAsia" w:ascii="宋体" w:hAnsi="宋体" w:eastAsia="宋体" w:cs="宋体"/>
          <w:b w:val="0"/>
          <w:bCs w:val="0"/>
          <w:color w:val="auto"/>
          <w:sz w:val="24"/>
          <w:szCs w:val="24"/>
          <w:highlight w:val="none"/>
        </w:rPr>
        <w:t>和</w:t>
      </w:r>
      <w:r>
        <w:rPr>
          <w:rFonts w:hint="eastAsia" w:ascii="宋体" w:hAnsi="宋体" w:eastAsia="宋体" w:cs="宋体"/>
          <w:b w:val="0"/>
          <w:bCs w:val="0"/>
          <w:color w:val="auto"/>
          <w:sz w:val="24"/>
          <w:szCs w:val="24"/>
          <w:highlight w:val="none"/>
          <w:lang w:eastAsia="zh-CN"/>
        </w:rPr>
        <w:t>施</w:t>
      </w:r>
      <w:r>
        <w:rPr>
          <w:rFonts w:hint="eastAsia" w:ascii="宋体" w:hAnsi="宋体" w:eastAsia="宋体" w:cs="宋体"/>
          <w:b w:val="0"/>
          <w:bCs w:val="0"/>
          <w:color w:val="auto"/>
          <w:sz w:val="24"/>
          <w:szCs w:val="24"/>
          <w:highlight w:val="none"/>
        </w:rPr>
        <w:t>肥</w:t>
      </w:r>
      <w:r>
        <w:rPr>
          <w:rFonts w:hint="eastAsia" w:ascii="宋体" w:hAnsi="宋体" w:eastAsia="宋体" w:cs="宋体"/>
          <w:b w:val="0"/>
          <w:bCs w:val="0"/>
          <w:color w:val="auto"/>
          <w:sz w:val="24"/>
          <w:szCs w:val="24"/>
          <w:highlight w:val="none"/>
          <w:lang w:eastAsia="zh-CN"/>
        </w:rPr>
        <w:t>个性化需求</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eastAsia="zh-CN"/>
        </w:rPr>
        <w:t>。</w:t>
      </w:r>
    </w:p>
    <w:p w14:paraId="6A2845D1">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rPr>
        <w:t>各</w:t>
      </w:r>
      <w:r>
        <w:rPr>
          <w:rFonts w:hint="eastAsia" w:ascii="宋体" w:hAnsi="宋体" w:eastAsia="宋体" w:cs="宋体"/>
          <w:b w:val="0"/>
          <w:bCs w:val="0"/>
          <w:color w:val="auto"/>
          <w:sz w:val="24"/>
          <w:szCs w:val="24"/>
          <w:highlight w:val="none"/>
          <w:lang w:eastAsia="zh-CN"/>
        </w:rPr>
        <w:t>类</w:t>
      </w:r>
      <w:r>
        <w:rPr>
          <w:rFonts w:hint="eastAsia" w:ascii="宋体" w:hAnsi="宋体" w:eastAsia="宋体" w:cs="宋体"/>
          <w:b w:val="0"/>
          <w:bCs w:val="0"/>
          <w:color w:val="auto"/>
          <w:sz w:val="24"/>
          <w:szCs w:val="24"/>
          <w:highlight w:val="none"/>
        </w:rPr>
        <w:t>作物的粪肥</w:t>
      </w:r>
      <w:r>
        <w:rPr>
          <w:rFonts w:hint="eastAsia" w:ascii="宋体" w:hAnsi="宋体" w:eastAsia="宋体" w:cs="宋体"/>
          <w:b w:val="0"/>
          <w:bCs w:val="0"/>
          <w:color w:val="auto"/>
          <w:sz w:val="24"/>
          <w:szCs w:val="24"/>
          <w:highlight w:val="none"/>
          <w:lang w:eastAsia="zh-CN"/>
        </w:rPr>
        <w:t>施</w:t>
      </w:r>
      <w:r>
        <w:rPr>
          <w:rFonts w:hint="eastAsia" w:ascii="宋体" w:hAnsi="宋体" w:eastAsia="宋体" w:cs="宋体"/>
          <w:b w:val="0"/>
          <w:bCs w:val="0"/>
          <w:color w:val="auto"/>
          <w:sz w:val="24"/>
          <w:szCs w:val="24"/>
          <w:highlight w:val="none"/>
        </w:rPr>
        <w:t>用和生产管理</w:t>
      </w:r>
      <w:r>
        <w:rPr>
          <w:rFonts w:hint="eastAsia" w:ascii="宋体" w:hAnsi="宋体" w:eastAsia="宋体" w:cs="宋体"/>
          <w:b w:val="0"/>
          <w:bCs w:val="0"/>
          <w:color w:val="auto"/>
          <w:sz w:val="24"/>
          <w:szCs w:val="24"/>
          <w:highlight w:val="none"/>
          <w:lang w:eastAsia="zh-CN"/>
        </w:rPr>
        <w:t>提供高效的</w:t>
      </w:r>
      <w:r>
        <w:rPr>
          <w:rFonts w:hint="eastAsia" w:ascii="宋体" w:hAnsi="宋体" w:eastAsia="宋体" w:cs="宋体"/>
          <w:b w:val="0"/>
          <w:bCs w:val="0"/>
          <w:color w:val="auto"/>
          <w:sz w:val="24"/>
          <w:szCs w:val="24"/>
          <w:highlight w:val="none"/>
        </w:rPr>
        <w:t>技术服务。</w:t>
      </w:r>
    </w:p>
    <w:p w14:paraId="5D1A4B9D">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、技术服务人员应根据项目需求在衡阳县开展现场技术指导服务，技术人员自备车辆，及时响应现场服务，确保每次在3小时内赶到服务现场。</w:t>
      </w:r>
    </w:p>
    <w:p w14:paraId="03A9F22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、为确保堆肥质量要求，粪肥处理技术服务公司须免费提供不低于65000L或65000KG的微生物菌剂，其质量要求符《GB20287-2006》中农用微生物产品技术指标，以提供检测报告为准。</w:t>
      </w:r>
    </w:p>
    <w:p w14:paraId="56703DF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为确保堆肥处理过程不对周边环境产生新的环保问题，要求微生物菌剂具有除臭功能。</w:t>
      </w:r>
    </w:p>
    <w:p w14:paraId="7DAE7BD7">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highlight w:val="none"/>
          <w:lang w:val="en-US" w:eastAsia="zh-CN"/>
        </w:rPr>
        <w:t>其他要求及说明</w:t>
      </w:r>
    </w:p>
    <w:p w14:paraId="31B65C76">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kern w:val="0"/>
          <w:sz w:val="24"/>
          <w:szCs w:val="24"/>
          <w:highlight w:val="none"/>
        </w:rPr>
        <w:t>服务地点：</w:t>
      </w:r>
      <w:r>
        <w:rPr>
          <w:rFonts w:hint="eastAsia" w:ascii="宋体" w:hAnsi="宋体" w:eastAsia="宋体" w:cs="宋体"/>
          <w:bCs/>
          <w:color w:val="auto"/>
          <w:sz w:val="24"/>
          <w:szCs w:val="24"/>
          <w:highlight w:val="none"/>
        </w:rPr>
        <w:t>采购人指定地点。</w:t>
      </w:r>
    </w:p>
    <w:p w14:paraId="45CBA9A3">
      <w:pPr>
        <w:keepNext w:val="0"/>
        <w:keepLines w:val="0"/>
        <w:pageBreakBefore w:val="0"/>
        <w:kinsoku/>
        <w:wordWrap/>
        <w:overflowPunct/>
        <w:topLinePunct w:val="0"/>
        <w:autoSpaceDE/>
        <w:autoSpaceDN/>
        <w:bidi w:val="0"/>
        <w:spacing w:line="360" w:lineRule="auto"/>
        <w:ind w:firstLine="482" w:firstLineChars="200"/>
        <w:rPr>
          <w:rFonts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服务期限</w:t>
      </w:r>
      <w:r>
        <w:rPr>
          <w:rFonts w:hint="eastAsia" w:ascii="宋体" w:hAnsi="宋体" w:eastAsia="宋体" w:cs="宋体"/>
          <w:b/>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2026年5月底完成。</w:t>
      </w:r>
    </w:p>
    <w:p w14:paraId="740EC6F9">
      <w:pPr>
        <w:keepNext w:val="0"/>
        <w:keepLines w:val="0"/>
        <w:pageBreakBefore w:val="0"/>
        <w:kinsoku/>
        <w:wordWrap/>
        <w:overflowPunct/>
        <w:topLinePunct w:val="0"/>
        <w:autoSpaceDE/>
        <w:autoSpaceDN/>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．付款方式:</w:t>
      </w:r>
      <w:r>
        <w:rPr>
          <w:rFonts w:hint="eastAsia" w:ascii="宋体" w:hAnsi="宋体" w:eastAsia="宋体" w:cs="宋体"/>
          <w:b w:val="0"/>
          <w:bCs w:val="0"/>
          <w:color w:val="auto"/>
          <w:sz w:val="24"/>
          <w:szCs w:val="24"/>
          <w:highlight w:val="none"/>
        </w:rPr>
        <w:t>合同签订后项目实施到50%并验收合格之后</w:t>
      </w:r>
      <w:r>
        <w:rPr>
          <w:rFonts w:hint="eastAsia" w:ascii="宋体" w:hAnsi="宋体" w:eastAsia="宋体" w:cs="宋体"/>
          <w:b w:val="0"/>
          <w:bCs w:val="0"/>
          <w:color w:val="auto"/>
          <w:sz w:val="24"/>
          <w:szCs w:val="24"/>
          <w:highlight w:val="none"/>
          <w:lang w:val="en-US" w:eastAsia="zh-CN"/>
        </w:rPr>
        <w:t>支</w:t>
      </w:r>
      <w:r>
        <w:rPr>
          <w:rFonts w:hint="eastAsia" w:ascii="宋体" w:hAnsi="宋体" w:eastAsia="宋体" w:cs="宋体"/>
          <w:b w:val="0"/>
          <w:bCs w:val="0"/>
          <w:color w:val="auto"/>
          <w:sz w:val="24"/>
          <w:szCs w:val="24"/>
          <w:highlight w:val="none"/>
        </w:rPr>
        <w:t>付合同金额</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50%，项目全部服务完毕经验收合格之后</w:t>
      </w:r>
      <w:r>
        <w:rPr>
          <w:rFonts w:hint="eastAsia" w:ascii="宋体" w:hAnsi="宋体" w:eastAsia="宋体" w:cs="宋体"/>
          <w:b w:val="0"/>
          <w:bCs w:val="0"/>
          <w:color w:val="auto"/>
          <w:sz w:val="24"/>
          <w:szCs w:val="24"/>
          <w:highlight w:val="none"/>
          <w:lang w:val="en-US" w:eastAsia="zh-CN"/>
        </w:rPr>
        <w:t>支</w:t>
      </w:r>
      <w:r>
        <w:rPr>
          <w:rFonts w:hint="eastAsia" w:ascii="宋体" w:hAnsi="宋体" w:eastAsia="宋体" w:cs="宋体"/>
          <w:b w:val="0"/>
          <w:bCs w:val="0"/>
          <w:color w:val="auto"/>
          <w:sz w:val="24"/>
          <w:szCs w:val="24"/>
          <w:highlight w:val="none"/>
        </w:rPr>
        <w:t>付</w:t>
      </w:r>
      <w:r>
        <w:rPr>
          <w:rFonts w:hint="eastAsia" w:ascii="宋体" w:hAnsi="宋体" w:eastAsia="宋体" w:cs="宋体"/>
          <w:b w:val="0"/>
          <w:bCs w:val="0"/>
          <w:color w:val="auto"/>
          <w:sz w:val="24"/>
          <w:szCs w:val="24"/>
          <w:highlight w:val="none"/>
          <w:lang w:val="en-US" w:eastAsia="zh-CN"/>
        </w:rPr>
        <w:t>至</w:t>
      </w:r>
      <w:r>
        <w:rPr>
          <w:rFonts w:hint="eastAsia" w:ascii="宋体" w:hAnsi="宋体" w:eastAsia="宋体" w:cs="宋体"/>
          <w:b w:val="0"/>
          <w:bCs w:val="0"/>
          <w:color w:val="auto"/>
          <w:sz w:val="24"/>
          <w:szCs w:val="24"/>
          <w:highlight w:val="none"/>
        </w:rPr>
        <w:t>合同金额</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100%（无质量问题、无售后服务纠纷、以及无其他经济法律纠纷等）。</w:t>
      </w:r>
    </w:p>
    <w:p w14:paraId="26BC1C4C">
      <w:pPr>
        <w:keepNext w:val="0"/>
        <w:keepLines w:val="0"/>
        <w:pageBreakBefore w:val="0"/>
        <w:kinsoku/>
        <w:wordWrap/>
        <w:overflowPunct/>
        <w:topLinePunct w:val="0"/>
        <w:autoSpaceDE/>
        <w:autoSpaceDN/>
        <w:bidi w:val="0"/>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四、其他未尽事宜，由采购人与中标人在签订合同时约定。</w:t>
      </w:r>
    </w:p>
    <w:p w14:paraId="1D7A267C">
      <w:pPr>
        <w:widowControl w:val="0"/>
        <w:spacing w:after="120"/>
        <w:jc w:val="both"/>
        <w:rPr>
          <w:rFonts w:hint="eastAsia" w:ascii="Times New Roman" w:hAnsi="Times New Roman" w:eastAsia="宋体" w:cs="Times New Roman"/>
          <w:color w:val="auto"/>
          <w:kern w:val="0"/>
          <w:sz w:val="20"/>
          <w:szCs w:val="24"/>
          <w:lang w:val="en-US" w:eastAsia="zh-CN" w:bidi="ar-SA"/>
        </w:rPr>
      </w:pPr>
    </w:p>
    <w:p w14:paraId="72BAB195">
      <w:pPr>
        <w:widowControl w:val="0"/>
        <w:ind w:left="420" w:leftChars="200"/>
        <w:jc w:val="both"/>
        <w:rPr>
          <w:rFonts w:hint="eastAsia" w:ascii="Times New Roman" w:hAnsi="Times New Roman" w:eastAsia="宋体" w:cs="Times New Roman"/>
          <w:color w:val="auto"/>
          <w:kern w:val="2"/>
          <w:sz w:val="21"/>
          <w:szCs w:val="24"/>
          <w:lang w:val="en-US" w:eastAsia="zh-CN" w:bidi="ar-SA"/>
        </w:rPr>
      </w:pPr>
    </w:p>
    <w:p w14:paraId="547FDAF6">
      <w:pPr>
        <w:rPr>
          <w:rFonts w:hint="eastAsia" w:ascii="Times New Roman" w:hAnsi="Times New Roman" w:eastAsia="宋体" w:cs="Times New Roman"/>
          <w:color w:val="auto"/>
          <w:szCs w:val="24"/>
          <w:lang w:val="en-US" w:eastAsia="zh-CN"/>
        </w:rPr>
      </w:pPr>
    </w:p>
    <w:p w14:paraId="72BA6AEC">
      <w:pPr>
        <w:widowControl w:val="0"/>
        <w:spacing w:after="120"/>
        <w:jc w:val="both"/>
        <w:rPr>
          <w:rFonts w:hint="eastAsia" w:ascii="Times New Roman" w:hAnsi="Times New Roman" w:eastAsia="宋体" w:cs="Times New Roman"/>
          <w:color w:val="auto"/>
          <w:kern w:val="0"/>
          <w:sz w:val="20"/>
          <w:szCs w:val="24"/>
          <w:lang w:val="en-US" w:eastAsia="zh-CN" w:bidi="ar-SA"/>
        </w:rPr>
      </w:pPr>
    </w:p>
    <w:p w14:paraId="3B69200F">
      <w:pPr>
        <w:widowControl w:val="0"/>
        <w:ind w:left="420" w:leftChars="200"/>
        <w:jc w:val="both"/>
        <w:rPr>
          <w:rFonts w:hint="eastAsia" w:ascii="Times New Roman" w:hAnsi="Times New Roman" w:eastAsia="宋体" w:cs="Times New Roman"/>
          <w:color w:val="auto"/>
          <w:kern w:val="2"/>
          <w:sz w:val="21"/>
          <w:szCs w:val="24"/>
          <w:lang w:val="en-US" w:eastAsia="zh-CN" w:bidi="ar-SA"/>
        </w:rPr>
      </w:pPr>
    </w:p>
    <w:p w14:paraId="26F1A55E">
      <w:pPr>
        <w:rPr>
          <w:rFonts w:hint="eastAsia" w:ascii="Times New Roman" w:hAnsi="Times New Roman" w:eastAsia="宋体" w:cs="Times New Roman"/>
          <w:color w:val="auto"/>
          <w:szCs w:val="24"/>
          <w:lang w:val="en-US" w:eastAsia="zh-CN"/>
        </w:rPr>
      </w:pPr>
    </w:p>
    <w:p w14:paraId="752A9DA8">
      <w:pPr>
        <w:pStyle w:val="2"/>
        <w:rPr>
          <w:rFonts w:hint="eastAsia" w:eastAsia="宋体" w:cs="Times New Roman"/>
          <w:lang w:val="en-US" w:eastAsia="zh-CN"/>
        </w:rPr>
      </w:pPr>
    </w:p>
    <w:p w14:paraId="67F91583">
      <w:pPr>
        <w:adjustRightInd w:val="0"/>
        <w:snapToGrid w:val="0"/>
        <w:spacing w:line="500" w:lineRule="exact"/>
        <w:jc w:val="center"/>
        <w:outlineLvl w:val="0"/>
        <w:rPr>
          <w:rFonts w:hint="eastAsia" w:ascii="宋体" w:hAnsi="宋体" w:eastAsia="宋体" w:cs="宋体"/>
          <w:b/>
          <w:bCs/>
          <w:color w:val="FF0000"/>
          <w:sz w:val="28"/>
          <w:szCs w:val="28"/>
          <w:lang w:val="en-US" w:eastAsia="zh-CN"/>
        </w:rPr>
      </w:pPr>
    </w:p>
    <w:p w14:paraId="472FD06D">
      <w:pPr>
        <w:widowControl w:val="0"/>
        <w:spacing w:after="120"/>
        <w:ind w:left="420" w:leftChars="200" w:firstLine="562" w:firstLineChars="200"/>
        <w:jc w:val="both"/>
        <w:rPr>
          <w:rFonts w:hint="eastAsia" w:ascii="宋体" w:hAnsi="宋体" w:eastAsia="宋体" w:cs="宋体"/>
          <w:b/>
          <w:bCs/>
          <w:color w:val="FF0000"/>
          <w:kern w:val="0"/>
          <w:sz w:val="28"/>
          <w:szCs w:val="28"/>
          <w:lang w:val="en-US" w:eastAsia="zh-CN" w:bidi="ar-SA"/>
        </w:rPr>
      </w:pPr>
    </w:p>
    <w:p w14:paraId="13A6BB17">
      <w:pPr>
        <w:adjustRightInd w:val="0"/>
        <w:snapToGrid w:val="0"/>
        <w:spacing w:line="500" w:lineRule="exact"/>
        <w:jc w:val="center"/>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包2：</w:t>
      </w:r>
      <w:r>
        <w:rPr>
          <w:rFonts w:hint="eastAsia" w:ascii="宋体" w:hAnsi="宋体" w:eastAsia="宋体" w:cs="宋体"/>
          <w:b/>
          <w:bCs/>
          <w:color w:val="auto"/>
          <w:sz w:val="28"/>
          <w:szCs w:val="28"/>
        </w:rPr>
        <w:t>有机肥</w:t>
      </w:r>
    </w:p>
    <w:p w14:paraId="04E6F60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一、采购清单一览表</w:t>
      </w:r>
    </w:p>
    <w:tbl>
      <w:tblPr>
        <w:tblStyle w:val="5"/>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1717"/>
        <w:gridCol w:w="3883"/>
      </w:tblGrid>
      <w:tr w14:paraId="2D16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899" w:type="dxa"/>
            <w:noWrap w:val="0"/>
            <w:vAlign w:val="center"/>
          </w:tcPr>
          <w:p w14:paraId="7A561C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采购名称</w:t>
            </w:r>
          </w:p>
        </w:tc>
        <w:tc>
          <w:tcPr>
            <w:tcW w:w="1717" w:type="dxa"/>
            <w:noWrap w:val="0"/>
            <w:vAlign w:val="center"/>
          </w:tcPr>
          <w:p w14:paraId="273F0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color w:val="auto"/>
                <w:kern w:val="2"/>
                <w:sz w:val="24"/>
                <w:szCs w:val="24"/>
                <w:lang w:val="en-US" w:eastAsia="zh-CN" w:bidi="ar-SA"/>
              </w:rPr>
            </w:pPr>
            <w:r>
              <w:rPr>
                <w:rFonts w:ascii="Calibri" w:hAnsi="Calibri" w:eastAsia="宋体" w:cs="Times New Roman"/>
                <w:color w:val="auto"/>
                <w:spacing w:val="-3"/>
                <w:kern w:val="2"/>
                <w:sz w:val="24"/>
                <w:szCs w:val="24"/>
                <w:lang w:val="en-US" w:eastAsia="zh-CN" w:bidi="ar-SA"/>
              </w:rPr>
              <w:t>数量</w:t>
            </w:r>
          </w:p>
        </w:tc>
        <w:tc>
          <w:tcPr>
            <w:tcW w:w="3883" w:type="dxa"/>
            <w:noWrap w:val="0"/>
            <w:vAlign w:val="center"/>
          </w:tcPr>
          <w:p w14:paraId="3847E3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2"/>
                <w:sz w:val="24"/>
                <w:szCs w:val="24"/>
                <w:lang w:val="en-US" w:eastAsia="zh-CN" w:bidi="ar-SA"/>
              </w:rPr>
            </w:pPr>
            <w:r>
              <w:rPr>
                <w:rFonts w:hint="eastAsia" w:eastAsia="宋体" w:cs="Times New Roman"/>
                <w:color w:val="auto"/>
                <w:kern w:val="2"/>
                <w:sz w:val="24"/>
                <w:szCs w:val="24"/>
                <w:lang w:val="en-US" w:eastAsia="zh-CN" w:bidi="ar-SA"/>
              </w:rPr>
              <w:t>交货（服务）</w:t>
            </w:r>
            <w:r>
              <w:rPr>
                <w:rFonts w:hint="default" w:ascii="Calibri" w:hAnsi="Calibri" w:eastAsia="宋体" w:cs="Times New Roman"/>
                <w:color w:val="auto"/>
                <w:kern w:val="2"/>
                <w:sz w:val="24"/>
                <w:szCs w:val="24"/>
                <w:lang w:val="en-US" w:eastAsia="zh-CN" w:bidi="ar-SA"/>
              </w:rPr>
              <w:t>地点</w:t>
            </w:r>
          </w:p>
        </w:tc>
      </w:tr>
      <w:tr w14:paraId="13EB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899" w:type="dxa"/>
            <w:noWrap w:val="0"/>
            <w:vAlign w:val="center"/>
          </w:tcPr>
          <w:p w14:paraId="73E77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vertAlign w:val="baseline"/>
                <w:lang w:val="en-US" w:eastAsia="zh-CN"/>
              </w:rPr>
              <w:t>有机肥</w:t>
            </w:r>
          </w:p>
        </w:tc>
        <w:tc>
          <w:tcPr>
            <w:tcW w:w="1717" w:type="dxa"/>
            <w:vMerge w:val="restart"/>
            <w:noWrap w:val="0"/>
            <w:vAlign w:val="center"/>
          </w:tcPr>
          <w:p w14:paraId="22D680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300吨</w:t>
            </w:r>
          </w:p>
        </w:tc>
        <w:tc>
          <w:tcPr>
            <w:tcW w:w="3883" w:type="dxa"/>
            <w:vMerge w:val="restart"/>
            <w:noWrap w:val="0"/>
            <w:vAlign w:val="center"/>
          </w:tcPr>
          <w:p w14:paraId="33B07C8C">
            <w:pPr>
              <w:widowControl w:val="0"/>
              <w:spacing w:before="130" w:line="240" w:lineRule="auto"/>
              <w:ind w:left="114" w:right="29" w:firstLine="4"/>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color w:val="auto"/>
                <w:spacing w:val="-4"/>
                <w:kern w:val="2"/>
                <w:sz w:val="21"/>
                <w:szCs w:val="21"/>
                <w:lang w:val="en-US" w:eastAsia="zh-CN" w:bidi="ar-SA"/>
              </w:rPr>
              <w:t>衡阳县所有乡镇</w:t>
            </w:r>
          </w:p>
        </w:tc>
      </w:tr>
      <w:tr w14:paraId="46BB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899" w:type="dxa"/>
            <w:noWrap w:val="0"/>
            <w:vAlign w:val="center"/>
          </w:tcPr>
          <w:p w14:paraId="17C013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有机肥撒施服务</w:t>
            </w:r>
          </w:p>
        </w:tc>
        <w:tc>
          <w:tcPr>
            <w:tcW w:w="1717" w:type="dxa"/>
            <w:vMerge w:val="continue"/>
            <w:noWrap w:val="0"/>
            <w:vAlign w:val="center"/>
          </w:tcPr>
          <w:p w14:paraId="6E3840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24"/>
                <w:vertAlign w:val="baseline"/>
                <w:lang w:val="en-US" w:eastAsia="zh-CN"/>
              </w:rPr>
            </w:pPr>
          </w:p>
        </w:tc>
        <w:tc>
          <w:tcPr>
            <w:tcW w:w="3883" w:type="dxa"/>
            <w:vMerge w:val="continue"/>
            <w:noWrap w:val="0"/>
            <w:vAlign w:val="center"/>
          </w:tcPr>
          <w:p w14:paraId="500A2B7F">
            <w:pPr>
              <w:widowControl w:val="0"/>
              <w:spacing w:before="130" w:line="240" w:lineRule="auto"/>
              <w:ind w:left="114" w:right="29" w:firstLine="4"/>
              <w:jc w:val="center"/>
              <w:rPr>
                <w:rFonts w:hint="eastAsia" w:ascii="宋体" w:hAnsi="宋体" w:eastAsia="宋体" w:cs="宋体"/>
                <w:color w:val="auto"/>
                <w:spacing w:val="-4"/>
                <w:kern w:val="2"/>
                <w:sz w:val="21"/>
                <w:szCs w:val="21"/>
                <w:lang w:val="en-US" w:eastAsia="zh-CN" w:bidi="ar-SA"/>
              </w:rPr>
            </w:pPr>
          </w:p>
        </w:tc>
      </w:tr>
    </w:tbl>
    <w:p w14:paraId="25FDE43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二、技术要求</w:t>
      </w:r>
    </w:p>
    <w:p w14:paraId="29A6AE0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Calibri" w:hAnsi="Calibri" w:eastAsia="宋体" w:cs="Times New Roman"/>
          <w:b/>
          <w:bCs/>
          <w:color w:val="auto"/>
          <w:kern w:val="2"/>
          <w:sz w:val="24"/>
          <w:szCs w:val="24"/>
          <w:lang w:val="en-US" w:eastAsia="zh-CN" w:bidi="ar-SA"/>
        </w:rPr>
        <w:t>有机生物菌肥</w:t>
      </w:r>
      <w:r>
        <w:rPr>
          <w:rFonts w:hint="eastAsia" w:ascii="Calibri" w:hAnsi="Calibri" w:eastAsia="宋体" w:cs="Times New Roman"/>
          <w:color w:val="auto"/>
          <w:kern w:val="2"/>
          <w:sz w:val="24"/>
          <w:szCs w:val="24"/>
          <w:lang w:val="en-US" w:eastAsia="zh-CN" w:bidi="ar-SA"/>
        </w:rPr>
        <w:t>：规格 40kg/袋，N+P2O5+K2O≥4%，有机质≥30%，酸碱度在5.5~8.5之间，水分≤30%，总汞≤2.0mg/kg,总镉≤3.0 mg/kg，总砷≤15.0 mg/kg，总铅≤50 mg/kg，总铬≤150.0mg/kg，粪大肠菌群数≤100个/g,蛔虫卵死亡率≥95%。</w:t>
      </w:r>
    </w:p>
    <w:p w14:paraId="357C250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三、供货、撒施要求</w:t>
      </w:r>
    </w:p>
    <w:p w14:paraId="00A746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kern w:val="2"/>
          <w:sz w:val="24"/>
          <w:szCs w:val="24"/>
          <w:lang w:val="en-US" w:eastAsia="zh-CN" w:bidi="ar-SA"/>
        </w:rPr>
      </w:pPr>
      <w:r>
        <w:rPr>
          <w:rFonts w:hint="eastAsia" w:ascii="Calibri" w:hAnsi="Calibri" w:eastAsia="宋体" w:cs="Times New Roman"/>
          <w:b w:val="0"/>
          <w:bCs w:val="0"/>
          <w:color w:val="auto"/>
          <w:kern w:val="2"/>
          <w:sz w:val="24"/>
          <w:szCs w:val="24"/>
          <w:lang w:val="en-US" w:eastAsia="zh-CN" w:bidi="ar-SA"/>
        </w:rPr>
        <w:t>1、投标人提供的产品性能及质量有国家标准的应符合现行国家标准、行业标准，无国家标准行业标准的应符合通常标准或符合本项目的特定标准。</w:t>
      </w:r>
    </w:p>
    <w:p w14:paraId="08F120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b w:val="0"/>
          <w:bCs w:val="0"/>
          <w:color w:val="auto"/>
          <w:kern w:val="2"/>
          <w:sz w:val="24"/>
          <w:szCs w:val="24"/>
          <w:lang w:val="en-US" w:eastAsia="zh-CN" w:bidi="ar-SA"/>
        </w:rPr>
        <w:t>2、</w:t>
      </w:r>
      <w:r>
        <w:rPr>
          <w:rFonts w:hint="eastAsia" w:ascii="Calibri" w:hAnsi="Calibri" w:eastAsia="宋体" w:cs="Times New Roman"/>
          <w:color w:val="auto"/>
          <w:kern w:val="2"/>
          <w:sz w:val="24"/>
          <w:szCs w:val="24"/>
          <w:lang w:val="en-US" w:eastAsia="zh-CN" w:bidi="ar-SA"/>
        </w:rPr>
        <w:t>产品应有产品合格证（或质量证明）、发票和其它应具有的单证；</w:t>
      </w:r>
    </w:p>
    <w:p w14:paraId="476EF0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3、货物为原厂商未启封全新包装，序列号、包装箱号与出厂批号一致，并可追索查阅。</w:t>
      </w:r>
    </w:p>
    <w:p w14:paraId="2E33C1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4、产品运输、撒施、保险及其他</w:t>
      </w:r>
    </w:p>
    <w:p w14:paraId="4C8DF8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（1）中标人负责产品到实施地点的全部运输，包括转运、装卸及现场搬运等。</w:t>
      </w:r>
    </w:p>
    <w:p w14:paraId="165887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（2）中标人负责产品在实施地点的保管，直至项目服务结束</w:t>
      </w:r>
      <w:r>
        <w:rPr>
          <w:rFonts w:hint="eastAsia" w:eastAsia="宋体" w:cs="Times New Roman"/>
          <w:color w:val="auto"/>
          <w:kern w:val="2"/>
          <w:sz w:val="24"/>
          <w:szCs w:val="24"/>
          <w:lang w:val="en-US" w:eastAsia="zh-CN" w:bidi="ar-SA"/>
        </w:rPr>
        <w:t>，</w:t>
      </w:r>
      <w:r>
        <w:rPr>
          <w:rFonts w:hint="eastAsia" w:ascii="Calibri" w:hAnsi="Calibri" w:eastAsia="宋体" w:cs="Times New Roman"/>
          <w:color w:val="auto"/>
          <w:kern w:val="2"/>
          <w:sz w:val="24"/>
          <w:szCs w:val="24"/>
          <w:lang w:val="en-US" w:eastAsia="zh-CN" w:bidi="ar-SA"/>
        </w:rPr>
        <w:t>验收合格。</w:t>
      </w:r>
    </w:p>
    <w:p w14:paraId="52F8C8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（3）中标人负责组织人员进行施撒，负责其派出、聘请的实施人员的人身安全及人身意外保险。</w:t>
      </w:r>
    </w:p>
    <w:p w14:paraId="35E49C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cs="Times New Roman"/>
          <w:b w:val="0"/>
          <w:bCs w:val="0"/>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（4）中标人在作业过程中不得将产品泄漏、污染、破坏其他环境。</w:t>
      </w:r>
    </w:p>
    <w:p w14:paraId="6A5268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cs="Times New Roman"/>
          <w:b w:val="0"/>
          <w:bCs w:val="0"/>
          <w:color w:val="auto"/>
          <w:kern w:val="2"/>
          <w:sz w:val="24"/>
          <w:szCs w:val="24"/>
          <w:lang w:val="en-US" w:eastAsia="zh-CN" w:bidi="ar-SA"/>
        </w:rPr>
      </w:pPr>
      <w:r>
        <w:rPr>
          <w:rFonts w:hint="eastAsia" w:ascii="Calibri" w:hAnsi="Calibri" w:eastAsia="宋体" w:cs="Times New Roman"/>
          <w:b w:val="0"/>
          <w:bCs w:val="0"/>
          <w:color w:val="auto"/>
          <w:kern w:val="2"/>
          <w:sz w:val="24"/>
          <w:szCs w:val="24"/>
          <w:lang w:val="en-US" w:eastAsia="zh-CN" w:bidi="ar-SA"/>
        </w:rPr>
        <w:t>5、交货时间：根据采购人的工作需要，由中标人提供不定期的供货服务，其中有机肥数量根据采购人要求提供。</w:t>
      </w:r>
    </w:p>
    <w:p w14:paraId="483AA1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kern w:val="2"/>
          <w:sz w:val="24"/>
          <w:szCs w:val="24"/>
          <w:lang w:val="en-US" w:eastAsia="zh-CN" w:bidi="ar-SA"/>
        </w:rPr>
      </w:pPr>
      <w:r>
        <w:rPr>
          <w:rFonts w:hint="eastAsia" w:ascii="Calibri" w:hAnsi="Calibri" w:eastAsia="宋体" w:cs="Times New Roman"/>
          <w:b w:val="0"/>
          <w:bCs w:val="0"/>
          <w:color w:val="auto"/>
          <w:kern w:val="2"/>
          <w:sz w:val="24"/>
          <w:szCs w:val="24"/>
          <w:lang w:val="en-US" w:eastAsia="zh-CN" w:bidi="ar-SA"/>
        </w:rPr>
        <w:t>6、交货地点：供应商必须把产品送到采购人指定地点。</w:t>
      </w:r>
    </w:p>
    <w:p w14:paraId="54208D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Calibri" w:hAnsi="Calibri" w:eastAsia="宋体" w:cs="Times New Roman"/>
          <w:b w:val="0"/>
          <w:bCs w:val="0"/>
          <w:color w:val="auto"/>
          <w:kern w:val="2"/>
          <w:sz w:val="24"/>
          <w:szCs w:val="24"/>
          <w:lang w:val="en-US" w:eastAsia="zh-CN" w:bidi="ar-SA"/>
        </w:rPr>
        <w:t>7、供货服务要求：派驻技术人员对用户进行免费技术指导，定期现场走访。</w:t>
      </w:r>
    </w:p>
    <w:p w14:paraId="347EEF5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四、产品验收标准和验收方法</w:t>
      </w:r>
    </w:p>
    <w:p w14:paraId="084CF9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kern w:val="2"/>
          <w:sz w:val="24"/>
          <w:szCs w:val="24"/>
          <w:lang w:val="en-US" w:eastAsia="zh-CN" w:bidi="ar-SA"/>
        </w:rPr>
      </w:pPr>
      <w:r>
        <w:rPr>
          <w:rFonts w:hint="eastAsia" w:ascii="Calibri" w:hAnsi="Calibri" w:eastAsia="宋体" w:cs="Times New Roman"/>
          <w:b w:val="0"/>
          <w:bCs w:val="0"/>
          <w:color w:val="auto"/>
          <w:kern w:val="2"/>
          <w:sz w:val="24"/>
          <w:szCs w:val="24"/>
          <w:lang w:val="en-US" w:eastAsia="zh-CN" w:bidi="ar-SA"/>
        </w:rPr>
        <w:t>1、由采购人负责组建验收小组。凡投标产品必须由验收小组鉴定是否符合采购项目的验收标准和实际需要，是否可以投入正常使用。</w:t>
      </w:r>
    </w:p>
    <w:p w14:paraId="57D99A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kern w:val="2"/>
          <w:sz w:val="24"/>
          <w:szCs w:val="24"/>
          <w:lang w:val="en-US" w:eastAsia="zh-CN" w:bidi="ar-SA"/>
        </w:rPr>
      </w:pPr>
      <w:r>
        <w:rPr>
          <w:rFonts w:hint="eastAsia" w:ascii="Calibri" w:hAnsi="Calibri" w:eastAsia="宋体" w:cs="Times New Roman"/>
          <w:b w:val="0"/>
          <w:bCs w:val="0"/>
          <w:color w:val="auto"/>
          <w:kern w:val="2"/>
          <w:sz w:val="24"/>
          <w:szCs w:val="24"/>
          <w:lang w:val="en-US" w:eastAsia="zh-CN" w:bidi="ar-SA"/>
        </w:rPr>
        <w:t>2、中标后，最终验收时间以签订的采购合同为准。</w:t>
      </w:r>
    </w:p>
    <w:p w14:paraId="615018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kern w:val="2"/>
          <w:sz w:val="24"/>
          <w:szCs w:val="24"/>
          <w:lang w:val="en-US" w:eastAsia="zh-CN" w:bidi="ar-SA"/>
        </w:rPr>
      </w:pPr>
      <w:r>
        <w:rPr>
          <w:rFonts w:hint="eastAsia" w:ascii="Calibri" w:hAnsi="Calibri" w:eastAsia="宋体" w:cs="Times New Roman"/>
          <w:b w:val="0"/>
          <w:bCs w:val="0"/>
          <w:color w:val="auto"/>
          <w:kern w:val="2"/>
          <w:sz w:val="24"/>
          <w:szCs w:val="24"/>
          <w:lang w:val="en-US" w:eastAsia="zh-CN" w:bidi="ar-SA"/>
        </w:rPr>
        <w:t>3、中标人产品装运前，应按产品技术标准规定的检验项目进行全面检验。</w:t>
      </w:r>
    </w:p>
    <w:p w14:paraId="5E160A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kern w:val="2"/>
          <w:sz w:val="24"/>
          <w:szCs w:val="24"/>
          <w:lang w:val="en-US" w:eastAsia="zh-CN" w:bidi="ar-SA"/>
        </w:rPr>
      </w:pPr>
      <w:r>
        <w:rPr>
          <w:rFonts w:hint="eastAsia" w:ascii="Calibri" w:hAnsi="Calibri" w:eastAsia="宋体" w:cs="Times New Roman"/>
          <w:b w:val="0"/>
          <w:bCs w:val="0"/>
          <w:color w:val="auto"/>
          <w:kern w:val="2"/>
          <w:sz w:val="24"/>
          <w:szCs w:val="24"/>
          <w:lang w:val="en-US" w:eastAsia="zh-CN" w:bidi="ar-SA"/>
        </w:rPr>
        <w:t>4、产品运抵采购人指定地方后，用户单位将与中标人共同验收，如中标人届时不能到场，则验收结果应以用户单位和当地商检人员的验收报告为最终验收结果。验收时发现短缺、破损，中标人应立即补发和负责更换。</w:t>
      </w:r>
    </w:p>
    <w:p w14:paraId="17F0E45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五、售后服务的要求</w:t>
      </w:r>
    </w:p>
    <w:p w14:paraId="2A640D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kern w:val="2"/>
          <w:sz w:val="24"/>
          <w:szCs w:val="24"/>
          <w:lang w:val="en-US" w:eastAsia="zh-CN" w:bidi="ar-SA"/>
        </w:rPr>
      </w:pPr>
      <w:r>
        <w:rPr>
          <w:rFonts w:hint="eastAsia" w:ascii="Calibri" w:hAnsi="Calibri" w:eastAsia="宋体" w:cs="Times New Roman"/>
          <w:b w:val="0"/>
          <w:bCs w:val="0"/>
          <w:color w:val="auto"/>
          <w:kern w:val="2"/>
          <w:sz w:val="24"/>
          <w:szCs w:val="24"/>
          <w:lang w:val="en-US" w:eastAsia="zh-CN" w:bidi="ar-SA"/>
        </w:rPr>
        <w:t>1、所有产品应具有良好的质量及稳定性，</w:t>
      </w:r>
      <w:r>
        <w:rPr>
          <w:rFonts w:hint="eastAsia" w:ascii="Calibri" w:hAnsi="Calibri" w:eastAsia="宋体" w:cs="Times New Roman"/>
          <w:color w:val="auto"/>
          <w:kern w:val="2"/>
          <w:sz w:val="24"/>
          <w:szCs w:val="24"/>
          <w:lang w:val="en-US" w:eastAsia="zh-CN" w:bidi="ar-SA"/>
        </w:rPr>
        <w:t>项目实施期间提供7*24小时的技术咨询服务，紧急情况需4小时到达内现场处理</w:t>
      </w:r>
      <w:r>
        <w:rPr>
          <w:rFonts w:hint="eastAsia" w:ascii="Calibri" w:hAnsi="Calibri" w:eastAsia="宋体" w:cs="Times New Roman"/>
          <w:b w:val="0"/>
          <w:bCs w:val="0"/>
          <w:color w:val="auto"/>
          <w:kern w:val="2"/>
          <w:sz w:val="24"/>
          <w:szCs w:val="24"/>
          <w:lang w:val="en-US" w:eastAsia="zh-CN" w:bidi="ar-SA"/>
        </w:rPr>
        <w:t>。</w:t>
      </w:r>
    </w:p>
    <w:p w14:paraId="23C3B7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Times New Roman"/>
          <w:b w:val="0"/>
          <w:bCs w:val="0"/>
          <w:color w:val="auto"/>
          <w:kern w:val="2"/>
          <w:sz w:val="24"/>
          <w:szCs w:val="24"/>
          <w:lang w:val="en-US" w:eastAsia="zh-CN" w:bidi="ar-SA"/>
        </w:rPr>
      </w:pPr>
      <w:r>
        <w:rPr>
          <w:rFonts w:hint="eastAsia" w:ascii="Calibri" w:hAnsi="Calibri" w:eastAsia="宋体" w:cs="Times New Roman"/>
          <w:b w:val="0"/>
          <w:bCs w:val="0"/>
          <w:color w:val="auto"/>
          <w:kern w:val="2"/>
          <w:sz w:val="24"/>
          <w:szCs w:val="24"/>
          <w:lang w:val="en-US" w:eastAsia="zh-CN" w:bidi="ar-SA"/>
        </w:rPr>
        <w:t>2、投标人报价应详细说明产品规格、性能、产品售后服务，保证提供7*24小时服务响应。</w:t>
      </w:r>
    </w:p>
    <w:p w14:paraId="6201F5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六、付款方式：</w:t>
      </w:r>
      <w:r>
        <w:rPr>
          <w:rFonts w:hint="eastAsia" w:ascii="宋体" w:hAnsi="宋体" w:eastAsia="宋体" w:cs="宋体"/>
          <w:b w:val="0"/>
          <w:bCs w:val="0"/>
          <w:color w:val="auto"/>
          <w:sz w:val="24"/>
          <w:szCs w:val="24"/>
          <w:lang w:val="en-US" w:eastAsia="zh-CN"/>
        </w:rPr>
        <w:t>按采购人实际需求按批次交货，中标人凭票据到采购人结算后支付，具体以签订合同为准。</w:t>
      </w:r>
    </w:p>
    <w:p w14:paraId="6B5D362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七、其他未尽事宜，由采购人与中标人在签订合同时约定。</w:t>
      </w:r>
    </w:p>
    <w:p w14:paraId="42655F10">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73D81"/>
    <w:rsid w:val="5AB7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keepNext/>
      <w:widowControl w:val="0"/>
      <w:jc w:val="center"/>
      <w:outlineLvl w:val="0"/>
    </w:pPr>
    <w:rPr>
      <w:rFonts w:ascii="Calibri" w:hAnsi="Calibri" w:eastAsia="宋体" w:cs="Times New Roman"/>
      <w:b/>
      <w:bCs/>
      <w:kern w:val="2"/>
      <w:sz w:val="24"/>
      <w:szCs w:val="20"/>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qFormat/>
    <w:uiPriority w:val="99"/>
    <w:pPr>
      <w:widowControl w:val="0"/>
      <w:spacing w:after="120"/>
      <w:ind w:left="420" w:leftChars="200" w:firstLine="420" w:firstLineChars="200"/>
      <w:jc w:val="both"/>
    </w:pPr>
    <w:rPr>
      <w:rFonts w:ascii="Calibri" w:hAnsi="Calibri" w:eastAsia="宋体" w:cs="Times New Roman"/>
      <w:kern w:val="2"/>
      <w:sz w:val="21"/>
      <w:szCs w:val="21"/>
      <w:lang w:val="en-US" w:eastAsia="zh-CN" w:bidi="ar-SA"/>
    </w:rPr>
  </w:style>
  <w:style w:type="paragraph" w:styleId="4">
    <w:name w:val="Body Text Indent"/>
    <w:uiPriority w:val="0"/>
    <w:pPr>
      <w:widowControl w:val="0"/>
      <w:spacing w:after="120"/>
      <w:ind w:left="420" w:left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2025-08-21T06:49:00Z</dcterms:created>
  <dc:creator>Administrator</dc:creator>
  <cp:lastModifiedBy>Administrator</cp:lastModifiedBy>
  <dcterms:modified xsi:type="dcterms:W3CDTF">2025-08-21T06:50:01Z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847BB01DE6364C6C9D7CD5D8A2F92164_11</vt:lpwstr>
  </property>
  <property fmtid="{D5CDD505-2E9C-101B-9397-08002B2CF9AE}" pid="4" name="KSOTemplateDocerSaveRecord">
    <vt:lpwstr>eyJoZGlkIjoiMzg0ZDIyNTViOTE0ZDc1MWZmZDJmYzNiM2ZiZWQ4MWYiLCJ1c2VySWQiOiIxMTQwMzY5MDAwIn0=</vt:lpwstr>
  </property>
</Properties>
</file>