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9BEB691">
      <w:pPr>
        <w:rPr>
          <w:rFonts w:hint="eastAsia" w:ascii="仿宋_GB2312" w:hAnsi="仿宋_GB2312" w:eastAsia="仿宋_GB2312" w:cs="仿宋_GB2312"/>
          <w:sz w:val="36"/>
          <w:szCs w:val="36"/>
        </w:rPr>
      </w:pPr>
    </w:p>
    <w:p w14:paraId="546ED4AE">
      <w:pPr>
        <w:rPr>
          <w:rFonts w:hint="eastAsia" w:ascii="仿宋_GB2312" w:hAnsi="仿宋_GB2312" w:eastAsia="仿宋_GB2312" w:cs="仿宋_GB2312"/>
          <w:sz w:val="36"/>
          <w:szCs w:val="36"/>
        </w:rPr>
      </w:pPr>
    </w:p>
    <w:p w14:paraId="3AE208A7">
      <w:pPr>
        <w:rPr>
          <w:rFonts w:hint="eastAsia" w:ascii="仿宋_GB2312" w:hAnsi="仿宋_GB2312" w:eastAsia="仿宋_GB2312" w:cs="仿宋_GB2312"/>
          <w:sz w:val="36"/>
          <w:szCs w:val="36"/>
        </w:rPr>
      </w:pPr>
    </w:p>
    <w:p w14:paraId="0C72C8A9">
      <w:pPr>
        <w:adjustRightInd w:val="0"/>
        <w:snapToGrid w:val="0"/>
        <w:jc w:val="center"/>
        <w:outlineLvl w:val="0"/>
        <w:rPr>
          <w:rFonts w:ascii="方正小标宋_GBK" w:eastAsia="方正小标宋_GBK"/>
          <w:bCs/>
          <w:sz w:val="72"/>
          <w:szCs w:val="72"/>
        </w:rPr>
      </w:pPr>
      <w:bookmarkStart w:id="0" w:name="_Toc4017"/>
      <w:bookmarkStart w:id="1" w:name="_Toc26861"/>
      <w:r>
        <w:rPr>
          <w:rFonts w:hint="eastAsia" w:ascii="方正小标宋_GBK" w:eastAsia="方正小标宋_GBK"/>
          <w:bCs/>
          <w:sz w:val="72"/>
          <w:szCs w:val="72"/>
        </w:rPr>
        <w:t>建设项目环境影响报告表</w:t>
      </w:r>
      <w:bookmarkEnd w:id="0"/>
      <w:bookmarkEnd w:id="1"/>
    </w:p>
    <w:p w14:paraId="2A88B4A4">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14:paraId="5986C8B9"/>
    <w:p w14:paraId="22CF568C"/>
    <w:p w14:paraId="0737FD93">
      <w:pPr>
        <w:jc w:val="center"/>
        <w:rPr>
          <w:rFonts w:eastAsia="仿宋"/>
          <w:sz w:val="52"/>
          <w:szCs w:val="52"/>
        </w:rPr>
      </w:pPr>
    </w:p>
    <w:p w14:paraId="0A07932C">
      <w:pPr>
        <w:rPr>
          <w:rFonts w:eastAsia="仿宋"/>
          <w:sz w:val="44"/>
          <w:szCs w:val="44"/>
        </w:rPr>
      </w:pPr>
    </w:p>
    <w:p w14:paraId="5FA5BD40">
      <w:pPr>
        <w:rPr>
          <w:rFonts w:eastAsia="仿宋"/>
          <w:sz w:val="44"/>
          <w:szCs w:val="44"/>
        </w:rPr>
      </w:pPr>
    </w:p>
    <w:p w14:paraId="1855365D">
      <w:pPr>
        <w:rPr>
          <w:rFonts w:eastAsia="仿宋"/>
          <w:sz w:val="44"/>
          <w:szCs w:val="44"/>
        </w:rPr>
      </w:pPr>
    </w:p>
    <w:p w14:paraId="7014CE4C">
      <w:pPr>
        <w:rPr>
          <w:rFonts w:eastAsia="仿宋"/>
          <w:sz w:val="44"/>
          <w:szCs w:val="44"/>
        </w:rPr>
      </w:pPr>
    </w:p>
    <w:p w14:paraId="2205052E">
      <w:pPr>
        <w:rPr>
          <w:rFonts w:eastAsia="仿宋"/>
          <w:sz w:val="44"/>
          <w:szCs w:val="44"/>
        </w:rPr>
      </w:pPr>
    </w:p>
    <w:p w14:paraId="35A4800A">
      <w:pPr>
        <w:ind w:firstLine="1040"/>
        <w:rPr>
          <w:rFonts w:eastAsia="仿宋"/>
          <w:sz w:val="44"/>
          <w:szCs w:val="44"/>
        </w:rPr>
      </w:pPr>
    </w:p>
    <w:p w14:paraId="02D0E0AB">
      <w:pPr>
        <w:ind w:firstLine="1040"/>
        <w:rPr>
          <w:rFonts w:eastAsia="仿宋"/>
          <w:sz w:val="44"/>
          <w:szCs w:val="44"/>
        </w:rPr>
      </w:pPr>
    </w:p>
    <w:p w14:paraId="2247BC37">
      <w:pPr>
        <w:ind w:firstLine="1040"/>
        <w:rPr>
          <w:rFonts w:eastAsia="仿宋"/>
          <w:sz w:val="44"/>
          <w:szCs w:val="44"/>
        </w:rPr>
      </w:pPr>
    </w:p>
    <w:p w14:paraId="350C5762">
      <w:pPr>
        <w:adjustRightInd w:val="0"/>
        <w:snapToGrid w:val="0"/>
        <w:spacing w:line="288" w:lineRule="auto"/>
        <w:jc w:val="center"/>
        <w:rPr>
          <w:rFonts w:ascii="仿宋_GB2312" w:eastAsia="仿宋_GB2312"/>
          <w:b/>
          <w:sz w:val="36"/>
          <w:szCs w:val="36"/>
          <w:u w:val="single"/>
        </w:rPr>
      </w:pPr>
      <w:bookmarkStart w:id="2" w:name="_Hlk57884087"/>
      <w:r>
        <w:rPr>
          <w:rFonts w:hint="eastAsia" w:ascii="仿宋_GB2312" w:eastAsia="仿宋_GB2312"/>
          <w:sz w:val="36"/>
          <w:szCs w:val="36"/>
        </w:rPr>
        <w:t>项目名称：</w:t>
      </w:r>
      <w:r>
        <w:rPr>
          <w:rFonts w:hint="eastAsia" w:ascii="仿宋_GB2312" w:eastAsia="仿宋_GB2312"/>
          <w:sz w:val="36"/>
          <w:szCs w:val="36"/>
          <w:u w:val="single"/>
        </w:rPr>
        <w:t xml:space="preserve">  湖南康康生物科技有限公司布草洗涤车间扩建及生物质锅炉变更建设项目</w:t>
      </w:r>
    </w:p>
    <w:p w14:paraId="35812D6F">
      <w:pPr>
        <w:adjustRightInd w:val="0"/>
        <w:snapToGrid w:val="0"/>
        <w:spacing w:line="288" w:lineRule="auto"/>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 xml:space="preserve"> 湖南康康生物科技有限公司  </w:t>
      </w:r>
    </w:p>
    <w:p w14:paraId="37B8C534">
      <w:pPr>
        <w:adjustRightInd w:val="0"/>
        <w:snapToGrid w:val="0"/>
        <w:spacing w:line="288" w:lineRule="auto"/>
        <w:rPr>
          <w:rFonts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 xml:space="preserve">           202</w:t>
      </w:r>
      <w:r>
        <w:rPr>
          <w:rFonts w:hint="eastAsia" w:ascii="仿宋_GB2312" w:eastAsia="仿宋_GB2312"/>
          <w:sz w:val="36"/>
          <w:szCs w:val="36"/>
          <w:u w:val="single"/>
          <w:lang w:val="en-US" w:eastAsia="zh-CN"/>
        </w:rPr>
        <w:t>5</w:t>
      </w:r>
      <w:r>
        <w:rPr>
          <w:rFonts w:hint="eastAsia" w:ascii="仿宋_GB2312" w:eastAsia="仿宋_GB2312"/>
          <w:sz w:val="36"/>
          <w:szCs w:val="36"/>
          <w:u w:val="single"/>
        </w:rPr>
        <w:t>年</w:t>
      </w:r>
      <w:r>
        <w:rPr>
          <w:rFonts w:hint="eastAsia" w:ascii="仿宋_GB2312" w:eastAsia="仿宋_GB2312"/>
          <w:sz w:val="36"/>
          <w:szCs w:val="36"/>
          <w:u w:val="single"/>
          <w:lang w:val="en-US" w:eastAsia="zh-CN"/>
        </w:rPr>
        <w:t>7</w:t>
      </w:r>
      <w:r>
        <w:rPr>
          <w:rFonts w:hint="eastAsia" w:ascii="仿宋_GB2312" w:eastAsia="仿宋_GB2312"/>
          <w:sz w:val="36"/>
          <w:szCs w:val="36"/>
          <w:u w:val="single"/>
        </w:rPr>
        <w:t>月</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14:paraId="4672397A">
      <w:pPr>
        <w:adjustRightInd w:val="0"/>
        <w:snapToGrid w:val="0"/>
        <w:spacing w:line="288" w:lineRule="auto"/>
        <w:ind w:firstLine="1040"/>
        <w:rPr>
          <w:rFonts w:ascii="仿宋_GB2312" w:eastAsia="仿宋_GB2312"/>
          <w:sz w:val="36"/>
          <w:szCs w:val="36"/>
          <w:u w:val="single"/>
        </w:rPr>
      </w:pPr>
    </w:p>
    <w:p w14:paraId="2713D224">
      <w:pPr>
        <w:adjustRightInd w:val="0"/>
        <w:snapToGrid w:val="0"/>
        <w:spacing w:line="288" w:lineRule="auto"/>
        <w:ind w:firstLine="1040"/>
        <w:rPr>
          <w:rFonts w:ascii="仿宋_GB2312" w:eastAsia="仿宋_GB2312"/>
          <w:sz w:val="36"/>
          <w:szCs w:val="36"/>
        </w:rPr>
      </w:pPr>
    </w:p>
    <w:p w14:paraId="3E717A3B">
      <w:pPr>
        <w:adjustRightInd w:val="0"/>
        <w:snapToGrid w:val="0"/>
        <w:spacing w:line="288" w:lineRule="auto"/>
        <w:ind w:firstLine="1040"/>
        <w:rPr>
          <w:rFonts w:ascii="仿宋_GB2312" w:eastAsia="仿宋_GB2312"/>
          <w:sz w:val="36"/>
          <w:szCs w:val="36"/>
        </w:rPr>
      </w:pPr>
    </w:p>
    <w:bookmarkEnd w:id="2"/>
    <w:p w14:paraId="226B0A65">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14:paraId="4DD47695">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1"/>
        <w:gridCol w:w="7057"/>
        <w:gridCol w:w="1682"/>
      </w:tblGrid>
      <w:tr w14:paraId="51F99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gridSpan w:val="3"/>
            <w:vAlign w:val="center"/>
          </w:tcPr>
          <w:p w14:paraId="34CB736F">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eastAsia="宋体"/>
                <w:sz w:val="21"/>
                <w:szCs w:val="21"/>
                <w:vertAlign w:val="baseline"/>
                <w:lang w:val="en-US" w:eastAsia="zh-CN"/>
              </w:rPr>
            </w:pPr>
            <w:r>
              <w:rPr>
                <w:rFonts w:hint="eastAsia"/>
                <w:sz w:val="21"/>
                <w:szCs w:val="21"/>
                <w:vertAlign w:val="baseline"/>
                <w:lang w:val="en-US" w:eastAsia="zh-CN"/>
              </w:rPr>
              <w:t>专家意见修改对照表</w:t>
            </w:r>
          </w:p>
        </w:tc>
      </w:tr>
      <w:tr w14:paraId="0C07A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35FEFCAE">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1</w:t>
            </w:r>
          </w:p>
        </w:tc>
        <w:tc>
          <w:tcPr>
            <w:tcW w:w="0" w:type="auto"/>
            <w:vAlign w:val="center"/>
          </w:tcPr>
          <w:p w14:paraId="6A538BF2">
            <w:pPr>
              <w:keepNext w:val="0"/>
              <w:keepLines w:val="0"/>
              <w:pageBreakBefore w:val="0"/>
              <w:kinsoku/>
              <w:wordWrap/>
              <w:overflowPunct/>
              <w:topLinePunct w:val="0"/>
              <w:autoSpaceDE/>
              <w:autoSpaceDN/>
              <w:bidi w:val="0"/>
              <w:adjustRightInd w:val="0"/>
              <w:snapToGrid w:val="0"/>
              <w:spacing w:line="360" w:lineRule="auto"/>
              <w:jc w:val="center"/>
              <w:textAlignment w:val="auto"/>
              <w:rPr>
                <w:color w:val="auto"/>
                <w:sz w:val="21"/>
                <w:szCs w:val="21"/>
                <w:vertAlign w:val="baseline"/>
              </w:rPr>
            </w:pPr>
            <w:r>
              <w:rPr>
                <w:rFonts w:hint="eastAsia"/>
                <w:bCs/>
                <w:color w:val="auto"/>
                <w:sz w:val="21"/>
                <w:szCs w:val="21"/>
              </w:rPr>
              <w:t>完善调查现有工程存在的主要环境问题，细化“以新带老”整改措施要求；</w:t>
            </w:r>
          </w:p>
        </w:tc>
        <w:tc>
          <w:tcPr>
            <w:tcW w:w="0" w:type="auto"/>
            <w:vAlign w:val="center"/>
          </w:tcPr>
          <w:p w14:paraId="275793B4">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eastAsia="zh-CN"/>
              </w:rPr>
              <w:t>已完善，详见</w:t>
            </w:r>
            <w:r>
              <w:rPr>
                <w:rFonts w:hint="eastAsia"/>
                <w:color w:val="auto"/>
                <w:sz w:val="21"/>
                <w:szCs w:val="21"/>
                <w:vertAlign w:val="baseline"/>
                <w:lang w:val="en-US" w:eastAsia="zh-CN"/>
              </w:rPr>
              <w:t>P32。</w:t>
            </w:r>
          </w:p>
        </w:tc>
      </w:tr>
      <w:tr w14:paraId="104D5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16CE3E09">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2</w:t>
            </w:r>
          </w:p>
        </w:tc>
        <w:tc>
          <w:tcPr>
            <w:tcW w:w="0" w:type="auto"/>
            <w:vAlign w:val="center"/>
          </w:tcPr>
          <w:p w14:paraId="0E7F6907">
            <w:pPr>
              <w:keepNext w:val="0"/>
              <w:keepLines w:val="0"/>
              <w:pageBreakBefore w:val="0"/>
              <w:kinsoku/>
              <w:wordWrap/>
              <w:overflowPunct/>
              <w:topLinePunct w:val="0"/>
              <w:autoSpaceDE/>
              <w:autoSpaceDN/>
              <w:bidi w:val="0"/>
              <w:adjustRightInd w:val="0"/>
              <w:snapToGrid w:val="0"/>
              <w:spacing w:line="360" w:lineRule="auto"/>
              <w:jc w:val="center"/>
              <w:textAlignment w:val="auto"/>
              <w:rPr>
                <w:color w:val="auto"/>
                <w:sz w:val="21"/>
                <w:szCs w:val="21"/>
                <w:vertAlign w:val="baseline"/>
              </w:rPr>
            </w:pPr>
            <w:r>
              <w:rPr>
                <w:rFonts w:hint="eastAsia"/>
                <w:bCs/>
                <w:color w:val="auto"/>
                <w:sz w:val="21"/>
                <w:szCs w:val="21"/>
              </w:rPr>
              <w:t>明确各类洗涤品清洗线数量，核实原辅料种类、消耗量，从产能扩大角度说明锅炉吨位设置合理性，核实燃料消耗量；核实现有工程、扩建工程生产设备变化情况；</w:t>
            </w:r>
          </w:p>
        </w:tc>
        <w:tc>
          <w:tcPr>
            <w:tcW w:w="0" w:type="auto"/>
            <w:vAlign w:val="center"/>
          </w:tcPr>
          <w:p w14:paraId="303EA20B">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eastAsia="zh-CN"/>
              </w:rPr>
              <w:t>已明确并核实，详见</w:t>
            </w:r>
            <w:r>
              <w:rPr>
                <w:rFonts w:hint="eastAsia"/>
                <w:color w:val="auto"/>
                <w:sz w:val="21"/>
                <w:szCs w:val="21"/>
                <w:vertAlign w:val="baseline"/>
                <w:lang w:val="en-US" w:eastAsia="zh-CN"/>
              </w:rPr>
              <w:t>P14-17、P42；</w:t>
            </w:r>
          </w:p>
        </w:tc>
      </w:tr>
      <w:tr w14:paraId="0B85B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F34BA47">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3</w:t>
            </w:r>
          </w:p>
        </w:tc>
        <w:tc>
          <w:tcPr>
            <w:tcW w:w="0" w:type="auto"/>
            <w:vAlign w:val="center"/>
          </w:tcPr>
          <w:p w14:paraId="633BDE2B">
            <w:pPr>
              <w:keepNext w:val="0"/>
              <w:keepLines w:val="0"/>
              <w:pageBreakBefore w:val="0"/>
              <w:kinsoku/>
              <w:wordWrap/>
              <w:overflowPunct/>
              <w:topLinePunct w:val="0"/>
              <w:autoSpaceDE/>
              <w:autoSpaceDN/>
              <w:bidi w:val="0"/>
              <w:adjustRightInd w:val="0"/>
              <w:snapToGrid w:val="0"/>
              <w:spacing w:line="360" w:lineRule="auto"/>
              <w:jc w:val="center"/>
              <w:textAlignment w:val="auto"/>
              <w:rPr>
                <w:color w:val="auto"/>
                <w:sz w:val="21"/>
                <w:szCs w:val="21"/>
                <w:vertAlign w:val="baseline"/>
              </w:rPr>
            </w:pPr>
            <w:r>
              <w:rPr>
                <w:rFonts w:hint="eastAsia"/>
                <w:bCs/>
                <w:color w:val="auto"/>
                <w:sz w:val="21"/>
                <w:szCs w:val="21"/>
              </w:rPr>
              <w:t>分别完善各类洗涤品生产工艺流程与产排污节点图，细化漂洗次数、洗涤温度、锅炉热水温度、熨烫温度等参数；</w:t>
            </w:r>
          </w:p>
        </w:tc>
        <w:tc>
          <w:tcPr>
            <w:tcW w:w="0" w:type="auto"/>
            <w:vAlign w:val="center"/>
          </w:tcPr>
          <w:p w14:paraId="3E30FBC6">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eastAsia="zh-CN"/>
              </w:rPr>
              <w:t>已完善，详见</w:t>
            </w:r>
            <w:r>
              <w:rPr>
                <w:rFonts w:hint="eastAsia"/>
                <w:color w:val="auto"/>
                <w:sz w:val="21"/>
                <w:szCs w:val="21"/>
                <w:vertAlign w:val="baseline"/>
                <w:lang w:val="en-US" w:eastAsia="zh-CN"/>
              </w:rPr>
              <w:t>P21-23；</w:t>
            </w:r>
          </w:p>
        </w:tc>
      </w:tr>
      <w:tr w14:paraId="62308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56B7F82A">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4</w:t>
            </w:r>
          </w:p>
        </w:tc>
        <w:tc>
          <w:tcPr>
            <w:tcW w:w="0" w:type="auto"/>
            <w:vAlign w:val="center"/>
          </w:tcPr>
          <w:p w14:paraId="64305E5C">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0"/>
              <w:rPr>
                <w:color w:val="auto"/>
                <w:sz w:val="21"/>
                <w:szCs w:val="21"/>
                <w:vertAlign w:val="baseline"/>
              </w:rPr>
            </w:pPr>
            <w:bookmarkStart w:id="3" w:name="_Toc326"/>
            <w:r>
              <w:rPr>
                <w:rFonts w:hint="eastAsia"/>
                <w:bCs/>
                <w:color w:val="auto"/>
                <w:sz w:val="21"/>
                <w:szCs w:val="21"/>
              </w:rPr>
              <w:t>补充地面保洁废水产排污源强，核实锅炉软水制备浓水去向，补充锅炉定期排污水量，核实洗涤用水标准，核实项目废水产排量、水平衡图，细化废水处理工艺参数，核实扩建前后厂区污水量变化情况，从废水量角度完善说明扩建项目废水依托现有工程污水处理站处理可行性；</w:t>
            </w:r>
            <w:bookmarkEnd w:id="3"/>
          </w:p>
        </w:tc>
        <w:tc>
          <w:tcPr>
            <w:tcW w:w="0" w:type="auto"/>
            <w:vAlign w:val="center"/>
          </w:tcPr>
          <w:p w14:paraId="23D9DC91">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eastAsia="zh-CN"/>
              </w:rPr>
              <w:t>已补充核实，详见</w:t>
            </w:r>
            <w:r>
              <w:rPr>
                <w:rFonts w:hint="eastAsia"/>
                <w:color w:val="auto"/>
                <w:sz w:val="21"/>
                <w:szCs w:val="21"/>
                <w:vertAlign w:val="baseline"/>
                <w:lang w:val="en-US" w:eastAsia="zh-CN"/>
              </w:rPr>
              <w:t>P17-19、P47-48；</w:t>
            </w:r>
          </w:p>
        </w:tc>
      </w:tr>
      <w:tr w14:paraId="76A8A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3F14581E">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val="en-US" w:eastAsia="zh-CN"/>
              </w:rPr>
              <w:t>5</w:t>
            </w:r>
          </w:p>
        </w:tc>
        <w:tc>
          <w:tcPr>
            <w:tcW w:w="0" w:type="auto"/>
            <w:vAlign w:val="center"/>
          </w:tcPr>
          <w:p w14:paraId="56487344">
            <w:pPr>
              <w:keepNext w:val="0"/>
              <w:keepLines w:val="0"/>
              <w:pageBreakBefore w:val="0"/>
              <w:widowControl/>
              <w:kinsoku/>
              <w:wordWrap/>
              <w:overflowPunct/>
              <w:topLinePunct w:val="0"/>
              <w:autoSpaceDE/>
              <w:autoSpaceDN/>
              <w:bidi w:val="0"/>
              <w:adjustRightInd w:val="0"/>
              <w:snapToGrid w:val="0"/>
              <w:spacing w:line="360" w:lineRule="auto"/>
              <w:jc w:val="center"/>
              <w:textAlignment w:val="auto"/>
              <w:outlineLvl w:val="0"/>
              <w:rPr>
                <w:color w:val="auto"/>
                <w:sz w:val="21"/>
                <w:szCs w:val="21"/>
                <w:vertAlign w:val="baseline"/>
              </w:rPr>
            </w:pPr>
            <w:bookmarkStart w:id="4" w:name="_Toc24558"/>
            <w:r>
              <w:rPr>
                <w:rFonts w:hint="eastAsia"/>
                <w:bCs/>
                <w:color w:val="auto"/>
                <w:sz w:val="21"/>
                <w:szCs w:val="21"/>
              </w:rPr>
              <w:t>核实锅炉大气污染物产排污源强，补充烘干纤维尘产排污量分析，明确收尘方式；</w:t>
            </w:r>
            <w:bookmarkEnd w:id="4"/>
          </w:p>
        </w:tc>
        <w:tc>
          <w:tcPr>
            <w:tcW w:w="0" w:type="auto"/>
            <w:vAlign w:val="center"/>
          </w:tcPr>
          <w:p w14:paraId="5236F329">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eastAsia="zh-CN"/>
              </w:rPr>
              <w:t>已核实补充，详见</w:t>
            </w:r>
            <w:r>
              <w:rPr>
                <w:rFonts w:hint="eastAsia"/>
                <w:color w:val="auto"/>
                <w:sz w:val="21"/>
                <w:szCs w:val="21"/>
                <w:vertAlign w:val="baseline"/>
                <w:lang w:val="en-US" w:eastAsia="zh-CN"/>
              </w:rPr>
              <w:t>P41-44、P57；</w:t>
            </w:r>
          </w:p>
        </w:tc>
      </w:tr>
      <w:tr w14:paraId="2494C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7CAEF62B">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6</w:t>
            </w:r>
          </w:p>
        </w:tc>
        <w:tc>
          <w:tcPr>
            <w:tcW w:w="0" w:type="auto"/>
            <w:vAlign w:val="center"/>
          </w:tcPr>
          <w:p w14:paraId="37638E12">
            <w:pPr>
              <w:keepNext w:val="0"/>
              <w:keepLines w:val="0"/>
              <w:pageBreakBefore w:val="0"/>
              <w:kinsoku/>
              <w:wordWrap/>
              <w:overflowPunct/>
              <w:topLinePunct w:val="0"/>
              <w:autoSpaceDE/>
              <w:autoSpaceDN/>
              <w:bidi w:val="0"/>
              <w:adjustRightInd w:val="0"/>
              <w:snapToGrid w:val="0"/>
              <w:spacing w:line="360" w:lineRule="auto"/>
              <w:jc w:val="center"/>
              <w:textAlignment w:val="auto"/>
              <w:rPr>
                <w:color w:val="auto"/>
                <w:sz w:val="21"/>
                <w:szCs w:val="21"/>
                <w:vertAlign w:val="baseline"/>
              </w:rPr>
            </w:pPr>
            <w:r>
              <w:rPr>
                <w:rFonts w:hint="eastAsia"/>
                <w:bCs/>
                <w:color w:val="auto"/>
                <w:sz w:val="21"/>
                <w:szCs w:val="21"/>
              </w:rPr>
              <w:t>补充“三本账”分析，核实总量控制指标，</w:t>
            </w:r>
            <w:r>
              <w:rPr>
                <w:bCs/>
                <w:color w:val="auto"/>
                <w:sz w:val="21"/>
                <w:szCs w:val="21"/>
              </w:rPr>
              <w:t>核实环保投资，</w:t>
            </w:r>
            <w:r>
              <w:rPr>
                <w:rFonts w:hint="eastAsia"/>
                <w:bCs/>
                <w:color w:val="auto"/>
                <w:sz w:val="21"/>
                <w:szCs w:val="21"/>
              </w:rPr>
              <w:t>完善环保措施监督检查清单。</w:t>
            </w:r>
          </w:p>
        </w:tc>
        <w:tc>
          <w:tcPr>
            <w:tcW w:w="0" w:type="auto"/>
            <w:vAlign w:val="center"/>
          </w:tcPr>
          <w:p w14:paraId="04D2143B">
            <w:pPr>
              <w:keepNext w:val="0"/>
              <w:keepLines w:val="0"/>
              <w:pageBreakBefore w:val="0"/>
              <w:kinsoku/>
              <w:wordWrap/>
              <w:overflowPunct/>
              <w:topLinePunct w:val="0"/>
              <w:autoSpaceDE/>
              <w:autoSpaceDN/>
              <w:bidi w:val="0"/>
              <w:adjustRightInd w:val="0"/>
              <w:snapToGrid w:val="0"/>
              <w:spacing w:line="360" w:lineRule="auto"/>
              <w:jc w:val="center"/>
              <w:textAlignment w:val="auto"/>
              <w:rPr>
                <w:rFonts w:hint="default" w:eastAsia="宋体"/>
                <w:color w:val="auto"/>
                <w:sz w:val="21"/>
                <w:szCs w:val="21"/>
                <w:vertAlign w:val="baseline"/>
                <w:lang w:val="en-US" w:eastAsia="zh-CN"/>
              </w:rPr>
            </w:pPr>
            <w:r>
              <w:rPr>
                <w:rFonts w:hint="eastAsia"/>
                <w:color w:val="auto"/>
                <w:sz w:val="21"/>
                <w:szCs w:val="21"/>
                <w:vertAlign w:val="baseline"/>
                <w:lang w:eastAsia="zh-CN"/>
              </w:rPr>
              <w:t>已补充核实，详见</w:t>
            </w:r>
            <w:r>
              <w:rPr>
                <w:rFonts w:hint="eastAsia"/>
                <w:color w:val="auto"/>
                <w:sz w:val="21"/>
                <w:szCs w:val="21"/>
                <w:vertAlign w:val="baseline"/>
                <w:lang w:val="en-US" w:eastAsia="zh-CN"/>
              </w:rPr>
              <w:t>P1、39、67-70；</w:t>
            </w:r>
          </w:p>
        </w:tc>
      </w:tr>
    </w:tbl>
    <w:p w14:paraId="0CB3EBDE">
      <w:pPr>
        <w:adjustRightInd w:val="0"/>
        <w:snapToGrid w:val="0"/>
        <w:spacing w:line="288" w:lineRule="auto"/>
        <w:ind w:firstLine="1040"/>
        <w:rPr>
          <w:rFonts w:ascii="仿宋_GB2312" w:eastAsia="仿宋_GB2312"/>
          <w:sz w:val="36"/>
          <w:szCs w:val="36"/>
        </w:rPr>
        <w:sectPr>
          <w:pgSz w:w="11906" w:h="16838"/>
          <w:pgMar w:top="1701" w:right="1531" w:bottom="1701" w:left="1531" w:header="851" w:footer="1077" w:gutter="0"/>
          <w:pgNumType w:start="3"/>
          <w:cols w:space="720" w:num="1"/>
          <w:docGrid w:linePitch="312" w:charSpace="0"/>
        </w:sectPr>
      </w:pPr>
      <w:bookmarkStart w:id="62" w:name="_GoBack"/>
      <w:bookmarkEnd w:id="62"/>
    </w:p>
    <w:sdt>
      <w:sdtPr>
        <w:rPr>
          <w:rFonts w:ascii="宋体" w:hAnsi="宋体" w:eastAsia="宋体" w:cs="Times New Roman"/>
          <w:kern w:val="2"/>
          <w:sz w:val="21"/>
          <w:szCs w:val="24"/>
          <w:lang w:val="en-US" w:eastAsia="zh-CN" w:bidi="ar-SA"/>
        </w:rPr>
        <w:id w:val="147481211"/>
        <w15:color w:val="DBDBDB"/>
        <w:docPartObj>
          <w:docPartGallery w:val="Table of Contents"/>
          <w:docPartUnique/>
        </w:docPartObj>
      </w:sdtPr>
      <w:sdtEndPr>
        <w:rPr>
          <w:rFonts w:ascii="仿宋_GB2312" w:hAnsi="Times New Roman" w:eastAsia="仿宋_GB2312" w:cs="Times New Roman"/>
          <w:kern w:val="2"/>
          <w:sz w:val="21"/>
          <w:szCs w:val="36"/>
          <w:lang w:val="en-US" w:eastAsia="zh-CN" w:bidi="ar-SA"/>
        </w:rPr>
      </w:sdtEndPr>
      <w:sdtContent>
        <w:p w14:paraId="2A51A43F">
          <w:pPr>
            <w:spacing w:before="0" w:beforeLines="0" w:after="0" w:afterLines="0" w:line="360" w:lineRule="auto"/>
            <w:ind w:left="0" w:leftChars="0" w:right="0" w:rightChars="0" w:firstLine="0" w:firstLineChars="0"/>
            <w:jc w:val="center"/>
            <w:rPr>
              <w:sz w:val="24"/>
              <w:szCs w:val="24"/>
            </w:rPr>
          </w:pPr>
          <w:r>
            <w:rPr>
              <w:rFonts w:ascii="宋体" w:hAnsi="宋体" w:eastAsia="宋体"/>
              <w:sz w:val="24"/>
              <w:szCs w:val="24"/>
            </w:rPr>
            <w:t>目录</w:t>
          </w:r>
        </w:p>
        <w:p w14:paraId="7E8D4A2C">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TOC \o "1-1" \h \u </w:instrText>
          </w:r>
          <w:r>
            <w:rPr>
              <w:rFonts w:ascii="仿宋_GB2312" w:eastAsia="仿宋_GB2312"/>
              <w:sz w:val="24"/>
              <w:szCs w:val="24"/>
            </w:rPr>
            <w:fldChar w:fldCharType="separate"/>
          </w:r>
          <w:r>
            <w:rPr>
              <w:rFonts w:ascii="仿宋_GB2312" w:eastAsia="仿宋_GB2312"/>
              <w:sz w:val="24"/>
              <w:szCs w:val="24"/>
            </w:rPr>
            <w:fldChar w:fldCharType="begin"/>
          </w:r>
          <w:r>
            <w:rPr>
              <w:rFonts w:ascii="仿宋_GB2312" w:eastAsia="仿宋_GB2312"/>
              <w:sz w:val="24"/>
              <w:szCs w:val="24"/>
            </w:rPr>
            <w:instrText xml:space="preserve"> HYPERLINK \l _Toc21391 </w:instrText>
          </w:r>
          <w:r>
            <w:rPr>
              <w:rFonts w:ascii="仿宋_GB2312" w:eastAsia="仿宋_GB2312"/>
              <w:sz w:val="24"/>
              <w:szCs w:val="24"/>
            </w:rPr>
            <w:fldChar w:fldCharType="separate"/>
          </w:r>
          <w:r>
            <w:rPr>
              <w:rFonts w:hint="eastAsia"/>
              <w:sz w:val="24"/>
              <w:szCs w:val="24"/>
            </w:rPr>
            <w:t>一、建设项目基本情况</w:t>
          </w:r>
          <w:r>
            <w:rPr>
              <w:sz w:val="24"/>
              <w:szCs w:val="24"/>
            </w:rPr>
            <w:tab/>
          </w:r>
          <w:r>
            <w:rPr>
              <w:sz w:val="24"/>
              <w:szCs w:val="24"/>
            </w:rPr>
            <w:fldChar w:fldCharType="begin"/>
          </w:r>
          <w:r>
            <w:rPr>
              <w:sz w:val="24"/>
              <w:szCs w:val="24"/>
            </w:rPr>
            <w:instrText xml:space="preserve"> PAGEREF _Toc21391 \h </w:instrText>
          </w:r>
          <w:r>
            <w:rPr>
              <w:sz w:val="24"/>
              <w:szCs w:val="24"/>
            </w:rPr>
            <w:fldChar w:fldCharType="separate"/>
          </w:r>
          <w:r>
            <w:rPr>
              <w:sz w:val="24"/>
              <w:szCs w:val="24"/>
            </w:rPr>
            <w:t>1</w:t>
          </w:r>
          <w:r>
            <w:rPr>
              <w:sz w:val="24"/>
              <w:szCs w:val="24"/>
            </w:rPr>
            <w:fldChar w:fldCharType="end"/>
          </w:r>
          <w:r>
            <w:rPr>
              <w:rFonts w:ascii="仿宋_GB2312" w:eastAsia="仿宋_GB2312"/>
              <w:sz w:val="24"/>
              <w:szCs w:val="24"/>
            </w:rPr>
            <w:fldChar w:fldCharType="end"/>
          </w:r>
        </w:p>
        <w:p w14:paraId="11073E35">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_Toc30157 </w:instrText>
          </w:r>
          <w:r>
            <w:rPr>
              <w:rFonts w:ascii="仿宋_GB2312" w:eastAsia="仿宋_GB2312"/>
              <w:sz w:val="24"/>
              <w:szCs w:val="24"/>
            </w:rPr>
            <w:fldChar w:fldCharType="separate"/>
          </w:r>
          <w:r>
            <w:rPr>
              <w:rFonts w:hint="eastAsia"/>
              <w:sz w:val="24"/>
              <w:szCs w:val="24"/>
            </w:rPr>
            <w:t>二、建设项目工程分析</w:t>
          </w:r>
          <w:r>
            <w:rPr>
              <w:sz w:val="24"/>
              <w:szCs w:val="24"/>
            </w:rPr>
            <w:tab/>
          </w:r>
          <w:r>
            <w:rPr>
              <w:sz w:val="24"/>
              <w:szCs w:val="24"/>
            </w:rPr>
            <w:fldChar w:fldCharType="begin"/>
          </w:r>
          <w:r>
            <w:rPr>
              <w:sz w:val="24"/>
              <w:szCs w:val="24"/>
            </w:rPr>
            <w:instrText xml:space="preserve"> PAGEREF _Toc30157 \h </w:instrText>
          </w:r>
          <w:r>
            <w:rPr>
              <w:sz w:val="24"/>
              <w:szCs w:val="24"/>
            </w:rPr>
            <w:fldChar w:fldCharType="separate"/>
          </w:r>
          <w:r>
            <w:rPr>
              <w:sz w:val="24"/>
              <w:szCs w:val="24"/>
            </w:rPr>
            <w:t>11</w:t>
          </w:r>
          <w:r>
            <w:rPr>
              <w:sz w:val="24"/>
              <w:szCs w:val="24"/>
            </w:rPr>
            <w:fldChar w:fldCharType="end"/>
          </w:r>
          <w:r>
            <w:rPr>
              <w:rFonts w:ascii="仿宋_GB2312" w:eastAsia="仿宋_GB2312"/>
              <w:sz w:val="24"/>
              <w:szCs w:val="24"/>
            </w:rPr>
            <w:fldChar w:fldCharType="end"/>
          </w:r>
        </w:p>
        <w:p w14:paraId="38F975C0">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_Toc21473 </w:instrText>
          </w:r>
          <w:r>
            <w:rPr>
              <w:rFonts w:ascii="仿宋_GB2312" w:eastAsia="仿宋_GB2312"/>
              <w:sz w:val="24"/>
              <w:szCs w:val="24"/>
            </w:rPr>
            <w:fldChar w:fldCharType="separate"/>
          </w:r>
          <w:r>
            <w:rPr>
              <w:rFonts w:hint="eastAsia"/>
              <w:sz w:val="24"/>
              <w:szCs w:val="24"/>
            </w:rPr>
            <w:t>三、区域环境质量现状、环境保护目标及评价标准</w:t>
          </w:r>
          <w:r>
            <w:rPr>
              <w:sz w:val="24"/>
              <w:szCs w:val="24"/>
            </w:rPr>
            <w:tab/>
          </w:r>
          <w:r>
            <w:rPr>
              <w:sz w:val="24"/>
              <w:szCs w:val="24"/>
            </w:rPr>
            <w:fldChar w:fldCharType="begin"/>
          </w:r>
          <w:r>
            <w:rPr>
              <w:sz w:val="24"/>
              <w:szCs w:val="24"/>
            </w:rPr>
            <w:instrText xml:space="preserve"> PAGEREF _Toc21473 \h </w:instrText>
          </w:r>
          <w:r>
            <w:rPr>
              <w:sz w:val="24"/>
              <w:szCs w:val="24"/>
            </w:rPr>
            <w:fldChar w:fldCharType="separate"/>
          </w:r>
          <w:r>
            <w:rPr>
              <w:sz w:val="24"/>
              <w:szCs w:val="24"/>
            </w:rPr>
            <w:t>33</w:t>
          </w:r>
          <w:r>
            <w:rPr>
              <w:sz w:val="24"/>
              <w:szCs w:val="24"/>
            </w:rPr>
            <w:fldChar w:fldCharType="end"/>
          </w:r>
          <w:r>
            <w:rPr>
              <w:rFonts w:ascii="仿宋_GB2312" w:eastAsia="仿宋_GB2312"/>
              <w:sz w:val="24"/>
              <w:szCs w:val="24"/>
            </w:rPr>
            <w:fldChar w:fldCharType="end"/>
          </w:r>
        </w:p>
        <w:p w14:paraId="00B41864">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_Toc30383 </w:instrText>
          </w:r>
          <w:r>
            <w:rPr>
              <w:rFonts w:ascii="仿宋_GB2312" w:eastAsia="仿宋_GB2312"/>
              <w:sz w:val="24"/>
              <w:szCs w:val="24"/>
            </w:rPr>
            <w:fldChar w:fldCharType="separate"/>
          </w:r>
          <w:r>
            <w:rPr>
              <w:rFonts w:hint="eastAsia"/>
              <w:sz w:val="24"/>
              <w:szCs w:val="24"/>
            </w:rPr>
            <w:t>四、主要环境影响和保护措施</w:t>
          </w:r>
          <w:r>
            <w:rPr>
              <w:sz w:val="24"/>
              <w:szCs w:val="24"/>
            </w:rPr>
            <w:tab/>
          </w:r>
          <w:r>
            <w:rPr>
              <w:sz w:val="24"/>
              <w:szCs w:val="24"/>
            </w:rPr>
            <w:fldChar w:fldCharType="begin"/>
          </w:r>
          <w:r>
            <w:rPr>
              <w:sz w:val="24"/>
              <w:szCs w:val="24"/>
            </w:rPr>
            <w:instrText xml:space="preserve"> PAGEREF _Toc30383 \h </w:instrText>
          </w:r>
          <w:r>
            <w:rPr>
              <w:sz w:val="24"/>
              <w:szCs w:val="24"/>
            </w:rPr>
            <w:fldChar w:fldCharType="separate"/>
          </w:r>
          <w:r>
            <w:rPr>
              <w:sz w:val="24"/>
              <w:szCs w:val="24"/>
            </w:rPr>
            <w:t>40</w:t>
          </w:r>
          <w:r>
            <w:rPr>
              <w:sz w:val="24"/>
              <w:szCs w:val="24"/>
            </w:rPr>
            <w:fldChar w:fldCharType="end"/>
          </w:r>
          <w:r>
            <w:rPr>
              <w:rFonts w:ascii="仿宋_GB2312" w:eastAsia="仿宋_GB2312"/>
              <w:sz w:val="24"/>
              <w:szCs w:val="24"/>
            </w:rPr>
            <w:fldChar w:fldCharType="end"/>
          </w:r>
        </w:p>
        <w:p w14:paraId="49A5A8D7">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_Toc10145 </w:instrText>
          </w:r>
          <w:r>
            <w:rPr>
              <w:rFonts w:ascii="仿宋_GB2312" w:eastAsia="仿宋_GB2312"/>
              <w:sz w:val="24"/>
              <w:szCs w:val="24"/>
            </w:rPr>
            <w:fldChar w:fldCharType="separate"/>
          </w:r>
          <w:r>
            <w:rPr>
              <w:rFonts w:hint="eastAsia"/>
              <w:sz w:val="24"/>
              <w:szCs w:val="24"/>
            </w:rPr>
            <w:t>五、环境保护措施监督检查清单</w:t>
          </w:r>
          <w:r>
            <w:rPr>
              <w:sz w:val="24"/>
              <w:szCs w:val="24"/>
            </w:rPr>
            <w:tab/>
          </w:r>
          <w:r>
            <w:rPr>
              <w:sz w:val="24"/>
              <w:szCs w:val="24"/>
            </w:rPr>
            <w:fldChar w:fldCharType="begin"/>
          </w:r>
          <w:r>
            <w:rPr>
              <w:sz w:val="24"/>
              <w:szCs w:val="24"/>
            </w:rPr>
            <w:instrText xml:space="preserve"> PAGEREF _Toc10145 \h </w:instrText>
          </w:r>
          <w:r>
            <w:rPr>
              <w:sz w:val="24"/>
              <w:szCs w:val="24"/>
            </w:rPr>
            <w:fldChar w:fldCharType="separate"/>
          </w:r>
          <w:r>
            <w:rPr>
              <w:sz w:val="24"/>
              <w:szCs w:val="24"/>
            </w:rPr>
            <w:t>68</w:t>
          </w:r>
          <w:r>
            <w:rPr>
              <w:sz w:val="24"/>
              <w:szCs w:val="24"/>
            </w:rPr>
            <w:fldChar w:fldCharType="end"/>
          </w:r>
          <w:r>
            <w:rPr>
              <w:rFonts w:ascii="仿宋_GB2312" w:eastAsia="仿宋_GB2312"/>
              <w:sz w:val="24"/>
              <w:szCs w:val="24"/>
            </w:rPr>
            <w:fldChar w:fldCharType="end"/>
          </w:r>
        </w:p>
        <w:p w14:paraId="7A5DC73B">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_Toc23775 </w:instrText>
          </w:r>
          <w:r>
            <w:rPr>
              <w:rFonts w:ascii="仿宋_GB2312" w:eastAsia="仿宋_GB2312"/>
              <w:sz w:val="24"/>
              <w:szCs w:val="24"/>
            </w:rPr>
            <w:fldChar w:fldCharType="separate"/>
          </w:r>
          <w:r>
            <w:rPr>
              <w:rFonts w:hint="eastAsia" w:ascii="Times New Roman" w:hAnsi="Times New Roman" w:eastAsia="黑体"/>
              <w:bCs/>
              <w:kern w:val="44"/>
              <w:sz w:val="24"/>
              <w:szCs w:val="24"/>
            </w:rPr>
            <w:t>六、结论</w:t>
          </w:r>
          <w:r>
            <w:rPr>
              <w:sz w:val="24"/>
              <w:szCs w:val="24"/>
            </w:rPr>
            <w:tab/>
          </w:r>
          <w:r>
            <w:rPr>
              <w:sz w:val="24"/>
              <w:szCs w:val="24"/>
            </w:rPr>
            <w:fldChar w:fldCharType="begin"/>
          </w:r>
          <w:r>
            <w:rPr>
              <w:sz w:val="24"/>
              <w:szCs w:val="24"/>
            </w:rPr>
            <w:instrText xml:space="preserve"> PAGEREF _Toc23775 \h </w:instrText>
          </w:r>
          <w:r>
            <w:rPr>
              <w:sz w:val="24"/>
              <w:szCs w:val="24"/>
            </w:rPr>
            <w:fldChar w:fldCharType="separate"/>
          </w:r>
          <w:r>
            <w:rPr>
              <w:sz w:val="24"/>
              <w:szCs w:val="24"/>
            </w:rPr>
            <w:t>71</w:t>
          </w:r>
          <w:r>
            <w:rPr>
              <w:sz w:val="24"/>
              <w:szCs w:val="24"/>
            </w:rPr>
            <w:fldChar w:fldCharType="end"/>
          </w:r>
          <w:r>
            <w:rPr>
              <w:rFonts w:ascii="仿宋_GB2312" w:eastAsia="仿宋_GB2312"/>
              <w:sz w:val="24"/>
              <w:szCs w:val="24"/>
            </w:rPr>
            <w:fldChar w:fldCharType="end"/>
          </w:r>
        </w:p>
        <w:p w14:paraId="1B1DE35D">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_Toc20679 </w:instrText>
          </w:r>
          <w:r>
            <w:rPr>
              <w:rFonts w:ascii="仿宋_GB2312" w:eastAsia="仿宋_GB2312"/>
              <w:sz w:val="24"/>
              <w:szCs w:val="24"/>
            </w:rPr>
            <w:fldChar w:fldCharType="separate"/>
          </w:r>
          <w:r>
            <w:rPr>
              <w:rFonts w:hint="eastAsia" w:ascii="黑体" w:hAnsi="黑体" w:eastAsia="黑体"/>
              <w:snapToGrid w:val="0"/>
              <w:sz w:val="24"/>
              <w:szCs w:val="24"/>
            </w:rPr>
            <w:t>附表</w:t>
          </w:r>
          <w:r>
            <w:rPr>
              <w:sz w:val="24"/>
              <w:szCs w:val="24"/>
            </w:rPr>
            <w:tab/>
          </w:r>
          <w:r>
            <w:rPr>
              <w:sz w:val="24"/>
              <w:szCs w:val="24"/>
            </w:rPr>
            <w:fldChar w:fldCharType="begin"/>
          </w:r>
          <w:r>
            <w:rPr>
              <w:sz w:val="24"/>
              <w:szCs w:val="24"/>
            </w:rPr>
            <w:instrText xml:space="preserve"> PAGEREF _Toc20679 \h </w:instrText>
          </w:r>
          <w:r>
            <w:rPr>
              <w:sz w:val="24"/>
              <w:szCs w:val="24"/>
            </w:rPr>
            <w:fldChar w:fldCharType="separate"/>
          </w:r>
          <w:r>
            <w:rPr>
              <w:sz w:val="24"/>
              <w:szCs w:val="24"/>
            </w:rPr>
            <w:t>72</w:t>
          </w:r>
          <w:r>
            <w:rPr>
              <w:sz w:val="24"/>
              <w:szCs w:val="24"/>
            </w:rPr>
            <w:fldChar w:fldCharType="end"/>
          </w:r>
          <w:r>
            <w:rPr>
              <w:rFonts w:ascii="仿宋_GB2312" w:eastAsia="仿宋_GB2312"/>
              <w:sz w:val="24"/>
              <w:szCs w:val="24"/>
            </w:rPr>
            <w:fldChar w:fldCharType="end"/>
          </w:r>
        </w:p>
        <w:p w14:paraId="4D7ED4EB">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_Toc5589 </w:instrText>
          </w:r>
          <w:r>
            <w:rPr>
              <w:rFonts w:ascii="仿宋_GB2312" w:eastAsia="仿宋_GB2312"/>
              <w:sz w:val="24"/>
              <w:szCs w:val="24"/>
            </w:rPr>
            <w:fldChar w:fldCharType="separate"/>
          </w:r>
          <w:r>
            <w:rPr>
              <w:rFonts w:hint="eastAsia" w:ascii="黑体" w:hAnsi="黑体" w:eastAsia="黑体"/>
              <w:snapToGrid w:val="0"/>
              <w:sz w:val="24"/>
              <w:szCs w:val="24"/>
            </w:rPr>
            <w:t>建设项目污染物排放量汇总表</w:t>
          </w:r>
          <w:r>
            <w:rPr>
              <w:sz w:val="24"/>
              <w:szCs w:val="24"/>
            </w:rPr>
            <w:tab/>
          </w:r>
          <w:r>
            <w:rPr>
              <w:sz w:val="24"/>
              <w:szCs w:val="24"/>
            </w:rPr>
            <w:fldChar w:fldCharType="begin"/>
          </w:r>
          <w:r>
            <w:rPr>
              <w:sz w:val="24"/>
              <w:szCs w:val="24"/>
            </w:rPr>
            <w:instrText xml:space="preserve"> PAGEREF _Toc5589 \h </w:instrText>
          </w:r>
          <w:r>
            <w:rPr>
              <w:sz w:val="24"/>
              <w:szCs w:val="24"/>
            </w:rPr>
            <w:fldChar w:fldCharType="separate"/>
          </w:r>
          <w:r>
            <w:rPr>
              <w:sz w:val="24"/>
              <w:szCs w:val="24"/>
            </w:rPr>
            <w:t>72</w:t>
          </w:r>
          <w:r>
            <w:rPr>
              <w:sz w:val="24"/>
              <w:szCs w:val="24"/>
            </w:rPr>
            <w:fldChar w:fldCharType="end"/>
          </w:r>
          <w:r>
            <w:rPr>
              <w:rFonts w:ascii="仿宋_GB2312" w:eastAsia="仿宋_GB2312"/>
              <w:sz w:val="24"/>
              <w:szCs w:val="24"/>
            </w:rPr>
            <w:fldChar w:fldCharType="end"/>
          </w:r>
        </w:p>
        <w:p w14:paraId="6AEF9A4C">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_Toc4424 </w:instrText>
          </w:r>
          <w:r>
            <w:rPr>
              <w:rFonts w:ascii="仿宋_GB2312" w:eastAsia="仿宋_GB2312"/>
              <w:sz w:val="24"/>
              <w:szCs w:val="24"/>
            </w:rPr>
            <w:fldChar w:fldCharType="separate"/>
          </w:r>
          <w:r>
            <w:rPr>
              <w:rFonts w:hint="eastAsia"/>
              <w:bCs/>
              <w:sz w:val="24"/>
              <w:szCs w:val="24"/>
            </w:rPr>
            <w:t>附件1  委托书</w:t>
          </w:r>
          <w:r>
            <w:rPr>
              <w:sz w:val="24"/>
              <w:szCs w:val="24"/>
            </w:rPr>
            <w:tab/>
          </w:r>
          <w:r>
            <w:rPr>
              <w:sz w:val="24"/>
              <w:szCs w:val="24"/>
            </w:rPr>
            <w:fldChar w:fldCharType="begin"/>
          </w:r>
          <w:r>
            <w:rPr>
              <w:sz w:val="24"/>
              <w:szCs w:val="24"/>
            </w:rPr>
            <w:instrText xml:space="preserve"> PAGEREF _Toc4424 \h </w:instrText>
          </w:r>
          <w:r>
            <w:rPr>
              <w:sz w:val="24"/>
              <w:szCs w:val="24"/>
            </w:rPr>
            <w:fldChar w:fldCharType="separate"/>
          </w:r>
          <w:r>
            <w:rPr>
              <w:sz w:val="24"/>
              <w:szCs w:val="24"/>
            </w:rPr>
            <w:t>74</w:t>
          </w:r>
          <w:r>
            <w:rPr>
              <w:sz w:val="24"/>
              <w:szCs w:val="24"/>
            </w:rPr>
            <w:fldChar w:fldCharType="end"/>
          </w:r>
          <w:r>
            <w:rPr>
              <w:rFonts w:ascii="仿宋_GB2312" w:eastAsia="仿宋_GB2312"/>
              <w:sz w:val="24"/>
              <w:szCs w:val="24"/>
            </w:rPr>
            <w:fldChar w:fldCharType="end"/>
          </w:r>
        </w:p>
        <w:p w14:paraId="0E989FC4">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_Toc30795 </w:instrText>
          </w:r>
          <w:r>
            <w:rPr>
              <w:rFonts w:ascii="仿宋_GB2312" w:eastAsia="仿宋_GB2312"/>
              <w:sz w:val="24"/>
              <w:szCs w:val="24"/>
            </w:rPr>
            <w:fldChar w:fldCharType="separate"/>
          </w:r>
          <w:r>
            <w:rPr>
              <w:rFonts w:hint="eastAsia"/>
              <w:bCs/>
              <w:sz w:val="24"/>
              <w:szCs w:val="24"/>
            </w:rPr>
            <w:t>附件2 备案证明</w:t>
          </w:r>
          <w:r>
            <w:rPr>
              <w:sz w:val="24"/>
              <w:szCs w:val="24"/>
            </w:rPr>
            <w:tab/>
          </w:r>
          <w:r>
            <w:rPr>
              <w:sz w:val="24"/>
              <w:szCs w:val="24"/>
            </w:rPr>
            <w:fldChar w:fldCharType="begin"/>
          </w:r>
          <w:r>
            <w:rPr>
              <w:sz w:val="24"/>
              <w:szCs w:val="24"/>
            </w:rPr>
            <w:instrText xml:space="preserve"> PAGEREF _Toc30795 \h </w:instrText>
          </w:r>
          <w:r>
            <w:rPr>
              <w:sz w:val="24"/>
              <w:szCs w:val="24"/>
            </w:rPr>
            <w:fldChar w:fldCharType="separate"/>
          </w:r>
          <w:r>
            <w:rPr>
              <w:sz w:val="24"/>
              <w:szCs w:val="24"/>
            </w:rPr>
            <w:t>75</w:t>
          </w:r>
          <w:r>
            <w:rPr>
              <w:sz w:val="24"/>
              <w:szCs w:val="24"/>
            </w:rPr>
            <w:fldChar w:fldCharType="end"/>
          </w:r>
          <w:r>
            <w:rPr>
              <w:rFonts w:ascii="仿宋_GB2312" w:eastAsia="仿宋_GB2312"/>
              <w:sz w:val="24"/>
              <w:szCs w:val="24"/>
            </w:rPr>
            <w:fldChar w:fldCharType="end"/>
          </w:r>
        </w:p>
        <w:p w14:paraId="577F72ED">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_Toc19363 </w:instrText>
          </w:r>
          <w:r>
            <w:rPr>
              <w:rFonts w:ascii="仿宋_GB2312" w:eastAsia="仿宋_GB2312"/>
              <w:sz w:val="24"/>
              <w:szCs w:val="24"/>
            </w:rPr>
            <w:fldChar w:fldCharType="separate"/>
          </w:r>
          <w:r>
            <w:rPr>
              <w:rFonts w:hint="eastAsia"/>
              <w:bCs/>
              <w:sz w:val="24"/>
              <w:szCs w:val="24"/>
            </w:rPr>
            <w:t>附件3 营业执照</w:t>
          </w:r>
          <w:r>
            <w:rPr>
              <w:sz w:val="24"/>
              <w:szCs w:val="24"/>
            </w:rPr>
            <w:tab/>
          </w:r>
          <w:r>
            <w:rPr>
              <w:sz w:val="24"/>
              <w:szCs w:val="24"/>
            </w:rPr>
            <w:fldChar w:fldCharType="begin"/>
          </w:r>
          <w:r>
            <w:rPr>
              <w:sz w:val="24"/>
              <w:szCs w:val="24"/>
            </w:rPr>
            <w:instrText xml:space="preserve"> PAGEREF _Toc19363 \h </w:instrText>
          </w:r>
          <w:r>
            <w:rPr>
              <w:sz w:val="24"/>
              <w:szCs w:val="24"/>
            </w:rPr>
            <w:fldChar w:fldCharType="separate"/>
          </w:r>
          <w:r>
            <w:rPr>
              <w:sz w:val="24"/>
              <w:szCs w:val="24"/>
            </w:rPr>
            <w:t>77</w:t>
          </w:r>
          <w:r>
            <w:rPr>
              <w:sz w:val="24"/>
              <w:szCs w:val="24"/>
            </w:rPr>
            <w:fldChar w:fldCharType="end"/>
          </w:r>
          <w:r>
            <w:rPr>
              <w:rFonts w:ascii="仿宋_GB2312" w:eastAsia="仿宋_GB2312"/>
              <w:sz w:val="24"/>
              <w:szCs w:val="24"/>
            </w:rPr>
            <w:fldChar w:fldCharType="end"/>
          </w:r>
        </w:p>
        <w:p w14:paraId="3CE92A7B">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_Toc15143 </w:instrText>
          </w:r>
          <w:r>
            <w:rPr>
              <w:rFonts w:ascii="仿宋_GB2312" w:eastAsia="仿宋_GB2312"/>
              <w:sz w:val="24"/>
              <w:szCs w:val="24"/>
            </w:rPr>
            <w:fldChar w:fldCharType="separate"/>
          </w:r>
          <w:r>
            <w:rPr>
              <w:rFonts w:hint="eastAsia"/>
              <w:bCs/>
              <w:sz w:val="24"/>
              <w:szCs w:val="24"/>
            </w:rPr>
            <w:t>附件4 原环评批复</w:t>
          </w:r>
          <w:r>
            <w:rPr>
              <w:sz w:val="24"/>
              <w:szCs w:val="24"/>
            </w:rPr>
            <w:tab/>
          </w:r>
          <w:r>
            <w:rPr>
              <w:sz w:val="24"/>
              <w:szCs w:val="24"/>
            </w:rPr>
            <w:fldChar w:fldCharType="begin"/>
          </w:r>
          <w:r>
            <w:rPr>
              <w:sz w:val="24"/>
              <w:szCs w:val="24"/>
            </w:rPr>
            <w:instrText xml:space="preserve"> PAGEREF _Toc15143 \h </w:instrText>
          </w:r>
          <w:r>
            <w:rPr>
              <w:sz w:val="24"/>
              <w:szCs w:val="24"/>
            </w:rPr>
            <w:fldChar w:fldCharType="separate"/>
          </w:r>
          <w:r>
            <w:rPr>
              <w:sz w:val="24"/>
              <w:szCs w:val="24"/>
            </w:rPr>
            <w:t>78</w:t>
          </w:r>
          <w:r>
            <w:rPr>
              <w:sz w:val="24"/>
              <w:szCs w:val="24"/>
            </w:rPr>
            <w:fldChar w:fldCharType="end"/>
          </w:r>
          <w:r>
            <w:rPr>
              <w:rFonts w:ascii="仿宋_GB2312" w:eastAsia="仿宋_GB2312"/>
              <w:sz w:val="24"/>
              <w:szCs w:val="24"/>
            </w:rPr>
            <w:fldChar w:fldCharType="end"/>
          </w:r>
        </w:p>
        <w:p w14:paraId="6AE05DCB">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_Toc26594 </w:instrText>
          </w:r>
          <w:r>
            <w:rPr>
              <w:rFonts w:ascii="仿宋_GB2312" w:eastAsia="仿宋_GB2312"/>
              <w:sz w:val="24"/>
              <w:szCs w:val="24"/>
            </w:rPr>
            <w:fldChar w:fldCharType="separate"/>
          </w:r>
          <w:r>
            <w:rPr>
              <w:rFonts w:hint="eastAsia"/>
              <w:bCs/>
              <w:sz w:val="24"/>
              <w:szCs w:val="24"/>
            </w:rPr>
            <w:t>附件5 验收批复意见</w:t>
          </w:r>
          <w:r>
            <w:rPr>
              <w:sz w:val="24"/>
              <w:szCs w:val="24"/>
            </w:rPr>
            <w:tab/>
          </w:r>
          <w:r>
            <w:rPr>
              <w:sz w:val="24"/>
              <w:szCs w:val="24"/>
            </w:rPr>
            <w:fldChar w:fldCharType="begin"/>
          </w:r>
          <w:r>
            <w:rPr>
              <w:sz w:val="24"/>
              <w:szCs w:val="24"/>
            </w:rPr>
            <w:instrText xml:space="preserve"> PAGEREF _Toc26594 \h </w:instrText>
          </w:r>
          <w:r>
            <w:rPr>
              <w:sz w:val="24"/>
              <w:szCs w:val="24"/>
            </w:rPr>
            <w:fldChar w:fldCharType="separate"/>
          </w:r>
          <w:r>
            <w:rPr>
              <w:sz w:val="24"/>
              <w:szCs w:val="24"/>
            </w:rPr>
            <w:t>81</w:t>
          </w:r>
          <w:r>
            <w:rPr>
              <w:sz w:val="24"/>
              <w:szCs w:val="24"/>
            </w:rPr>
            <w:fldChar w:fldCharType="end"/>
          </w:r>
          <w:r>
            <w:rPr>
              <w:rFonts w:ascii="仿宋_GB2312" w:eastAsia="仿宋_GB2312"/>
              <w:sz w:val="24"/>
              <w:szCs w:val="24"/>
            </w:rPr>
            <w:fldChar w:fldCharType="end"/>
          </w:r>
        </w:p>
        <w:p w14:paraId="72D5AE0B">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_Toc2058 </w:instrText>
          </w:r>
          <w:r>
            <w:rPr>
              <w:rFonts w:ascii="仿宋_GB2312" w:eastAsia="仿宋_GB2312"/>
              <w:sz w:val="24"/>
              <w:szCs w:val="24"/>
            </w:rPr>
            <w:fldChar w:fldCharType="separate"/>
          </w:r>
          <w:r>
            <w:rPr>
              <w:rFonts w:hint="eastAsia"/>
              <w:bCs/>
              <w:sz w:val="24"/>
              <w:szCs w:val="24"/>
            </w:rPr>
            <w:t>附件6 排污许可证明</w:t>
          </w:r>
          <w:r>
            <w:rPr>
              <w:sz w:val="24"/>
              <w:szCs w:val="24"/>
            </w:rPr>
            <w:tab/>
          </w:r>
          <w:r>
            <w:rPr>
              <w:sz w:val="24"/>
              <w:szCs w:val="24"/>
            </w:rPr>
            <w:fldChar w:fldCharType="begin"/>
          </w:r>
          <w:r>
            <w:rPr>
              <w:sz w:val="24"/>
              <w:szCs w:val="24"/>
            </w:rPr>
            <w:instrText xml:space="preserve"> PAGEREF _Toc2058 \h </w:instrText>
          </w:r>
          <w:r>
            <w:rPr>
              <w:sz w:val="24"/>
              <w:szCs w:val="24"/>
            </w:rPr>
            <w:fldChar w:fldCharType="separate"/>
          </w:r>
          <w:r>
            <w:rPr>
              <w:sz w:val="24"/>
              <w:szCs w:val="24"/>
            </w:rPr>
            <w:t>82</w:t>
          </w:r>
          <w:r>
            <w:rPr>
              <w:sz w:val="24"/>
              <w:szCs w:val="24"/>
            </w:rPr>
            <w:fldChar w:fldCharType="end"/>
          </w:r>
          <w:r>
            <w:rPr>
              <w:rFonts w:ascii="仿宋_GB2312" w:eastAsia="仿宋_GB2312"/>
              <w:sz w:val="24"/>
              <w:szCs w:val="24"/>
            </w:rPr>
            <w:fldChar w:fldCharType="end"/>
          </w:r>
        </w:p>
        <w:p w14:paraId="05CF2AC1">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_Toc11258 </w:instrText>
          </w:r>
          <w:r>
            <w:rPr>
              <w:rFonts w:ascii="仿宋_GB2312" w:eastAsia="仿宋_GB2312"/>
              <w:sz w:val="24"/>
              <w:szCs w:val="24"/>
            </w:rPr>
            <w:fldChar w:fldCharType="separate"/>
          </w:r>
          <w:r>
            <w:rPr>
              <w:rFonts w:hint="eastAsia"/>
              <w:bCs/>
              <w:sz w:val="24"/>
              <w:szCs w:val="24"/>
            </w:rPr>
            <w:t>附件7 应急预案备案文件</w:t>
          </w:r>
          <w:r>
            <w:rPr>
              <w:sz w:val="24"/>
              <w:szCs w:val="24"/>
            </w:rPr>
            <w:tab/>
          </w:r>
          <w:r>
            <w:rPr>
              <w:sz w:val="24"/>
              <w:szCs w:val="24"/>
            </w:rPr>
            <w:fldChar w:fldCharType="begin"/>
          </w:r>
          <w:r>
            <w:rPr>
              <w:sz w:val="24"/>
              <w:szCs w:val="24"/>
            </w:rPr>
            <w:instrText xml:space="preserve"> PAGEREF _Toc11258 \h </w:instrText>
          </w:r>
          <w:r>
            <w:rPr>
              <w:sz w:val="24"/>
              <w:szCs w:val="24"/>
            </w:rPr>
            <w:fldChar w:fldCharType="separate"/>
          </w:r>
          <w:r>
            <w:rPr>
              <w:sz w:val="24"/>
              <w:szCs w:val="24"/>
            </w:rPr>
            <w:t>83</w:t>
          </w:r>
          <w:r>
            <w:rPr>
              <w:sz w:val="24"/>
              <w:szCs w:val="24"/>
            </w:rPr>
            <w:fldChar w:fldCharType="end"/>
          </w:r>
          <w:r>
            <w:rPr>
              <w:rFonts w:ascii="仿宋_GB2312" w:eastAsia="仿宋_GB2312"/>
              <w:sz w:val="24"/>
              <w:szCs w:val="24"/>
            </w:rPr>
            <w:fldChar w:fldCharType="end"/>
          </w:r>
        </w:p>
        <w:p w14:paraId="31FCEACE">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_Toc3226 </w:instrText>
          </w:r>
          <w:r>
            <w:rPr>
              <w:rFonts w:ascii="仿宋_GB2312" w:eastAsia="仿宋_GB2312"/>
              <w:sz w:val="24"/>
              <w:szCs w:val="24"/>
            </w:rPr>
            <w:fldChar w:fldCharType="separate"/>
          </w:r>
          <w:r>
            <w:rPr>
              <w:rFonts w:hint="eastAsia"/>
              <w:bCs/>
              <w:sz w:val="24"/>
              <w:szCs w:val="24"/>
            </w:rPr>
            <w:t>附件</w:t>
          </w:r>
          <w:r>
            <w:rPr>
              <w:rFonts w:hint="eastAsia"/>
              <w:bCs/>
              <w:sz w:val="24"/>
              <w:szCs w:val="24"/>
              <w:lang w:val="en-US" w:eastAsia="zh-CN"/>
            </w:rPr>
            <w:t>8</w:t>
          </w:r>
          <w:r>
            <w:rPr>
              <w:rFonts w:hint="eastAsia"/>
              <w:bCs/>
              <w:sz w:val="24"/>
              <w:szCs w:val="24"/>
            </w:rPr>
            <w:t>环境检测质保单</w:t>
          </w:r>
          <w:r>
            <w:rPr>
              <w:sz w:val="24"/>
              <w:szCs w:val="24"/>
            </w:rPr>
            <w:tab/>
          </w:r>
          <w:r>
            <w:rPr>
              <w:sz w:val="24"/>
              <w:szCs w:val="24"/>
            </w:rPr>
            <w:fldChar w:fldCharType="begin"/>
          </w:r>
          <w:r>
            <w:rPr>
              <w:sz w:val="24"/>
              <w:szCs w:val="24"/>
            </w:rPr>
            <w:instrText xml:space="preserve"> PAGEREF _Toc3226 \h </w:instrText>
          </w:r>
          <w:r>
            <w:rPr>
              <w:sz w:val="24"/>
              <w:szCs w:val="24"/>
            </w:rPr>
            <w:fldChar w:fldCharType="separate"/>
          </w:r>
          <w:r>
            <w:rPr>
              <w:sz w:val="24"/>
              <w:szCs w:val="24"/>
            </w:rPr>
            <w:t>84</w:t>
          </w:r>
          <w:r>
            <w:rPr>
              <w:sz w:val="24"/>
              <w:szCs w:val="24"/>
            </w:rPr>
            <w:fldChar w:fldCharType="end"/>
          </w:r>
          <w:r>
            <w:rPr>
              <w:rFonts w:ascii="仿宋_GB2312" w:eastAsia="仿宋_GB2312"/>
              <w:sz w:val="24"/>
              <w:szCs w:val="24"/>
            </w:rPr>
            <w:fldChar w:fldCharType="end"/>
          </w:r>
        </w:p>
        <w:p w14:paraId="311BB4C3">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_Toc14427 </w:instrText>
          </w:r>
          <w:r>
            <w:rPr>
              <w:rFonts w:ascii="仿宋_GB2312" w:eastAsia="仿宋_GB2312"/>
              <w:sz w:val="24"/>
              <w:szCs w:val="24"/>
            </w:rPr>
            <w:fldChar w:fldCharType="separate"/>
          </w:r>
          <w:r>
            <w:rPr>
              <w:rFonts w:hint="eastAsia"/>
              <w:bCs/>
              <w:sz w:val="24"/>
              <w:szCs w:val="24"/>
            </w:rPr>
            <w:t>附件</w:t>
          </w:r>
          <w:r>
            <w:rPr>
              <w:rFonts w:hint="eastAsia"/>
              <w:bCs/>
              <w:sz w:val="24"/>
              <w:szCs w:val="24"/>
              <w:lang w:val="en-US" w:eastAsia="zh-CN"/>
            </w:rPr>
            <w:t>9</w:t>
          </w:r>
          <w:r>
            <w:rPr>
              <w:rFonts w:hint="eastAsia"/>
              <w:bCs/>
              <w:sz w:val="24"/>
              <w:szCs w:val="24"/>
            </w:rPr>
            <w:t xml:space="preserve"> 厂房租赁协议</w:t>
          </w:r>
          <w:r>
            <w:rPr>
              <w:sz w:val="24"/>
              <w:szCs w:val="24"/>
            </w:rPr>
            <w:tab/>
          </w:r>
          <w:r>
            <w:rPr>
              <w:sz w:val="24"/>
              <w:szCs w:val="24"/>
            </w:rPr>
            <w:fldChar w:fldCharType="begin"/>
          </w:r>
          <w:r>
            <w:rPr>
              <w:sz w:val="24"/>
              <w:szCs w:val="24"/>
            </w:rPr>
            <w:instrText xml:space="preserve"> PAGEREF _Toc14427 \h </w:instrText>
          </w:r>
          <w:r>
            <w:rPr>
              <w:sz w:val="24"/>
              <w:szCs w:val="24"/>
            </w:rPr>
            <w:fldChar w:fldCharType="separate"/>
          </w:r>
          <w:r>
            <w:rPr>
              <w:sz w:val="24"/>
              <w:szCs w:val="24"/>
            </w:rPr>
            <w:t>88</w:t>
          </w:r>
          <w:r>
            <w:rPr>
              <w:sz w:val="24"/>
              <w:szCs w:val="24"/>
            </w:rPr>
            <w:fldChar w:fldCharType="end"/>
          </w:r>
          <w:r>
            <w:rPr>
              <w:rFonts w:ascii="仿宋_GB2312" w:eastAsia="仿宋_GB2312"/>
              <w:sz w:val="24"/>
              <w:szCs w:val="24"/>
            </w:rPr>
            <w:fldChar w:fldCharType="end"/>
          </w:r>
        </w:p>
        <w:p w14:paraId="2529EE5B">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_Toc29546 </w:instrText>
          </w:r>
          <w:r>
            <w:rPr>
              <w:rFonts w:ascii="仿宋_GB2312" w:eastAsia="仿宋_GB2312"/>
              <w:sz w:val="24"/>
              <w:szCs w:val="24"/>
            </w:rPr>
            <w:fldChar w:fldCharType="separate"/>
          </w:r>
          <w:r>
            <w:rPr>
              <w:rFonts w:hint="eastAsia"/>
              <w:bCs/>
              <w:sz w:val="24"/>
              <w:szCs w:val="24"/>
            </w:rPr>
            <w:t>附件</w:t>
          </w:r>
          <w:r>
            <w:rPr>
              <w:rFonts w:hint="eastAsia"/>
              <w:bCs/>
              <w:sz w:val="24"/>
              <w:szCs w:val="24"/>
              <w:lang w:val="en-US" w:eastAsia="zh-CN"/>
            </w:rPr>
            <w:t>10</w:t>
          </w:r>
          <w:r>
            <w:rPr>
              <w:rFonts w:hint="eastAsia"/>
              <w:bCs/>
              <w:sz w:val="24"/>
              <w:szCs w:val="24"/>
            </w:rPr>
            <w:t xml:space="preserve">  </w:t>
          </w:r>
          <w:r>
            <w:rPr>
              <w:rFonts w:hint="eastAsia"/>
              <w:bCs/>
              <w:sz w:val="24"/>
              <w:szCs w:val="24"/>
              <w:lang w:eastAsia="zh-CN"/>
            </w:rPr>
            <w:t>专家意见、签到表、打分表</w:t>
          </w:r>
          <w:r>
            <w:rPr>
              <w:sz w:val="24"/>
              <w:szCs w:val="24"/>
            </w:rPr>
            <w:tab/>
          </w:r>
          <w:r>
            <w:rPr>
              <w:sz w:val="24"/>
              <w:szCs w:val="24"/>
            </w:rPr>
            <w:fldChar w:fldCharType="begin"/>
          </w:r>
          <w:r>
            <w:rPr>
              <w:sz w:val="24"/>
              <w:szCs w:val="24"/>
            </w:rPr>
            <w:instrText xml:space="preserve"> PAGEREF _Toc29546 \h </w:instrText>
          </w:r>
          <w:r>
            <w:rPr>
              <w:sz w:val="24"/>
              <w:szCs w:val="24"/>
            </w:rPr>
            <w:fldChar w:fldCharType="separate"/>
          </w:r>
          <w:r>
            <w:rPr>
              <w:sz w:val="24"/>
              <w:szCs w:val="24"/>
            </w:rPr>
            <w:t>89</w:t>
          </w:r>
          <w:r>
            <w:rPr>
              <w:sz w:val="24"/>
              <w:szCs w:val="24"/>
            </w:rPr>
            <w:fldChar w:fldCharType="end"/>
          </w:r>
          <w:r>
            <w:rPr>
              <w:rFonts w:ascii="仿宋_GB2312" w:eastAsia="仿宋_GB2312"/>
              <w:sz w:val="24"/>
              <w:szCs w:val="24"/>
            </w:rPr>
            <w:fldChar w:fldCharType="end"/>
          </w:r>
        </w:p>
        <w:p w14:paraId="44D94045">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_Toc26867 </w:instrText>
          </w:r>
          <w:r>
            <w:rPr>
              <w:rFonts w:ascii="仿宋_GB2312" w:eastAsia="仿宋_GB2312"/>
              <w:sz w:val="24"/>
              <w:szCs w:val="24"/>
            </w:rPr>
            <w:fldChar w:fldCharType="separate"/>
          </w:r>
          <w:r>
            <w:rPr>
              <w:rFonts w:hint="eastAsia"/>
              <w:bCs/>
              <w:sz w:val="24"/>
              <w:szCs w:val="24"/>
            </w:rPr>
            <w:t>附图1  项目地理位置图</w:t>
          </w:r>
          <w:r>
            <w:rPr>
              <w:sz w:val="24"/>
              <w:szCs w:val="24"/>
            </w:rPr>
            <w:tab/>
          </w:r>
          <w:r>
            <w:rPr>
              <w:sz w:val="24"/>
              <w:szCs w:val="24"/>
            </w:rPr>
            <w:fldChar w:fldCharType="begin"/>
          </w:r>
          <w:r>
            <w:rPr>
              <w:sz w:val="24"/>
              <w:szCs w:val="24"/>
            </w:rPr>
            <w:instrText xml:space="preserve"> PAGEREF _Toc26867 \h </w:instrText>
          </w:r>
          <w:r>
            <w:rPr>
              <w:sz w:val="24"/>
              <w:szCs w:val="24"/>
            </w:rPr>
            <w:fldChar w:fldCharType="separate"/>
          </w:r>
          <w:r>
            <w:rPr>
              <w:sz w:val="24"/>
              <w:szCs w:val="24"/>
            </w:rPr>
            <w:t>95</w:t>
          </w:r>
          <w:r>
            <w:rPr>
              <w:sz w:val="24"/>
              <w:szCs w:val="24"/>
            </w:rPr>
            <w:fldChar w:fldCharType="end"/>
          </w:r>
          <w:r>
            <w:rPr>
              <w:rFonts w:ascii="仿宋_GB2312" w:eastAsia="仿宋_GB2312"/>
              <w:sz w:val="24"/>
              <w:szCs w:val="24"/>
            </w:rPr>
            <w:fldChar w:fldCharType="end"/>
          </w:r>
        </w:p>
        <w:p w14:paraId="344CD9E1">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_Toc10932 </w:instrText>
          </w:r>
          <w:r>
            <w:rPr>
              <w:rFonts w:ascii="仿宋_GB2312" w:eastAsia="仿宋_GB2312"/>
              <w:sz w:val="24"/>
              <w:szCs w:val="24"/>
            </w:rPr>
            <w:fldChar w:fldCharType="separate"/>
          </w:r>
          <w:r>
            <w:rPr>
              <w:rFonts w:hint="eastAsia"/>
              <w:bCs/>
              <w:sz w:val="24"/>
              <w:szCs w:val="24"/>
            </w:rPr>
            <w:t>附图2  项目四至关系图</w:t>
          </w:r>
          <w:r>
            <w:rPr>
              <w:sz w:val="24"/>
              <w:szCs w:val="24"/>
            </w:rPr>
            <w:tab/>
          </w:r>
          <w:r>
            <w:rPr>
              <w:sz w:val="24"/>
              <w:szCs w:val="24"/>
            </w:rPr>
            <w:fldChar w:fldCharType="begin"/>
          </w:r>
          <w:r>
            <w:rPr>
              <w:sz w:val="24"/>
              <w:szCs w:val="24"/>
            </w:rPr>
            <w:instrText xml:space="preserve"> PAGEREF _Toc10932 \h </w:instrText>
          </w:r>
          <w:r>
            <w:rPr>
              <w:sz w:val="24"/>
              <w:szCs w:val="24"/>
            </w:rPr>
            <w:fldChar w:fldCharType="separate"/>
          </w:r>
          <w:r>
            <w:rPr>
              <w:sz w:val="24"/>
              <w:szCs w:val="24"/>
            </w:rPr>
            <w:t>96</w:t>
          </w:r>
          <w:r>
            <w:rPr>
              <w:sz w:val="24"/>
              <w:szCs w:val="24"/>
            </w:rPr>
            <w:fldChar w:fldCharType="end"/>
          </w:r>
          <w:r>
            <w:rPr>
              <w:rFonts w:ascii="仿宋_GB2312" w:eastAsia="仿宋_GB2312"/>
              <w:sz w:val="24"/>
              <w:szCs w:val="24"/>
            </w:rPr>
            <w:fldChar w:fldCharType="end"/>
          </w:r>
        </w:p>
        <w:p w14:paraId="25B91EE5">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_Toc13684 </w:instrText>
          </w:r>
          <w:r>
            <w:rPr>
              <w:rFonts w:ascii="仿宋_GB2312" w:eastAsia="仿宋_GB2312"/>
              <w:sz w:val="24"/>
              <w:szCs w:val="24"/>
            </w:rPr>
            <w:fldChar w:fldCharType="separate"/>
          </w:r>
          <w:r>
            <w:rPr>
              <w:rFonts w:hint="eastAsia"/>
              <w:bCs/>
              <w:sz w:val="24"/>
              <w:szCs w:val="24"/>
            </w:rPr>
            <w:t>附图3  项目总平面布置图（含环保设施、雨污水管线）</w:t>
          </w:r>
          <w:r>
            <w:rPr>
              <w:sz w:val="24"/>
              <w:szCs w:val="24"/>
            </w:rPr>
            <w:tab/>
          </w:r>
          <w:r>
            <w:rPr>
              <w:sz w:val="24"/>
              <w:szCs w:val="24"/>
            </w:rPr>
            <w:fldChar w:fldCharType="begin"/>
          </w:r>
          <w:r>
            <w:rPr>
              <w:sz w:val="24"/>
              <w:szCs w:val="24"/>
            </w:rPr>
            <w:instrText xml:space="preserve"> PAGEREF _Toc13684 \h </w:instrText>
          </w:r>
          <w:r>
            <w:rPr>
              <w:sz w:val="24"/>
              <w:szCs w:val="24"/>
            </w:rPr>
            <w:fldChar w:fldCharType="separate"/>
          </w:r>
          <w:r>
            <w:rPr>
              <w:sz w:val="24"/>
              <w:szCs w:val="24"/>
            </w:rPr>
            <w:t>97</w:t>
          </w:r>
          <w:r>
            <w:rPr>
              <w:sz w:val="24"/>
              <w:szCs w:val="24"/>
            </w:rPr>
            <w:fldChar w:fldCharType="end"/>
          </w:r>
          <w:r>
            <w:rPr>
              <w:rFonts w:ascii="仿宋_GB2312" w:eastAsia="仿宋_GB2312"/>
              <w:sz w:val="24"/>
              <w:szCs w:val="24"/>
            </w:rPr>
            <w:fldChar w:fldCharType="end"/>
          </w:r>
        </w:p>
        <w:p w14:paraId="4DCF6405">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_Toc12951 </w:instrText>
          </w:r>
          <w:r>
            <w:rPr>
              <w:rFonts w:ascii="仿宋_GB2312" w:eastAsia="仿宋_GB2312"/>
              <w:sz w:val="24"/>
              <w:szCs w:val="24"/>
            </w:rPr>
            <w:fldChar w:fldCharType="separate"/>
          </w:r>
          <w:r>
            <w:rPr>
              <w:rFonts w:hint="eastAsia"/>
              <w:bCs/>
              <w:sz w:val="24"/>
              <w:szCs w:val="24"/>
            </w:rPr>
            <w:t>附图4  车间平面布置图</w:t>
          </w:r>
          <w:r>
            <w:rPr>
              <w:sz w:val="24"/>
              <w:szCs w:val="24"/>
            </w:rPr>
            <w:tab/>
          </w:r>
          <w:r>
            <w:rPr>
              <w:sz w:val="24"/>
              <w:szCs w:val="24"/>
            </w:rPr>
            <w:fldChar w:fldCharType="begin"/>
          </w:r>
          <w:r>
            <w:rPr>
              <w:sz w:val="24"/>
              <w:szCs w:val="24"/>
            </w:rPr>
            <w:instrText xml:space="preserve"> PAGEREF _Toc12951 \h </w:instrText>
          </w:r>
          <w:r>
            <w:rPr>
              <w:sz w:val="24"/>
              <w:szCs w:val="24"/>
            </w:rPr>
            <w:fldChar w:fldCharType="separate"/>
          </w:r>
          <w:r>
            <w:rPr>
              <w:sz w:val="24"/>
              <w:szCs w:val="24"/>
            </w:rPr>
            <w:t>98</w:t>
          </w:r>
          <w:r>
            <w:rPr>
              <w:sz w:val="24"/>
              <w:szCs w:val="24"/>
            </w:rPr>
            <w:fldChar w:fldCharType="end"/>
          </w:r>
          <w:r>
            <w:rPr>
              <w:rFonts w:ascii="仿宋_GB2312" w:eastAsia="仿宋_GB2312"/>
              <w:sz w:val="24"/>
              <w:szCs w:val="24"/>
            </w:rPr>
            <w:fldChar w:fldCharType="end"/>
          </w:r>
        </w:p>
        <w:p w14:paraId="2BAA9EE3">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_Toc31416 </w:instrText>
          </w:r>
          <w:r>
            <w:rPr>
              <w:rFonts w:ascii="仿宋_GB2312" w:eastAsia="仿宋_GB2312"/>
              <w:sz w:val="24"/>
              <w:szCs w:val="24"/>
            </w:rPr>
            <w:fldChar w:fldCharType="separate"/>
          </w:r>
          <w:r>
            <w:rPr>
              <w:rFonts w:hint="eastAsia"/>
              <w:bCs/>
              <w:sz w:val="24"/>
              <w:szCs w:val="24"/>
            </w:rPr>
            <w:t>附图5  衡阳西渡高新区污水处理厂纳污范围图</w:t>
          </w:r>
          <w:r>
            <w:rPr>
              <w:sz w:val="24"/>
              <w:szCs w:val="24"/>
            </w:rPr>
            <w:tab/>
          </w:r>
          <w:r>
            <w:rPr>
              <w:sz w:val="24"/>
              <w:szCs w:val="24"/>
            </w:rPr>
            <w:fldChar w:fldCharType="begin"/>
          </w:r>
          <w:r>
            <w:rPr>
              <w:sz w:val="24"/>
              <w:szCs w:val="24"/>
            </w:rPr>
            <w:instrText xml:space="preserve"> PAGEREF _Toc31416 \h </w:instrText>
          </w:r>
          <w:r>
            <w:rPr>
              <w:sz w:val="24"/>
              <w:szCs w:val="24"/>
            </w:rPr>
            <w:fldChar w:fldCharType="separate"/>
          </w:r>
          <w:r>
            <w:rPr>
              <w:sz w:val="24"/>
              <w:szCs w:val="24"/>
            </w:rPr>
            <w:t>100</w:t>
          </w:r>
          <w:r>
            <w:rPr>
              <w:sz w:val="24"/>
              <w:szCs w:val="24"/>
            </w:rPr>
            <w:fldChar w:fldCharType="end"/>
          </w:r>
          <w:r>
            <w:rPr>
              <w:rFonts w:ascii="仿宋_GB2312" w:eastAsia="仿宋_GB2312"/>
              <w:sz w:val="24"/>
              <w:szCs w:val="24"/>
            </w:rPr>
            <w:fldChar w:fldCharType="end"/>
          </w:r>
        </w:p>
        <w:p w14:paraId="23D99D29">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_Toc23722 </w:instrText>
          </w:r>
          <w:r>
            <w:rPr>
              <w:rFonts w:ascii="仿宋_GB2312" w:eastAsia="仿宋_GB2312"/>
              <w:sz w:val="24"/>
              <w:szCs w:val="24"/>
            </w:rPr>
            <w:fldChar w:fldCharType="separate"/>
          </w:r>
          <w:r>
            <w:rPr>
              <w:rFonts w:hint="eastAsia"/>
              <w:bCs/>
              <w:sz w:val="24"/>
              <w:szCs w:val="24"/>
            </w:rPr>
            <w:t>附图6 引用监测点与本项目位置关系图</w:t>
          </w:r>
          <w:r>
            <w:rPr>
              <w:sz w:val="24"/>
              <w:szCs w:val="24"/>
            </w:rPr>
            <w:tab/>
          </w:r>
          <w:r>
            <w:rPr>
              <w:sz w:val="24"/>
              <w:szCs w:val="24"/>
            </w:rPr>
            <w:fldChar w:fldCharType="begin"/>
          </w:r>
          <w:r>
            <w:rPr>
              <w:sz w:val="24"/>
              <w:szCs w:val="24"/>
            </w:rPr>
            <w:instrText xml:space="preserve"> PAGEREF _Toc23722 \h </w:instrText>
          </w:r>
          <w:r>
            <w:rPr>
              <w:sz w:val="24"/>
              <w:szCs w:val="24"/>
            </w:rPr>
            <w:fldChar w:fldCharType="separate"/>
          </w:r>
          <w:r>
            <w:rPr>
              <w:sz w:val="24"/>
              <w:szCs w:val="24"/>
            </w:rPr>
            <w:t>101</w:t>
          </w:r>
          <w:r>
            <w:rPr>
              <w:sz w:val="24"/>
              <w:szCs w:val="24"/>
            </w:rPr>
            <w:fldChar w:fldCharType="end"/>
          </w:r>
          <w:r>
            <w:rPr>
              <w:rFonts w:ascii="仿宋_GB2312" w:eastAsia="仿宋_GB2312"/>
              <w:sz w:val="24"/>
              <w:szCs w:val="24"/>
            </w:rPr>
            <w:fldChar w:fldCharType="end"/>
          </w:r>
        </w:p>
        <w:p w14:paraId="5B929CEA">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_Toc23817 </w:instrText>
          </w:r>
          <w:r>
            <w:rPr>
              <w:rFonts w:ascii="仿宋_GB2312" w:eastAsia="仿宋_GB2312"/>
              <w:sz w:val="24"/>
              <w:szCs w:val="24"/>
            </w:rPr>
            <w:fldChar w:fldCharType="separate"/>
          </w:r>
          <w:r>
            <w:rPr>
              <w:rFonts w:hint="eastAsia"/>
              <w:bCs/>
              <w:sz w:val="24"/>
              <w:szCs w:val="24"/>
            </w:rPr>
            <w:t>附图7 项目噪声监测点位图</w:t>
          </w:r>
          <w:r>
            <w:rPr>
              <w:sz w:val="24"/>
              <w:szCs w:val="24"/>
            </w:rPr>
            <w:tab/>
          </w:r>
          <w:r>
            <w:rPr>
              <w:sz w:val="24"/>
              <w:szCs w:val="24"/>
            </w:rPr>
            <w:fldChar w:fldCharType="begin"/>
          </w:r>
          <w:r>
            <w:rPr>
              <w:sz w:val="24"/>
              <w:szCs w:val="24"/>
            </w:rPr>
            <w:instrText xml:space="preserve"> PAGEREF _Toc23817 \h </w:instrText>
          </w:r>
          <w:r>
            <w:rPr>
              <w:sz w:val="24"/>
              <w:szCs w:val="24"/>
            </w:rPr>
            <w:fldChar w:fldCharType="separate"/>
          </w:r>
          <w:r>
            <w:rPr>
              <w:sz w:val="24"/>
              <w:szCs w:val="24"/>
            </w:rPr>
            <w:t>102</w:t>
          </w:r>
          <w:r>
            <w:rPr>
              <w:sz w:val="24"/>
              <w:szCs w:val="24"/>
            </w:rPr>
            <w:fldChar w:fldCharType="end"/>
          </w:r>
          <w:r>
            <w:rPr>
              <w:rFonts w:ascii="仿宋_GB2312" w:eastAsia="仿宋_GB2312"/>
              <w:sz w:val="24"/>
              <w:szCs w:val="24"/>
            </w:rPr>
            <w:fldChar w:fldCharType="end"/>
          </w:r>
        </w:p>
        <w:p w14:paraId="657CADE3">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_Toc10683 </w:instrText>
          </w:r>
          <w:r>
            <w:rPr>
              <w:rFonts w:ascii="仿宋_GB2312" w:eastAsia="仿宋_GB2312"/>
              <w:sz w:val="24"/>
              <w:szCs w:val="24"/>
            </w:rPr>
            <w:fldChar w:fldCharType="separate"/>
          </w:r>
          <w:r>
            <w:rPr>
              <w:rFonts w:hint="eastAsia"/>
              <w:bCs/>
              <w:sz w:val="24"/>
              <w:szCs w:val="24"/>
            </w:rPr>
            <w:t>附图8 大气、风险环保目标分布图</w:t>
          </w:r>
          <w:r>
            <w:rPr>
              <w:sz w:val="24"/>
              <w:szCs w:val="24"/>
            </w:rPr>
            <w:tab/>
          </w:r>
          <w:r>
            <w:rPr>
              <w:sz w:val="24"/>
              <w:szCs w:val="24"/>
            </w:rPr>
            <w:fldChar w:fldCharType="begin"/>
          </w:r>
          <w:r>
            <w:rPr>
              <w:sz w:val="24"/>
              <w:szCs w:val="24"/>
            </w:rPr>
            <w:instrText xml:space="preserve"> PAGEREF _Toc10683 \h </w:instrText>
          </w:r>
          <w:r>
            <w:rPr>
              <w:sz w:val="24"/>
              <w:szCs w:val="24"/>
            </w:rPr>
            <w:fldChar w:fldCharType="separate"/>
          </w:r>
          <w:r>
            <w:rPr>
              <w:sz w:val="24"/>
              <w:szCs w:val="24"/>
            </w:rPr>
            <w:t>103</w:t>
          </w:r>
          <w:r>
            <w:rPr>
              <w:sz w:val="24"/>
              <w:szCs w:val="24"/>
            </w:rPr>
            <w:fldChar w:fldCharType="end"/>
          </w:r>
          <w:r>
            <w:rPr>
              <w:rFonts w:ascii="仿宋_GB2312" w:eastAsia="仿宋_GB2312"/>
              <w:sz w:val="24"/>
              <w:szCs w:val="24"/>
            </w:rPr>
            <w:fldChar w:fldCharType="end"/>
          </w:r>
        </w:p>
        <w:p w14:paraId="2882E6BE">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_Toc22758 </w:instrText>
          </w:r>
          <w:r>
            <w:rPr>
              <w:rFonts w:ascii="仿宋_GB2312" w:eastAsia="仿宋_GB2312"/>
              <w:sz w:val="24"/>
              <w:szCs w:val="24"/>
            </w:rPr>
            <w:fldChar w:fldCharType="separate"/>
          </w:r>
          <w:r>
            <w:rPr>
              <w:rFonts w:hint="eastAsia"/>
              <w:bCs/>
              <w:sz w:val="24"/>
              <w:szCs w:val="24"/>
            </w:rPr>
            <w:t>附图9 噪声环保目标分布图</w:t>
          </w:r>
          <w:r>
            <w:rPr>
              <w:sz w:val="24"/>
              <w:szCs w:val="24"/>
            </w:rPr>
            <w:tab/>
          </w:r>
          <w:r>
            <w:rPr>
              <w:sz w:val="24"/>
              <w:szCs w:val="24"/>
            </w:rPr>
            <w:fldChar w:fldCharType="begin"/>
          </w:r>
          <w:r>
            <w:rPr>
              <w:sz w:val="24"/>
              <w:szCs w:val="24"/>
            </w:rPr>
            <w:instrText xml:space="preserve"> PAGEREF _Toc22758 \h </w:instrText>
          </w:r>
          <w:r>
            <w:rPr>
              <w:sz w:val="24"/>
              <w:szCs w:val="24"/>
            </w:rPr>
            <w:fldChar w:fldCharType="separate"/>
          </w:r>
          <w:r>
            <w:rPr>
              <w:sz w:val="24"/>
              <w:szCs w:val="24"/>
            </w:rPr>
            <w:t>104</w:t>
          </w:r>
          <w:r>
            <w:rPr>
              <w:sz w:val="24"/>
              <w:szCs w:val="24"/>
            </w:rPr>
            <w:fldChar w:fldCharType="end"/>
          </w:r>
          <w:r>
            <w:rPr>
              <w:rFonts w:ascii="仿宋_GB2312" w:eastAsia="仿宋_GB2312"/>
              <w:sz w:val="24"/>
              <w:szCs w:val="24"/>
            </w:rPr>
            <w:fldChar w:fldCharType="end"/>
          </w:r>
        </w:p>
        <w:p w14:paraId="03059CE2">
          <w:pPr>
            <w:pStyle w:val="14"/>
            <w:tabs>
              <w:tab w:val="right" w:leader="dot" w:pos="8844"/>
            </w:tabs>
            <w:spacing w:line="360" w:lineRule="auto"/>
            <w:rPr>
              <w:sz w:val="24"/>
              <w:szCs w:val="24"/>
            </w:rPr>
          </w:pPr>
          <w:r>
            <w:rPr>
              <w:rFonts w:ascii="仿宋_GB2312" w:eastAsia="仿宋_GB2312"/>
              <w:sz w:val="24"/>
              <w:szCs w:val="24"/>
            </w:rPr>
            <w:fldChar w:fldCharType="begin"/>
          </w:r>
          <w:r>
            <w:rPr>
              <w:rFonts w:ascii="仿宋_GB2312" w:eastAsia="仿宋_GB2312"/>
              <w:sz w:val="24"/>
              <w:szCs w:val="24"/>
            </w:rPr>
            <w:instrText xml:space="preserve"> HYPERLINK \l _Toc20370 </w:instrText>
          </w:r>
          <w:r>
            <w:rPr>
              <w:rFonts w:ascii="仿宋_GB2312" w:eastAsia="仿宋_GB2312"/>
              <w:sz w:val="24"/>
              <w:szCs w:val="24"/>
            </w:rPr>
            <w:fldChar w:fldCharType="separate"/>
          </w:r>
          <w:r>
            <w:rPr>
              <w:rFonts w:hint="eastAsia"/>
              <w:bCs/>
              <w:sz w:val="24"/>
              <w:szCs w:val="24"/>
            </w:rPr>
            <w:t>附图10  项目现场勘察图</w:t>
          </w:r>
          <w:r>
            <w:rPr>
              <w:sz w:val="24"/>
              <w:szCs w:val="24"/>
            </w:rPr>
            <w:tab/>
          </w:r>
          <w:r>
            <w:rPr>
              <w:sz w:val="24"/>
              <w:szCs w:val="24"/>
            </w:rPr>
            <w:fldChar w:fldCharType="begin"/>
          </w:r>
          <w:r>
            <w:rPr>
              <w:sz w:val="24"/>
              <w:szCs w:val="24"/>
            </w:rPr>
            <w:instrText xml:space="preserve"> PAGEREF _Toc20370 \h </w:instrText>
          </w:r>
          <w:r>
            <w:rPr>
              <w:sz w:val="24"/>
              <w:szCs w:val="24"/>
            </w:rPr>
            <w:fldChar w:fldCharType="separate"/>
          </w:r>
          <w:r>
            <w:rPr>
              <w:sz w:val="24"/>
              <w:szCs w:val="24"/>
            </w:rPr>
            <w:t>105</w:t>
          </w:r>
          <w:r>
            <w:rPr>
              <w:sz w:val="24"/>
              <w:szCs w:val="24"/>
            </w:rPr>
            <w:fldChar w:fldCharType="end"/>
          </w:r>
          <w:r>
            <w:rPr>
              <w:rFonts w:ascii="仿宋_GB2312" w:eastAsia="仿宋_GB2312"/>
              <w:sz w:val="24"/>
              <w:szCs w:val="24"/>
            </w:rPr>
            <w:fldChar w:fldCharType="end"/>
          </w:r>
        </w:p>
        <w:p w14:paraId="4A1AC41C">
          <w:pPr>
            <w:adjustRightInd w:val="0"/>
            <w:snapToGrid w:val="0"/>
            <w:spacing w:line="360" w:lineRule="auto"/>
            <w:ind w:firstLine="1040"/>
            <w:rPr>
              <w:rFonts w:ascii="仿宋_GB2312" w:hAnsi="Times New Roman" w:eastAsia="仿宋_GB2312" w:cs="Times New Roman"/>
              <w:kern w:val="2"/>
              <w:sz w:val="21"/>
              <w:szCs w:val="36"/>
              <w:lang w:val="en-US" w:eastAsia="zh-CN" w:bidi="ar-SA"/>
            </w:rPr>
          </w:pPr>
          <w:r>
            <w:rPr>
              <w:rFonts w:ascii="仿宋_GB2312" w:eastAsia="仿宋_GB2312"/>
              <w:sz w:val="24"/>
              <w:szCs w:val="24"/>
            </w:rPr>
            <w:fldChar w:fldCharType="end"/>
          </w:r>
        </w:p>
      </w:sdtContent>
    </w:sdt>
    <w:p w14:paraId="20538A2B">
      <w:pPr>
        <w:adjustRightInd w:val="0"/>
        <w:snapToGrid w:val="0"/>
        <w:spacing w:line="288" w:lineRule="auto"/>
        <w:ind w:firstLine="1040"/>
        <w:rPr>
          <w:rFonts w:ascii="仿宋_GB2312" w:eastAsia="仿宋_GB2312"/>
          <w:sz w:val="36"/>
          <w:szCs w:val="36"/>
        </w:rPr>
        <w:sectPr>
          <w:pgSz w:w="11906" w:h="16838"/>
          <w:pgMar w:top="1701" w:right="1531" w:bottom="1701" w:left="1531" w:header="851" w:footer="1077" w:gutter="0"/>
          <w:pgNumType w:start="3"/>
          <w:cols w:space="720" w:num="1"/>
          <w:docGrid w:linePitch="312" w:charSpace="0"/>
        </w:sectPr>
      </w:pPr>
    </w:p>
    <w:p w14:paraId="18A01873">
      <w:pPr>
        <w:pStyle w:val="2"/>
        <w:rPr>
          <w:color w:val="auto"/>
        </w:rPr>
      </w:pPr>
      <w:bookmarkStart w:id="5" w:name="_Toc21391"/>
      <w:r>
        <w:rPr>
          <w:rFonts w:hint="eastAsia"/>
          <w:color w:val="auto"/>
        </w:rPr>
        <w:t>一、建设项目基本情况</w:t>
      </w:r>
      <w:bookmarkEnd w:id="5"/>
    </w:p>
    <w:tbl>
      <w:tblPr>
        <w:tblStyle w:val="20"/>
        <w:tblW w:w="1020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0" w:type="dxa"/>
          <w:bottom w:w="0" w:type="dxa"/>
          <w:right w:w="0" w:type="dxa"/>
        </w:tblCellMar>
      </w:tblPr>
      <w:tblGrid>
        <w:gridCol w:w="667"/>
        <w:gridCol w:w="1632"/>
        <w:gridCol w:w="2386"/>
        <w:gridCol w:w="2484"/>
        <w:gridCol w:w="3037"/>
      </w:tblGrid>
      <w:tr w14:paraId="2E5C38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50D6BF3B">
            <w:pPr>
              <w:adjustRightInd w:val="0"/>
              <w:snapToGrid w:val="0"/>
              <w:jc w:val="center"/>
              <w:rPr>
                <w:b/>
                <w:sz w:val="24"/>
              </w:rPr>
            </w:pPr>
            <w:r>
              <w:rPr>
                <w:b/>
                <w:sz w:val="24"/>
              </w:rPr>
              <w:t>建设项目名称</w:t>
            </w:r>
          </w:p>
        </w:tc>
        <w:tc>
          <w:tcPr>
            <w:tcW w:w="7907" w:type="dxa"/>
            <w:gridSpan w:val="3"/>
            <w:vAlign w:val="center"/>
          </w:tcPr>
          <w:p w14:paraId="597310E6">
            <w:pPr>
              <w:adjustRightInd w:val="0"/>
              <w:snapToGrid w:val="0"/>
              <w:jc w:val="center"/>
              <w:rPr>
                <w:sz w:val="24"/>
              </w:rPr>
            </w:pPr>
            <w:r>
              <w:rPr>
                <w:rFonts w:hint="eastAsia"/>
                <w:sz w:val="24"/>
              </w:rPr>
              <w:t>湖南康康生物科技有限公司布草洗涤车间扩建及生物质锅炉更换建设项目</w:t>
            </w:r>
          </w:p>
        </w:tc>
      </w:tr>
      <w:tr w14:paraId="05EA2A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230088C2">
            <w:pPr>
              <w:adjustRightInd w:val="0"/>
              <w:snapToGrid w:val="0"/>
              <w:jc w:val="center"/>
              <w:rPr>
                <w:b/>
                <w:sz w:val="24"/>
              </w:rPr>
            </w:pPr>
            <w:r>
              <w:rPr>
                <w:b/>
                <w:sz w:val="24"/>
              </w:rPr>
              <w:t>项目代码</w:t>
            </w:r>
          </w:p>
        </w:tc>
        <w:tc>
          <w:tcPr>
            <w:tcW w:w="7907" w:type="dxa"/>
            <w:gridSpan w:val="3"/>
            <w:vAlign w:val="center"/>
          </w:tcPr>
          <w:p w14:paraId="668B37D7">
            <w:pPr>
              <w:adjustRightInd w:val="0"/>
              <w:snapToGrid w:val="0"/>
              <w:jc w:val="center"/>
              <w:rPr>
                <w:sz w:val="24"/>
              </w:rPr>
            </w:pPr>
            <w:r>
              <w:rPr>
                <w:rFonts w:hint="eastAsia"/>
                <w:sz w:val="24"/>
              </w:rPr>
              <w:t>2410-430400-04-02-696876</w:t>
            </w:r>
          </w:p>
        </w:tc>
      </w:tr>
      <w:tr w14:paraId="0B37D9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03635F06">
            <w:pPr>
              <w:adjustRightInd w:val="0"/>
              <w:snapToGrid w:val="0"/>
              <w:jc w:val="center"/>
              <w:rPr>
                <w:b/>
                <w:sz w:val="24"/>
              </w:rPr>
            </w:pPr>
            <w:r>
              <w:rPr>
                <w:b/>
                <w:sz w:val="24"/>
              </w:rPr>
              <w:t>建设单位联系人</w:t>
            </w:r>
          </w:p>
        </w:tc>
        <w:tc>
          <w:tcPr>
            <w:tcW w:w="2386" w:type="dxa"/>
            <w:vAlign w:val="center"/>
          </w:tcPr>
          <w:p w14:paraId="16411C22">
            <w:pPr>
              <w:adjustRightInd w:val="0"/>
              <w:snapToGrid w:val="0"/>
              <w:jc w:val="center"/>
              <w:rPr>
                <w:sz w:val="24"/>
              </w:rPr>
            </w:pPr>
            <w:r>
              <w:rPr>
                <w:rFonts w:hint="eastAsia"/>
                <w:sz w:val="24"/>
              </w:rPr>
              <w:t>赵伟廷</w:t>
            </w:r>
          </w:p>
        </w:tc>
        <w:tc>
          <w:tcPr>
            <w:tcW w:w="2484" w:type="dxa"/>
            <w:vAlign w:val="center"/>
          </w:tcPr>
          <w:p w14:paraId="5AE10B9B">
            <w:pPr>
              <w:adjustRightInd w:val="0"/>
              <w:snapToGrid w:val="0"/>
              <w:jc w:val="center"/>
              <w:rPr>
                <w:b/>
                <w:sz w:val="24"/>
              </w:rPr>
            </w:pPr>
            <w:r>
              <w:rPr>
                <w:b/>
                <w:sz w:val="24"/>
              </w:rPr>
              <w:t>联系方式</w:t>
            </w:r>
          </w:p>
        </w:tc>
        <w:tc>
          <w:tcPr>
            <w:tcW w:w="3037" w:type="dxa"/>
            <w:vAlign w:val="center"/>
          </w:tcPr>
          <w:p w14:paraId="06872F8D">
            <w:pPr>
              <w:adjustRightInd w:val="0"/>
              <w:snapToGrid w:val="0"/>
              <w:jc w:val="center"/>
              <w:rPr>
                <w:sz w:val="24"/>
              </w:rPr>
            </w:pPr>
            <w:r>
              <w:rPr>
                <w:rFonts w:hint="eastAsia" w:eastAsia="仿宋_GB2312"/>
                <w:sz w:val="24"/>
              </w:rPr>
              <w:t>15074756789</w:t>
            </w:r>
          </w:p>
        </w:tc>
      </w:tr>
      <w:tr w14:paraId="252E13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789E6845">
            <w:pPr>
              <w:adjustRightInd w:val="0"/>
              <w:snapToGrid w:val="0"/>
              <w:jc w:val="center"/>
              <w:rPr>
                <w:b/>
                <w:sz w:val="24"/>
              </w:rPr>
            </w:pPr>
            <w:r>
              <w:rPr>
                <w:b/>
                <w:sz w:val="24"/>
              </w:rPr>
              <w:t>建设地点</w:t>
            </w:r>
          </w:p>
        </w:tc>
        <w:tc>
          <w:tcPr>
            <w:tcW w:w="7907" w:type="dxa"/>
            <w:gridSpan w:val="3"/>
            <w:vAlign w:val="center"/>
          </w:tcPr>
          <w:p w14:paraId="70130830">
            <w:pPr>
              <w:adjustRightInd w:val="0"/>
              <w:snapToGrid w:val="0"/>
              <w:jc w:val="center"/>
              <w:rPr>
                <w:rFonts w:hint="eastAsia" w:eastAsia="宋体"/>
                <w:sz w:val="24"/>
                <w:lang w:eastAsia="zh-CN"/>
              </w:rPr>
            </w:pPr>
            <w:r>
              <w:rPr>
                <w:rFonts w:hint="eastAsia"/>
                <w:sz w:val="24"/>
              </w:rPr>
              <w:t>湖南省衡阳市衡阳县西渡镇豆陂村</w:t>
            </w:r>
            <w:r>
              <w:rPr>
                <w:rFonts w:hint="eastAsia"/>
                <w:sz w:val="24"/>
                <w:lang w:eastAsia="zh-CN"/>
              </w:rPr>
              <w:t>（</w:t>
            </w:r>
            <w:r>
              <w:rPr>
                <w:rFonts w:hint="eastAsia"/>
                <w:sz w:val="24"/>
              </w:rPr>
              <w:t>衡阳胜玉高科有限公司内</w:t>
            </w:r>
            <w:r>
              <w:rPr>
                <w:rFonts w:hint="eastAsia"/>
                <w:sz w:val="24"/>
                <w:lang w:eastAsia="zh-CN"/>
              </w:rPr>
              <w:t>）</w:t>
            </w:r>
          </w:p>
        </w:tc>
      </w:tr>
      <w:tr w14:paraId="4CB535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73B484AB">
            <w:pPr>
              <w:adjustRightInd w:val="0"/>
              <w:snapToGrid w:val="0"/>
              <w:jc w:val="center"/>
              <w:rPr>
                <w:b/>
                <w:sz w:val="24"/>
              </w:rPr>
            </w:pPr>
            <w:r>
              <w:rPr>
                <w:b/>
                <w:sz w:val="24"/>
              </w:rPr>
              <w:t>地理坐标</w:t>
            </w:r>
          </w:p>
        </w:tc>
        <w:tc>
          <w:tcPr>
            <w:tcW w:w="7907" w:type="dxa"/>
            <w:gridSpan w:val="3"/>
            <w:vAlign w:val="center"/>
          </w:tcPr>
          <w:p w14:paraId="6F528B41">
            <w:pPr>
              <w:jc w:val="center"/>
              <w:rPr>
                <w:sz w:val="24"/>
              </w:rPr>
            </w:pPr>
            <w:r>
              <w:rPr>
                <w:sz w:val="24"/>
              </w:rPr>
              <w:t>（</w:t>
            </w:r>
            <w:r>
              <w:rPr>
                <w:rFonts w:hint="eastAsia"/>
                <w:sz w:val="24"/>
              </w:rPr>
              <w:t xml:space="preserve"> </w:t>
            </w:r>
            <w:r>
              <w:rPr>
                <w:sz w:val="24"/>
                <w:u w:val="single"/>
              </w:rPr>
              <w:t xml:space="preserve"> </w:t>
            </w:r>
            <w:r>
              <w:rPr>
                <w:rFonts w:hint="eastAsia"/>
                <w:sz w:val="24"/>
                <w:u w:val="single"/>
              </w:rPr>
              <w:t xml:space="preserve">112  </w:t>
            </w:r>
            <w:r>
              <w:rPr>
                <w:sz w:val="24"/>
              </w:rPr>
              <w:t>度</w:t>
            </w:r>
            <w:r>
              <w:rPr>
                <w:sz w:val="24"/>
                <w:u w:val="single"/>
              </w:rPr>
              <w:t xml:space="preserve">  </w:t>
            </w:r>
            <w:r>
              <w:rPr>
                <w:rFonts w:hint="eastAsia"/>
                <w:sz w:val="24"/>
                <w:u w:val="single"/>
              </w:rPr>
              <w:t xml:space="preserve">25 </w:t>
            </w:r>
            <w:r>
              <w:rPr>
                <w:sz w:val="24"/>
                <w:u w:val="single"/>
              </w:rPr>
              <w:t xml:space="preserve"> </w:t>
            </w:r>
            <w:r>
              <w:rPr>
                <w:sz w:val="24"/>
              </w:rPr>
              <w:t>分</w:t>
            </w:r>
            <w:r>
              <w:rPr>
                <w:sz w:val="24"/>
                <w:u w:val="single"/>
              </w:rPr>
              <w:t xml:space="preserve"> </w:t>
            </w:r>
            <w:r>
              <w:rPr>
                <w:rFonts w:hint="eastAsia"/>
                <w:sz w:val="24"/>
                <w:u w:val="single"/>
              </w:rPr>
              <w:t xml:space="preserve"> 27.807</w:t>
            </w:r>
            <w:r>
              <w:rPr>
                <w:sz w:val="24"/>
                <w:u w:val="single"/>
              </w:rPr>
              <w:t xml:space="preserve"> </w:t>
            </w:r>
            <w:r>
              <w:rPr>
                <w:sz w:val="24"/>
              </w:rPr>
              <w:t>秒，</w:t>
            </w:r>
            <w:r>
              <w:rPr>
                <w:sz w:val="24"/>
                <w:u w:val="single"/>
              </w:rPr>
              <w:t xml:space="preserve"> </w:t>
            </w:r>
            <w:r>
              <w:rPr>
                <w:rFonts w:hint="eastAsia"/>
                <w:sz w:val="24"/>
                <w:u w:val="single"/>
              </w:rPr>
              <w:t xml:space="preserve"> 26</w:t>
            </w:r>
            <w:r>
              <w:rPr>
                <w:sz w:val="24"/>
                <w:u w:val="single"/>
              </w:rPr>
              <w:t xml:space="preserve">  </w:t>
            </w:r>
            <w:r>
              <w:rPr>
                <w:sz w:val="24"/>
              </w:rPr>
              <w:t>度</w:t>
            </w:r>
            <w:r>
              <w:rPr>
                <w:sz w:val="24"/>
                <w:u w:val="single"/>
              </w:rPr>
              <w:t xml:space="preserve">  </w:t>
            </w:r>
            <w:r>
              <w:rPr>
                <w:rFonts w:hint="eastAsia"/>
                <w:sz w:val="24"/>
                <w:u w:val="single"/>
              </w:rPr>
              <w:t xml:space="preserve">56  </w:t>
            </w:r>
            <w:r>
              <w:rPr>
                <w:sz w:val="24"/>
              </w:rPr>
              <w:t>分</w:t>
            </w:r>
            <w:r>
              <w:rPr>
                <w:sz w:val="24"/>
                <w:u w:val="single"/>
              </w:rPr>
              <w:t xml:space="preserve"> </w:t>
            </w:r>
            <w:r>
              <w:rPr>
                <w:rFonts w:hint="eastAsia"/>
                <w:sz w:val="24"/>
                <w:u w:val="single"/>
              </w:rPr>
              <w:t xml:space="preserve"> 22.068  </w:t>
            </w:r>
            <w:r>
              <w:rPr>
                <w:sz w:val="24"/>
              </w:rPr>
              <w:t>秒）</w:t>
            </w:r>
          </w:p>
        </w:tc>
      </w:tr>
      <w:tr w14:paraId="39D9B3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90" w:hRule="atLeast"/>
          <w:jc w:val="center"/>
        </w:trPr>
        <w:tc>
          <w:tcPr>
            <w:tcW w:w="2299" w:type="dxa"/>
            <w:gridSpan w:val="2"/>
            <w:tcMar>
              <w:top w:w="16" w:type="dxa"/>
              <w:left w:w="16" w:type="dxa"/>
              <w:right w:w="16" w:type="dxa"/>
            </w:tcMar>
            <w:vAlign w:val="center"/>
          </w:tcPr>
          <w:p w14:paraId="5ED6FC16">
            <w:pPr>
              <w:adjustRightInd w:val="0"/>
              <w:snapToGrid w:val="0"/>
              <w:jc w:val="center"/>
              <w:rPr>
                <w:b/>
                <w:sz w:val="24"/>
              </w:rPr>
            </w:pPr>
            <w:r>
              <w:rPr>
                <w:b/>
                <w:sz w:val="24"/>
              </w:rPr>
              <w:t>国民经济</w:t>
            </w:r>
          </w:p>
          <w:p w14:paraId="7891C456">
            <w:pPr>
              <w:adjustRightInd w:val="0"/>
              <w:snapToGrid w:val="0"/>
              <w:jc w:val="center"/>
              <w:rPr>
                <w:b/>
                <w:sz w:val="24"/>
              </w:rPr>
            </w:pPr>
            <w:r>
              <w:rPr>
                <w:b/>
                <w:sz w:val="24"/>
              </w:rPr>
              <w:t>行业类别</w:t>
            </w:r>
          </w:p>
        </w:tc>
        <w:tc>
          <w:tcPr>
            <w:tcW w:w="2386" w:type="dxa"/>
            <w:vAlign w:val="center"/>
          </w:tcPr>
          <w:p w14:paraId="0B260A1C">
            <w:pPr>
              <w:pStyle w:val="28"/>
              <w:spacing w:before="24" w:after="24"/>
              <w:rPr>
                <w:rFonts w:ascii="Times New Roman"/>
                <w:sz w:val="24"/>
              </w:rPr>
            </w:pPr>
            <w:r>
              <w:rPr>
                <w:rFonts w:ascii="Times New Roman"/>
                <w:sz w:val="24"/>
              </w:rPr>
              <w:t>C8030洗</w:t>
            </w:r>
            <w:r>
              <w:rPr>
                <w:rFonts w:hint="eastAsia" w:ascii="Times New Roman"/>
                <w:sz w:val="24"/>
              </w:rPr>
              <w:t>染</w:t>
            </w:r>
            <w:r>
              <w:rPr>
                <w:rFonts w:ascii="Times New Roman"/>
                <w:sz w:val="24"/>
              </w:rPr>
              <w:t>服务；</w:t>
            </w:r>
          </w:p>
          <w:p w14:paraId="4D5E992E">
            <w:pPr>
              <w:adjustRightInd w:val="0"/>
              <w:snapToGrid w:val="0"/>
              <w:jc w:val="center"/>
              <w:rPr>
                <w:sz w:val="24"/>
              </w:rPr>
            </w:pPr>
            <w:r>
              <w:rPr>
                <w:kern w:val="0"/>
                <w:sz w:val="24"/>
                <w:szCs w:val="20"/>
              </w:rPr>
              <w:t>D4430热力生产和供应</w:t>
            </w:r>
          </w:p>
        </w:tc>
        <w:tc>
          <w:tcPr>
            <w:tcW w:w="2484" w:type="dxa"/>
            <w:vAlign w:val="center"/>
          </w:tcPr>
          <w:p w14:paraId="41275EB7">
            <w:pPr>
              <w:adjustRightInd w:val="0"/>
              <w:snapToGrid w:val="0"/>
              <w:jc w:val="center"/>
              <w:rPr>
                <w:b/>
                <w:bCs/>
                <w:kern w:val="0"/>
                <w:sz w:val="24"/>
                <w:szCs w:val="20"/>
              </w:rPr>
            </w:pPr>
            <w:bookmarkStart w:id="6" w:name="_Hlk49843745"/>
            <w:r>
              <w:rPr>
                <w:b/>
                <w:bCs/>
                <w:kern w:val="0"/>
                <w:sz w:val="24"/>
                <w:szCs w:val="20"/>
              </w:rPr>
              <w:t>建设项目</w:t>
            </w:r>
          </w:p>
          <w:p w14:paraId="1E6966A1">
            <w:pPr>
              <w:adjustRightInd w:val="0"/>
              <w:snapToGrid w:val="0"/>
              <w:jc w:val="center"/>
              <w:rPr>
                <w:kern w:val="0"/>
                <w:sz w:val="24"/>
                <w:szCs w:val="20"/>
              </w:rPr>
            </w:pPr>
            <w:r>
              <w:rPr>
                <w:b/>
                <w:bCs/>
                <w:kern w:val="0"/>
                <w:sz w:val="24"/>
                <w:szCs w:val="20"/>
              </w:rPr>
              <w:t>行业类别</w:t>
            </w:r>
            <w:bookmarkEnd w:id="6"/>
          </w:p>
        </w:tc>
        <w:tc>
          <w:tcPr>
            <w:tcW w:w="3037" w:type="dxa"/>
            <w:vAlign w:val="center"/>
          </w:tcPr>
          <w:p w14:paraId="4C92E14A">
            <w:pPr>
              <w:adjustRightInd w:val="0"/>
              <w:snapToGrid w:val="0"/>
              <w:jc w:val="center"/>
              <w:rPr>
                <w:kern w:val="0"/>
                <w:sz w:val="24"/>
                <w:szCs w:val="20"/>
              </w:rPr>
            </w:pPr>
            <w:r>
              <w:rPr>
                <w:kern w:val="0"/>
                <w:sz w:val="24"/>
                <w:szCs w:val="20"/>
              </w:rPr>
              <w:t>四十一、电力、热力生产和供应业-91热力生产和供应工程（包括建设单位自建自用的供热工程）</w:t>
            </w:r>
          </w:p>
        </w:tc>
      </w:tr>
      <w:tr w14:paraId="7B9801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1219" w:hRule="atLeast"/>
          <w:jc w:val="center"/>
        </w:trPr>
        <w:tc>
          <w:tcPr>
            <w:tcW w:w="2299" w:type="dxa"/>
            <w:gridSpan w:val="2"/>
            <w:tcMar>
              <w:top w:w="16" w:type="dxa"/>
              <w:left w:w="16" w:type="dxa"/>
              <w:right w:w="16" w:type="dxa"/>
            </w:tcMar>
            <w:vAlign w:val="center"/>
          </w:tcPr>
          <w:p w14:paraId="6FCA99CA">
            <w:pPr>
              <w:adjustRightInd w:val="0"/>
              <w:snapToGrid w:val="0"/>
              <w:jc w:val="center"/>
              <w:rPr>
                <w:b/>
                <w:sz w:val="24"/>
              </w:rPr>
            </w:pPr>
            <w:r>
              <w:rPr>
                <w:b/>
                <w:sz w:val="24"/>
              </w:rPr>
              <w:t>建设性质</w:t>
            </w:r>
          </w:p>
        </w:tc>
        <w:tc>
          <w:tcPr>
            <w:tcW w:w="2386" w:type="dxa"/>
            <w:vAlign w:val="center"/>
          </w:tcPr>
          <w:p w14:paraId="4A7ACB99">
            <w:pPr>
              <w:jc w:val="left"/>
              <w:rPr>
                <w:rFonts w:hint="eastAsia" w:ascii="宋体" w:hAnsi="宋体"/>
                <w:sz w:val="24"/>
              </w:rPr>
            </w:pPr>
            <w:r>
              <w:rPr>
                <w:rFonts w:ascii="宋体" w:hAnsi="宋体"/>
                <w:sz w:val="24"/>
              </w:rPr>
              <w:t>□新建（迁建）</w:t>
            </w:r>
          </w:p>
          <w:p w14:paraId="63E1981A">
            <w:pPr>
              <w:jc w:val="left"/>
              <w:rPr>
                <w:rFonts w:hint="eastAsia" w:ascii="宋体" w:hAnsi="宋体"/>
                <w:sz w:val="24"/>
              </w:rPr>
            </w:pPr>
            <w:r>
              <w:rPr>
                <w:rFonts w:hint="eastAsia" w:ascii="宋体" w:hAnsi="宋体" w:cs="宋体"/>
                <w:sz w:val="24"/>
                <w:lang w:eastAsia="zh-CN"/>
              </w:rPr>
              <w:t>（</w:t>
            </w:r>
            <w:r>
              <w:rPr>
                <w:rFonts w:ascii="宋体" w:hAnsi="宋体"/>
                <w:sz w:val="24"/>
              </w:rPr>
              <w:t>改建</w:t>
            </w:r>
          </w:p>
          <w:p w14:paraId="60951062">
            <w:pPr>
              <w:jc w:val="left"/>
              <w:rPr>
                <w:rFonts w:hint="eastAsia" w:ascii="宋体" w:hAnsi="宋体"/>
                <w:sz w:val="24"/>
              </w:rPr>
            </w:pPr>
            <w:r>
              <w:rPr>
                <w:rFonts w:hint="eastAsia" w:ascii="宋体" w:hAnsi="宋体"/>
                <w:sz w:val="24"/>
              </w:rPr>
              <w:t>☑</w:t>
            </w:r>
            <w:r>
              <w:rPr>
                <w:rFonts w:ascii="宋体" w:hAnsi="宋体"/>
                <w:sz w:val="24"/>
              </w:rPr>
              <w:t>扩建</w:t>
            </w:r>
          </w:p>
          <w:p w14:paraId="51A271DE">
            <w:pPr>
              <w:jc w:val="left"/>
              <w:rPr>
                <w:rFonts w:hint="eastAsia" w:ascii="宋体" w:hAnsi="宋体"/>
                <w:sz w:val="24"/>
              </w:rPr>
            </w:pPr>
            <w:r>
              <w:rPr>
                <w:rFonts w:ascii="宋体" w:hAnsi="宋体"/>
                <w:sz w:val="24"/>
              </w:rPr>
              <w:t>□技术改造</w:t>
            </w:r>
          </w:p>
        </w:tc>
        <w:tc>
          <w:tcPr>
            <w:tcW w:w="2484" w:type="dxa"/>
            <w:vAlign w:val="center"/>
          </w:tcPr>
          <w:p w14:paraId="5FF72B90">
            <w:pPr>
              <w:adjustRightInd w:val="0"/>
              <w:snapToGrid w:val="0"/>
              <w:jc w:val="center"/>
              <w:rPr>
                <w:rFonts w:hint="eastAsia" w:ascii="宋体" w:hAnsi="宋体"/>
                <w:b/>
                <w:sz w:val="24"/>
              </w:rPr>
            </w:pPr>
            <w:r>
              <w:rPr>
                <w:rFonts w:ascii="宋体" w:hAnsi="宋体"/>
                <w:b/>
                <w:sz w:val="24"/>
              </w:rPr>
              <w:t>建设项目</w:t>
            </w:r>
          </w:p>
          <w:p w14:paraId="284F0BF4">
            <w:pPr>
              <w:adjustRightInd w:val="0"/>
              <w:snapToGrid w:val="0"/>
              <w:jc w:val="center"/>
              <w:rPr>
                <w:rFonts w:hint="eastAsia" w:ascii="宋体" w:hAnsi="宋体"/>
                <w:b/>
                <w:sz w:val="24"/>
              </w:rPr>
            </w:pPr>
            <w:r>
              <w:rPr>
                <w:rFonts w:ascii="宋体" w:hAnsi="宋体"/>
                <w:b/>
                <w:sz w:val="24"/>
              </w:rPr>
              <w:t>申报情形</w:t>
            </w:r>
          </w:p>
        </w:tc>
        <w:tc>
          <w:tcPr>
            <w:tcW w:w="3037" w:type="dxa"/>
            <w:vAlign w:val="center"/>
          </w:tcPr>
          <w:p w14:paraId="7B8A64E8">
            <w:pPr>
              <w:jc w:val="left"/>
              <w:rPr>
                <w:rFonts w:hint="eastAsia" w:ascii="宋体" w:hAnsi="宋体"/>
                <w:sz w:val="24"/>
              </w:rPr>
            </w:pPr>
            <w:r>
              <w:rPr>
                <w:rFonts w:hint="eastAsia" w:ascii="宋体" w:hAnsi="宋体" w:cs="宋体"/>
                <w:sz w:val="24"/>
                <w:lang w:eastAsia="zh-CN"/>
              </w:rPr>
              <w:t>（</w:t>
            </w:r>
            <w:r>
              <w:rPr>
                <w:rFonts w:ascii="宋体" w:hAnsi="宋体"/>
                <w:sz w:val="24"/>
              </w:rPr>
              <w:t xml:space="preserve">首次申报项目             </w:t>
            </w:r>
          </w:p>
          <w:p w14:paraId="074E0D40">
            <w:pPr>
              <w:jc w:val="left"/>
              <w:rPr>
                <w:rFonts w:hint="eastAsia" w:ascii="宋体" w:hAnsi="宋体"/>
                <w:sz w:val="24"/>
              </w:rPr>
            </w:pPr>
            <w:r>
              <w:rPr>
                <w:rFonts w:ascii="宋体" w:hAnsi="宋体"/>
                <w:sz w:val="24"/>
              </w:rPr>
              <w:t>□不予批准后再次申报项目</w:t>
            </w:r>
          </w:p>
          <w:p w14:paraId="585EF231">
            <w:pPr>
              <w:jc w:val="left"/>
              <w:rPr>
                <w:rFonts w:hint="eastAsia" w:ascii="宋体" w:hAnsi="宋体"/>
                <w:sz w:val="24"/>
              </w:rPr>
            </w:pPr>
            <w:r>
              <w:rPr>
                <w:rFonts w:hint="eastAsia" w:ascii="宋体" w:hAnsi="宋体"/>
                <w:sz w:val="24"/>
                <w:lang w:eastAsia="zh-CN"/>
              </w:rPr>
              <w:t>（</w:t>
            </w:r>
            <w:r>
              <w:rPr>
                <w:rFonts w:ascii="宋体" w:hAnsi="宋体"/>
                <w:sz w:val="24"/>
              </w:rPr>
              <w:t xml:space="preserve">超五年重新审核项目     </w:t>
            </w:r>
          </w:p>
          <w:p w14:paraId="4D7E2681">
            <w:pPr>
              <w:jc w:val="left"/>
              <w:rPr>
                <w:rFonts w:hint="eastAsia" w:ascii="宋体" w:hAnsi="宋体"/>
                <w:sz w:val="24"/>
              </w:rPr>
            </w:pPr>
            <w:r>
              <w:rPr>
                <w:rFonts w:ascii="宋体" w:hAnsi="宋体"/>
                <w:sz w:val="24"/>
              </w:rPr>
              <w:t>□重大变动重新报批项目</w:t>
            </w:r>
          </w:p>
        </w:tc>
      </w:tr>
      <w:tr w14:paraId="671B35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851" w:hRule="atLeast"/>
          <w:jc w:val="center"/>
        </w:trPr>
        <w:tc>
          <w:tcPr>
            <w:tcW w:w="2299" w:type="dxa"/>
            <w:gridSpan w:val="2"/>
            <w:tcMar>
              <w:top w:w="16" w:type="dxa"/>
              <w:left w:w="16" w:type="dxa"/>
              <w:right w:w="16" w:type="dxa"/>
            </w:tcMar>
            <w:vAlign w:val="center"/>
          </w:tcPr>
          <w:p w14:paraId="117E4ECA">
            <w:pPr>
              <w:adjustRightInd w:val="0"/>
              <w:snapToGrid w:val="0"/>
              <w:jc w:val="center"/>
              <w:rPr>
                <w:b/>
                <w:sz w:val="24"/>
              </w:rPr>
            </w:pPr>
            <w:r>
              <w:rPr>
                <w:b/>
                <w:sz w:val="24"/>
              </w:rPr>
              <w:t>项目审批（核准/</w:t>
            </w:r>
          </w:p>
          <w:p w14:paraId="35A1535B">
            <w:pPr>
              <w:adjustRightInd w:val="0"/>
              <w:snapToGrid w:val="0"/>
              <w:jc w:val="center"/>
              <w:rPr>
                <w:b/>
                <w:sz w:val="24"/>
              </w:rPr>
            </w:pPr>
            <w:r>
              <w:rPr>
                <w:b/>
                <w:sz w:val="24"/>
              </w:rPr>
              <w:t>备案）部门（选填）</w:t>
            </w:r>
          </w:p>
        </w:tc>
        <w:tc>
          <w:tcPr>
            <w:tcW w:w="2386" w:type="dxa"/>
            <w:vAlign w:val="center"/>
          </w:tcPr>
          <w:p w14:paraId="090797D6">
            <w:pPr>
              <w:adjustRightInd w:val="0"/>
              <w:snapToGrid w:val="0"/>
              <w:jc w:val="center"/>
              <w:rPr>
                <w:sz w:val="24"/>
              </w:rPr>
            </w:pPr>
            <w:r>
              <w:rPr>
                <w:rFonts w:hint="eastAsia"/>
                <w:sz w:val="24"/>
              </w:rPr>
              <w:t>湖南衡阳西渡高新技术产业园区管理委员会</w:t>
            </w:r>
          </w:p>
        </w:tc>
        <w:tc>
          <w:tcPr>
            <w:tcW w:w="2484" w:type="dxa"/>
            <w:vAlign w:val="center"/>
          </w:tcPr>
          <w:p w14:paraId="0358B50D">
            <w:pPr>
              <w:adjustRightInd w:val="0"/>
              <w:snapToGrid w:val="0"/>
              <w:jc w:val="center"/>
              <w:rPr>
                <w:b/>
                <w:sz w:val="24"/>
              </w:rPr>
            </w:pPr>
            <w:r>
              <w:rPr>
                <w:b/>
                <w:sz w:val="24"/>
              </w:rPr>
              <w:t>项目审批（核准/</w:t>
            </w:r>
          </w:p>
          <w:p w14:paraId="7D26720F">
            <w:pPr>
              <w:adjustRightInd w:val="0"/>
              <w:snapToGrid w:val="0"/>
              <w:jc w:val="center"/>
              <w:rPr>
                <w:b/>
                <w:sz w:val="24"/>
              </w:rPr>
            </w:pPr>
            <w:r>
              <w:rPr>
                <w:b/>
                <w:sz w:val="24"/>
              </w:rPr>
              <w:t>备案）文号（选填）</w:t>
            </w:r>
          </w:p>
        </w:tc>
        <w:tc>
          <w:tcPr>
            <w:tcW w:w="3037" w:type="dxa"/>
            <w:vAlign w:val="center"/>
          </w:tcPr>
          <w:p w14:paraId="46F2AE72">
            <w:pPr>
              <w:adjustRightInd w:val="0"/>
              <w:snapToGrid w:val="0"/>
              <w:jc w:val="center"/>
              <w:rPr>
                <w:sz w:val="24"/>
              </w:rPr>
            </w:pPr>
            <w:r>
              <w:rPr>
                <w:rFonts w:hint="eastAsia"/>
                <w:sz w:val="24"/>
              </w:rPr>
              <w:t>蒸高新备案【30】号</w:t>
            </w:r>
          </w:p>
        </w:tc>
      </w:tr>
      <w:tr w14:paraId="08B696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19D264DF">
            <w:pPr>
              <w:adjustRightInd w:val="0"/>
              <w:snapToGrid w:val="0"/>
              <w:jc w:val="center"/>
              <w:rPr>
                <w:b/>
                <w:sz w:val="24"/>
              </w:rPr>
            </w:pPr>
            <w:r>
              <w:rPr>
                <w:b/>
                <w:sz w:val="24"/>
              </w:rPr>
              <w:t>总投资（万元）</w:t>
            </w:r>
          </w:p>
        </w:tc>
        <w:tc>
          <w:tcPr>
            <w:tcW w:w="2386" w:type="dxa"/>
            <w:vAlign w:val="center"/>
          </w:tcPr>
          <w:p w14:paraId="37747ABB">
            <w:pPr>
              <w:adjustRightInd w:val="0"/>
              <w:snapToGrid w:val="0"/>
              <w:jc w:val="center"/>
              <w:rPr>
                <w:sz w:val="24"/>
              </w:rPr>
            </w:pPr>
            <w:r>
              <w:rPr>
                <w:rFonts w:hint="eastAsia"/>
                <w:sz w:val="24"/>
              </w:rPr>
              <w:t>4000</w:t>
            </w:r>
          </w:p>
        </w:tc>
        <w:tc>
          <w:tcPr>
            <w:tcW w:w="2484" w:type="dxa"/>
            <w:tcMar>
              <w:top w:w="16" w:type="dxa"/>
              <w:left w:w="16" w:type="dxa"/>
              <w:right w:w="16" w:type="dxa"/>
            </w:tcMar>
            <w:vAlign w:val="center"/>
          </w:tcPr>
          <w:p w14:paraId="0A9528DC">
            <w:pPr>
              <w:adjustRightInd w:val="0"/>
              <w:snapToGrid w:val="0"/>
              <w:jc w:val="center"/>
              <w:rPr>
                <w:b/>
                <w:sz w:val="24"/>
              </w:rPr>
            </w:pPr>
            <w:r>
              <w:rPr>
                <w:b/>
                <w:sz w:val="24"/>
              </w:rPr>
              <w:t>环保投资（万元）</w:t>
            </w:r>
          </w:p>
        </w:tc>
        <w:tc>
          <w:tcPr>
            <w:tcW w:w="3037" w:type="dxa"/>
            <w:vAlign w:val="center"/>
          </w:tcPr>
          <w:p w14:paraId="174D39FE">
            <w:pPr>
              <w:adjustRightInd w:val="0"/>
              <w:snapToGrid w:val="0"/>
              <w:jc w:val="center"/>
              <w:rPr>
                <w:color w:val="FF0000"/>
                <w:sz w:val="24"/>
              </w:rPr>
            </w:pPr>
            <w:r>
              <w:rPr>
                <w:rFonts w:hint="eastAsia"/>
                <w:sz w:val="24"/>
              </w:rPr>
              <w:t>200</w:t>
            </w:r>
          </w:p>
        </w:tc>
      </w:tr>
      <w:tr w14:paraId="773FFA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5FB29C56">
            <w:pPr>
              <w:adjustRightInd w:val="0"/>
              <w:snapToGrid w:val="0"/>
              <w:jc w:val="center"/>
              <w:rPr>
                <w:b/>
                <w:sz w:val="24"/>
              </w:rPr>
            </w:pPr>
            <w:r>
              <w:rPr>
                <w:b/>
                <w:sz w:val="24"/>
              </w:rPr>
              <w:t>环保投资占比（%）</w:t>
            </w:r>
          </w:p>
        </w:tc>
        <w:tc>
          <w:tcPr>
            <w:tcW w:w="2386" w:type="dxa"/>
            <w:vAlign w:val="center"/>
          </w:tcPr>
          <w:p w14:paraId="62247E6F">
            <w:pPr>
              <w:adjustRightInd w:val="0"/>
              <w:snapToGrid w:val="0"/>
              <w:jc w:val="center"/>
              <w:rPr>
                <w:rFonts w:hint="eastAsia" w:eastAsia="宋体"/>
                <w:sz w:val="24"/>
                <w:lang w:eastAsia="zh-CN"/>
              </w:rPr>
            </w:pPr>
            <w:r>
              <w:rPr>
                <w:rFonts w:hint="eastAsia"/>
                <w:sz w:val="24"/>
                <w:lang w:val="en-US" w:eastAsia="zh-CN"/>
              </w:rPr>
              <w:t>5</w:t>
            </w:r>
          </w:p>
        </w:tc>
        <w:tc>
          <w:tcPr>
            <w:tcW w:w="2484" w:type="dxa"/>
            <w:tcMar>
              <w:top w:w="16" w:type="dxa"/>
              <w:left w:w="16" w:type="dxa"/>
              <w:right w:w="16" w:type="dxa"/>
            </w:tcMar>
            <w:vAlign w:val="center"/>
          </w:tcPr>
          <w:p w14:paraId="2D135772">
            <w:pPr>
              <w:adjustRightInd w:val="0"/>
              <w:snapToGrid w:val="0"/>
              <w:jc w:val="center"/>
              <w:rPr>
                <w:b/>
                <w:sz w:val="24"/>
              </w:rPr>
            </w:pPr>
            <w:r>
              <w:rPr>
                <w:b/>
                <w:sz w:val="24"/>
              </w:rPr>
              <w:t>施工工期</w:t>
            </w:r>
          </w:p>
        </w:tc>
        <w:tc>
          <w:tcPr>
            <w:tcW w:w="3037" w:type="dxa"/>
            <w:vAlign w:val="center"/>
          </w:tcPr>
          <w:p w14:paraId="5A0E7233">
            <w:pPr>
              <w:adjustRightInd w:val="0"/>
              <w:snapToGrid w:val="0"/>
              <w:jc w:val="center"/>
              <w:rPr>
                <w:sz w:val="24"/>
              </w:rPr>
            </w:pPr>
            <w:r>
              <w:rPr>
                <w:rFonts w:hint="eastAsia"/>
                <w:sz w:val="24"/>
              </w:rPr>
              <w:t>3个月</w:t>
            </w:r>
          </w:p>
        </w:tc>
      </w:tr>
      <w:tr w14:paraId="3F94419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97" w:hRule="atLeast"/>
          <w:jc w:val="center"/>
        </w:trPr>
        <w:tc>
          <w:tcPr>
            <w:tcW w:w="2299" w:type="dxa"/>
            <w:gridSpan w:val="2"/>
            <w:tcMar>
              <w:top w:w="16" w:type="dxa"/>
              <w:left w:w="16" w:type="dxa"/>
              <w:right w:w="16" w:type="dxa"/>
            </w:tcMar>
            <w:vAlign w:val="center"/>
          </w:tcPr>
          <w:p w14:paraId="6C855001">
            <w:pPr>
              <w:adjustRightInd w:val="0"/>
              <w:snapToGrid w:val="0"/>
              <w:jc w:val="center"/>
              <w:rPr>
                <w:b/>
                <w:sz w:val="24"/>
              </w:rPr>
            </w:pPr>
            <w:r>
              <w:rPr>
                <w:b/>
                <w:sz w:val="24"/>
              </w:rPr>
              <w:t>是否开工建设</w:t>
            </w:r>
          </w:p>
        </w:tc>
        <w:tc>
          <w:tcPr>
            <w:tcW w:w="2386" w:type="dxa"/>
            <w:vAlign w:val="center"/>
          </w:tcPr>
          <w:p w14:paraId="515B25C8">
            <w:pPr>
              <w:adjustRightInd w:val="0"/>
              <w:snapToGrid w:val="0"/>
              <w:rPr>
                <w:sz w:val="24"/>
              </w:rPr>
            </w:pPr>
            <w:r>
              <w:rPr>
                <w:rFonts w:hint="eastAsia" w:ascii="宋体" w:hAnsi="宋体" w:cs="宋体"/>
                <w:sz w:val="24"/>
                <w:lang w:eastAsia="zh-CN"/>
              </w:rPr>
              <w:t>（</w:t>
            </w:r>
            <w:r>
              <w:rPr>
                <w:sz w:val="24"/>
              </w:rPr>
              <w:t>否</w:t>
            </w:r>
          </w:p>
          <w:p w14:paraId="30C54765">
            <w:pPr>
              <w:adjustRightInd w:val="0"/>
              <w:snapToGrid w:val="0"/>
              <w:rPr>
                <w:sz w:val="24"/>
              </w:rPr>
            </w:pPr>
            <w:r>
              <w:rPr>
                <w:rFonts w:hint="eastAsia"/>
                <w:sz w:val="24"/>
                <w:lang w:eastAsia="zh-CN"/>
              </w:rPr>
              <w:t>（</w:t>
            </w:r>
            <w:r>
              <w:rPr>
                <w:sz w:val="24"/>
              </w:rPr>
              <w:t>是：</w:t>
            </w:r>
            <w:r>
              <w:rPr>
                <w:rFonts w:hint="eastAsia"/>
                <w:sz w:val="24"/>
                <w:u w:val="single"/>
              </w:rPr>
              <w:t xml:space="preserve">          </w:t>
            </w:r>
          </w:p>
        </w:tc>
        <w:tc>
          <w:tcPr>
            <w:tcW w:w="2484" w:type="dxa"/>
            <w:tcMar>
              <w:top w:w="16" w:type="dxa"/>
              <w:left w:w="16" w:type="dxa"/>
              <w:right w:w="16" w:type="dxa"/>
            </w:tcMar>
            <w:vAlign w:val="center"/>
          </w:tcPr>
          <w:p w14:paraId="1B50AA16">
            <w:pPr>
              <w:adjustRightInd w:val="0"/>
              <w:snapToGrid w:val="0"/>
              <w:jc w:val="center"/>
              <w:rPr>
                <w:b/>
                <w:spacing w:val="-6"/>
                <w:sz w:val="24"/>
              </w:rPr>
            </w:pPr>
            <w:r>
              <w:rPr>
                <w:b/>
                <w:spacing w:val="-6"/>
                <w:sz w:val="24"/>
              </w:rPr>
              <w:t>用地（用海）</w:t>
            </w:r>
          </w:p>
          <w:p w14:paraId="0099D0E8">
            <w:pPr>
              <w:adjustRightInd w:val="0"/>
              <w:snapToGrid w:val="0"/>
              <w:jc w:val="center"/>
              <w:rPr>
                <w:b/>
                <w:sz w:val="24"/>
              </w:rPr>
            </w:pPr>
            <w:r>
              <w:rPr>
                <w:b/>
                <w:spacing w:val="-6"/>
                <w:sz w:val="24"/>
              </w:rPr>
              <w:t>面积（m</w:t>
            </w:r>
            <w:r>
              <w:rPr>
                <w:b/>
                <w:spacing w:val="-6"/>
                <w:sz w:val="24"/>
                <w:vertAlign w:val="superscript"/>
              </w:rPr>
              <w:t>2</w:t>
            </w:r>
            <w:r>
              <w:rPr>
                <w:b/>
                <w:spacing w:val="-6"/>
                <w:sz w:val="24"/>
              </w:rPr>
              <w:t>）</w:t>
            </w:r>
          </w:p>
        </w:tc>
        <w:tc>
          <w:tcPr>
            <w:tcW w:w="3037" w:type="dxa"/>
            <w:vAlign w:val="center"/>
          </w:tcPr>
          <w:p w14:paraId="27F00FA0">
            <w:pPr>
              <w:adjustRightInd w:val="0"/>
              <w:snapToGrid w:val="0"/>
              <w:jc w:val="center"/>
              <w:rPr>
                <w:sz w:val="24"/>
              </w:rPr>
            </w:pPr>
            <w:r>
              <w:rPr>
                <w:sz w:val="24"/>
              </w:rPr>
              <w:t>总用地面积</w:t>
            </w:r>
            <w:r>
              <w:rPr>
                <w:rFonts w:hint="eastAsia" w:eastAsia="仿宋_GB2312"/>
                <w:sz w:val="24"/>
              </w:rPr>
              <w:t>15688</w:t>
            </w:r>
            <w:r>
              <w:rPr>
                <w:sz w:val="24"/>
              </w:rPr>
              <w:t>m</w:t>
            </w:r>
            <w:r>
              <w:rPr>
                <w:sz w:val="24"/>
                <w:vertAlign w:val="superscript"/>
              </w:rPr>
              <w:t>2</w:t>
            </w:r>
            <w:r>
              <w:rPr>
                <w:sz w:val="24"/>
              </w:rPr>
              <w:t>，新增用地面积</w:t>
            </w:r>
            <w:r>
              <w:rPr>
                <w:rFonts w:hint="eastAsia"/>
                <w:sz w:val="24"/>
              </w:rPr>
              <w:t>0</w:t>
            </w:r>
            <w:r>
              <w:rPr>
                <w:sz w:val="24"/>
              </w:rPr>
              <w:t>m</w:t>
            </w:r>
            <w:r>
              <w:rPr>
                <w:sz w:val="24"/>
                <w:vertAlign w:val="superscript"/>
              </w:rPr>
              <w:t>2</w:t>
            </w:r>
          </w:p>
        </w:tc>
      </w:tr>
      <w:tr w14:paraId="64A4A6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21" w:hRule="atLeast"/>
          <w:jc w:val="center"/>
        </w:trPr>
        <w:tc>
          <w:tcPr>
            <w:tcW w:w="2299" w:type="dxa"/>
            <w:gridSpan w:val="2"/>
            <w:vAlign w:val="center"/>
          </w:tcPr>
          <w:p w14:paraId="35A45837">
            <w:pPr>
              <w:autoSpaceDE w:val="0"/>
              <w:autoSpaceDN w:val="0"/>
              <w:adjustRightInd w:val="0"/>
              <w:snapToGrid w:val="0"/>
              <w:jc w:val="center"/>
              <w:rPr>
                <w:b/>
                <w:kern w:val="0"/>
                <w:sz w:val="24"/>
              </w:rPr>
            </w:pPr>
            <w:r>
              <w:rPr>
                <w:b/>
                <w:kern w:val="0"/>
                <w:sz w:val="24"/>
              </w:rPr>
              <w:t>专项评价设置情况</w:t>
            </w:r>
          </w:p>
        </w:tc>
        <w:tc>
          <w:tcPr>
            <w:tcW w:w="7907" w:type="dxa"/>
            <w:gridSpan w:val="3"/>
            <w:vAlign w:val="center"/>
          </w:tcPr>
          <w:p w14:paraId="7CD913CA">
            <w:pPr>
              <w:autoSpaceDE w:val="0"/>
              <w:autoSpaceDN w:val="0"/>
              <w:adjustRightInd w:val="0"/>
              <w:snapToGrid w:val="0"/>
              <w:spacing w:before="120" w:beforeLines="50"/>
              <w:jc w:val="center"/>
              <w:rPr>
                <w:b/>
                <w:bCs/>
              </w:rPr>
            </w:pPr>
            <w:r>
              <w:rPr>
                <w:b/>
              </w:rPr>
              <w:t>表</w:t>
            </w:r>
            <w:r>
              <w:rPr>
                <w:rFonts w:hint="eastAsia"/>
                <w:b/>
              </w:rPr>
              <w:t xml:space="preserve">1-1  </w:t>
            </w:r>
            <w:r>
              <w:rPr>
                <w:rFonts w:hint="eastAsia"/>
                <w:b/>
                <w:bCs/>
              </w:rPr>
              <w:t>专项评价设置原则</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94"/>
              <w:gridCol w:w="3686"/>
              <w:gridCol w:w="2881"/>
            </w:tblGrid>
            <w:tr w14:paraId="43BAB7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4" w:type="pct"/>
                  <w:vAlign w:val="center"/>
                </w:tcPr>
                <w:p w14:paraId="2ED9161C">
                  <w:pPr>
                    <w:autoSpaceDE w:val="0"/>
                    <w:autoSpaceDN w:val="0"/>
                    <w:adjustRightInd w:val="0"/>
                    <w:snapToGrid w:val="0"/>
                    <w:jc w:val="center"/>
                    <w:rPr>
                      <w:b/>
                      <w:bCs/>
                    </w:rPr>
                  </w:pPr>
                  <w:r>
                    <w:rPr>
                      <w:b/>
                      <w:bCs/>
                    </w:rPr>
                    <w:t>专项评价类别</w:t>
                  </w:r>
                </w:p>
              </w:tc>
              <w:tc>
                <w:tcPr>
                  <w:tcW w:w="2406" w:type="pct"/>
                  <w:vAlign w:val="center"/>
                </w:tcPr>
                <w:p w14:paraId="5931EF09">
                  <w:pPr>
                    <w:autoSpaceDE w:val="0"/>
                    <w:autoSpaceDN w:val="0"/>
                    <w:adjustRightInd w:val="0"/>
                    <w:snapToGrid w:val="0"/>
                    <w:jc w:val="center"/>
                    <w:rPr>
                      <w:b/>
                      <w:bCs/>
                    </w:rPr>
                  </w:pPr>
                  <w:r>
                    <w:rPr>
                      <w:b/>
                      <w:bCs/>
                    </w:rPr>
                    <w:t>设置原则</w:t>
                  </w:r>
                </w:p>
              </w:tc>
              <w:tc>
                <w:tcPr>
                  <w:tcW w:w="1880" w:type="pct"/>
                  <w:vAlign w:val="center"/>
                </w:tcPr>
                <w:p w14:paraId="6BAC1551">
                  <w:pPr>
                    <w:autoSpaceDE w:val="0"/>
                    <w:autoSpaceDN w:val="0"/>
                    <w:adjustRightInd w:val="0"/>
                    <w:snapToGrid w:val="0"/>
                    <w:jc w:val="center"/>
                    <w:rPr>
                      <w:b/>
                      <w:bCs/>
                    </w:rPr>
                  </w:pPr>
                  <w:r>
                    <w:rPr>
                      <w:b/>
                      <w:bCs/>
                    </w:rPr>
                    <w:t>项目情况</w:t>
                  </w:r>
                </w:p>
              </w:tc>
            </w:tr>
            <w:tr w14:paraId="0F858B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4" w:type="pct"/>
                  <w:vAlign w:val="center"/>
                </w:tcPr>
                <w:p w14:paraId="6D21FCBC">
                  <w:pPr>
                    <w:autoSpaceDE w:val="0"/>
                    <w:autoSpaceDN w:val="0"/>
                    <w:adjustRightInd w:val="0"/>
                    <w:snapToGrid w:val="0"/>
                    <w:jc w:val="center"/>
                    <w:rPr>
                      <w:bCs/>
                    </w:rPr>
                  </w:pPr>
                  <w:r>
                    <w:rPr>
                      <w:bCs/>
                    </w:rPr>
                    <w:t>大气</w:t>
                  </w:r>
                </w:p>
              </w:tc>
              <w:tc>
                <w:tcPr>
                  <w:tcW w:w="2406" w:type="pct"/>
                  <w:vAlign w:val="center"/>
                </w:tcPr>
                <w:p w14:paraId="4BE9B32E">
                  <w:pPr>
                    <w:autoSpaceDE w:val="0"/>
                    <w:autoSpaceDN w:val="0"/>
                    <w:adjustRightInd w:val="0"/>
                    <w:snapToGrid w:val="0"/>
                    <w:jc w:val="center"/>
                    <w:rPr>
                      <w:bCs/>
                    </w:rPr>
                  </w:pPr>
                  <w:r>
                    <w:rPr>
                      <w:rFonts w:hint="eastAsia"/>
                      <w:bCs/>
                    </w:rPr>
                    <w:t>排放废气含有毒有害污染物、二噁英、苯并[a]芘、氰化物、氯气且厂界外500米范围内有环境空气保护目标的建设项目</w:t>
                  </w:r>
                </w:p>
              </w:tc>
              <w:tc>
                <w:tcPr>
                  <w:tcW w:w="1880" w:type="pct"/>
                  <w:vAlign w:val="center"/>
                </w:tcPr>
                <w:p w14:paraId="5F8BC15A">
                  <w:pPr>
                    <w:autoSpaceDE w:val="0"/>
                    <w:autoSpaceDN w:val="0"/>
                    <w:adjustRightInd w:val="0"/>
                    <w:snapToGrid w:val="0"/>
                    <w:jc w:val="center"/>
                    <w:rPr>
                      <w:bCs/>
                    </w:rPr>
                  </w:pPr>
                  <w:r>
                    <w:rPr>
                      <w:rFonts w:hint="eastAsia"/>
                      <w:bCs/>
                    </w:rPr>
                    <w:t>项目排放废气不含有毒有害污染物、二噁英、苯并[a]芘、氰化物、氯气等物质，因此无需设置大气专项评价</w:t>
                  </w:r>
                </w:p>
              </w:tc>
            </w:tr>
            <w:tr w14:paraId="334CC1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4" w:type="pct"/>
                  <w:vAlign w:val="center"/>
                </w:tcPr>
                <w:p w14:paraId="113797B5">
                  <w:pPr>
                    <w:autoSpaceDE w:val="0"/>
                    <w:autoSpaceDN w:val="0"/>
                    <w:adjustRightInd w:val="0"/>
                    <w:snapToGrid w:val="0"/>
                    <w:jc w:val="center"/>
                    <w:rPr>
                      <w:bCs/>
                    </w:rPr>
                  </w:pPr>
                  <w:r>
                    <w:rPr>
                      <w:bCs/>
                    </w:rPr>
                    <w:t>地表水</w:t>
                  </w:r>
                </w:p>
              </w:tc>
              <w:tc>
                <w:tcPr>
                  <w:tcW w:w="2406" w:type="pct"/>
                  <w:vAlign w:val="center"/>
                </w:tcPr>
                <w:p w14:paraId="1CC3B400">
                  <w:pPr>
                    <w:autoSpaceDE w:val="0"/>
                    <w:autoSpaceDN w:val="0"/>
                    <w:adjustRightInd w:val="0"/>
                    <w:snapToGrid w:val="0"/>
                    <w:jc w:val="center"/>
                    <w:rPr>
                      <w:bCs/>
                    </w:rPr>
                  </w:pPr>
                  <w:r>
                    <w:rPr>
                      <w:rFonts w:hint="eastAsia"/>
                      <w:bCs/>
                    </w:rPr>
                    <w:t>新增工业废水直接排放建设项目（槽罐车外送至污水处理厂的除外）；新增废水直排的污水集中处理厂</w:t>
                  </w:r>
                </w:p>
              </w:tc>
              <w:tc>
                <w:tcPr>
                  <w:tcW w:w="1880" w:type="pct"/>
                  <w:vAlign w:val="center"/>
                </w:tcPr>
                <w:p w14:paraId="1ADD3526">
                  <w:pPr>
                    <w:autoSpaceDE w:val="0"/>
                    <w:autoSpaceDN w:val="0"/>
                    <w:adjustRightInd w:val="0"/>
                    <w:snapToGrid w:val="0"/>
                    <w:jc w:val="center"/>
                    <w:rPr>
                      <w:bCs/>
                    </w:rPr>
                  </w:pPr>
                  <w:r>
                    <w:rPr>
                      <w:rFonts w:hint="eastAsia"/>
                      <w:bCs/>
                    </w:rPr>
                    <w:t>项目生产废水排入污水处理厂，因此无需设置地表水专项评价</w:t>
                  </w:r>
                </w:p>
              </w:tc>
            </w:tr>
            <w:tr w14:paraId="0663C7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4" w:type="pct"/>
                  <w:vAlign w:val="center"/>
                </w:tcPr>
                <w:p w14:paraId="22B2DA5E">
                  <w:pPr>
                    <w:autoSpaceDE w:val="0"/>
                    <w:autoSpaceDN w:val="0"/>
                    <w:adjustRightInd w:val="0"/>
                    <w:snapToGrid w:val="0"/>
                    <w:jc w:val="center"/>
                    <w:rPr>
                      <w:bCs/>
                    </w:rPr>
                  </w:pPr>
                  <w:r>
                    <w:rPr>
                      <w:bCs/>
                    </w:rPr>
                    <w:t>环境风险</w:t>
                  </w:r>
                </w:p>
              </w:tc>
              <w:tc>
                <w:tcPr>
                  <w:tcW w:w="2406" w:type="pct"/>
                  <w:vAlign w:val="center"/>
                </w:tcPr>
                <w:p w14:paraId="42701147">
                  <w:pPr>
                    <w:autoSpaceDE w:val="0"/>
                    <w:autoSpaceDN w:val="0"/>
                    <w:adjustRightInd w:val="0"/>
                    <w:snapToGrid w:val="0"/>
                    <w:jc w:val="center"/>
                    <w:rPr>
                      <w:bCs/>
                    </w:rPr>
                  </w:pPr>
                  <w:r>
                    <w:rPr>
                      <w:rFonts w:hint="eastAsia"/>
                      <w:bCs/>
                    </w:rPr>
                    <w:t>有毒有害和易燃易爆危险物质存储量超过临界量的建设项目</w:t>
                  </w:r>
                </w:p>
              </w:tc>
              <w:tc>
                <w:tcPr>
                  <w:tcW w:w="1880" w:type="pct"/>
                  <w:vAlign w:val="center"/>
                </w:tcPr>
                <w:p w14:paraId="6053B56C">
                  <w:pPr>
                    <w:autoSpaceDE w:val="0"/>
                    <w:autoSpaceDN w:val="0"/>
                    <w:adjustRightInd w:val="0"/>
                    <w:snapToGrid w:val="0"/>
                    <w:jc w:val="center"/>
                    <w:rPr>
                      <w:bCs/>
                    </w:rPr>
                  </w:pPr>
                  <w:r>
                    <w:rPr>
                      <w:rFonts w:hint="eastAsia"/>
                      <w:bCs/>
                    </w:rPr>
                    <w:t>项目危险物质存储量未超过临界量，因此无需设置环境风险专项评价</w:t>
                  </w:r>
                </w:p>
              </w:tc>
            </w:tr>
            <w:tr w14:paraId="51C187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4" w:type="pct"/>
                  <w:vAlign w:val="center"/>
                </w:tcPr>
                <w:p w14:paraId="3CF8B053">
                  <w:pPr>
                    <w:autoSpaceDE w:val="0"/>
                    <w:autoSpaceDN w:val="0"/>
                    <w:adjustRightInd w:val="0"/>
                    <w:snapToGrid w:val="0"/>
                    <w:jc w:val="center"/>
                    <w:rPr>
                      <w:bCs/>
                    </w:rPr>
                  </w:pPr>
                  <w:r>
                    <w:rPr>
                      <w:bCs/>
                    </w:rPr>
                    <w:t>生态</w:t>
                  </w:r>
                </w:p>
              </w:tc>
              <w:tc>
                <w:tcPr>
                  <w:tcW w:w="2406" w:type="pct"/>
                  <w:vAlign w:val="center"/>
                </w:tcPr>
                <w:p w14:paraId="2B913DF7">
                  <w:pPr>
                    <w:autoSpaceDE w:val="0"/>
                    <w:autoSpaceDN w:val="0"/>
                    <w:adjustRightInd w:val="0"/>
                    <w:snapToGrid w:val="0"/>
                    <w:jc w:val="center"/>
                    <w:rPr>
                      <w:bCs/>
                    </w:rPr>
                  </w:pPr>
                  <w:r>
                    <w:rPr>
                      <w:rFonts w:hint="eastAsia"/>
                      <w:bCs/>
                    </w:rPr>
                    <w:t>取水口下游500米范围内有重要水生生物的自然产卵场、索饵场、越冬场和洄游通道的新增河道取水的污染类建设项目</w:t>
                  </w:r>
                </w:p>
              </w:tc>
              <w:tc>
                <w:tcPr>
                  <w:tcW w:w="1880" w:type="pct"/>
                  <w:vAlign w:val="center"/>
                </w:tcPr>
                <w:p w14:paraId="7E02F016">
                  <w:pPr>
                    <w:autoSpaceDE w:val="0"/>
                    <w:autoSpaceDN w:val="0"/>
                    <w:adjustRightInd w:val="0"/>
                    <w:snapToGrid w:val="0"/>
                    <w:jc w:val="center"/>
                    <w:rPr>
                      <w:bCs/>
                    </w:rPr>
                  </w:pPr>
                  <w:r>
                    <w:t>项目不涉及取水口，因此无需设置生态专项评价</w:t>
                  </w:r>
                </w:p>
              </w:tc>
            </w:tr>
            <w:tr w14:paraId="76FA7A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714" w:type="pct"/>
                  <w:vAlign w:val="center"/>
                </w:tcPr>
                <w:p w14:paraId="08786876">
                  <w:pPr>
                    <w:autoSpaceDE w:val="0"/>
                    <w:autoSpaceDN w:val="0"/>
                    <w:adjustRightInd w:val="0"/>
                    <w:snapToGrid w:val="0"/>
                    <w:jc w:val="center"/>
                    <w:rPr>
                      <w:bCs/>
                    </w:rPr>
                  </w:pPr>
                  <w:r>
                    <w:rPr>
                      <w:bCs/>
                    </w:rPr>
                    <w:t>海洋</w:t>
                  </w:r>
                </w:p>
              </w:tc>
              <w:tc>
                <w:tcPr>
                  <w:tcW w:w="2406" w:type="pct"/>
                  <w:vAlign w:val="center"/>
                </w:tcPr>
                <w:p w14:paraId="0E4C2F5E">
                  <w:pPr>
                    <w:autoSpaceDE w:val="0"/>
                    <w:autoSpaceDN w:val="0"/>
                    <w:adjustRightInd w:val="0"/>
                    <w:snapToGrid w:val="0"/>
                    <w:jc w:val="center"/>
                    <w:rPr>
                      <w:bCs/>
                    </w:rPr>
                  </w:pPr>
                  <w:r>
                    <w:rPr>
                      <w:rFonts w:hint="eastAsia"/>
                      <w:bCs/>
                    </w:rPr>
                    <w:t>直接向海排放污染物的海洋工程建设项目</w:t>
                  </w:r>
                </w:p>
              </w:tc>
              <w:tc>
                <w:tcPr>
                  <w:tcW w:w="1880" w:type="pct"/>
                  <w:vAlign w:val="center"/>
                </w:tcPr>
                <w:p w14:paraId="1BC1DAFA">
                  <w:pPr>
                    <w:autoSpaceDE w:val="0"/>
                    <w:autoSpaceDN w:val="0"/>
                    <w:adjustRightInd w:val="0"/>
                    <w:snapToGrid w:val="0"/>
                    <w:jc w:val="center"/>
                    <w:rPr>
                      <w:bCs/>
                    </w:rPr>
                  </w:pPr>
                  <w:r>
                    <w:t>项目不涉及向海洋排放污染物，因此无需设置海洋专项评价</w:t>
                  </w:r>
                </w:p>
              </w:tc>
            </w:tr>
          </w:tbl>
          <w:p w14:paraId="023FCCE9">
            <w:pPr>
              <w:autoSpaceDE w:val="0"/>
              <w:autoSpaceDN w:val="0"/>
              <w:adjustRightInd w:val="0"/>
              <w:snapToGrid w:val="0"/>
              <w:jc w:val="center"/>
              <w:rPr>
                <w:kern w:val="0"/>
                <w:sz w:val="24"/>
              </w:rPr>
            </w:pPr>
          </w:p>
        </w:tc>
      </w:tr>
      <w:tr w14:paraId="7719D8F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21" w:hRule="atLeast"/>
          <w:jc w:val="center"/>
        </w:trPr>
        <w:tc>
          <w:tcPr>
            <w:tcW w:w="2299" w:type="dxa"/>
            <w:gridSpan w:val="2"/>
            <w:vAlign w:val="center"/>
          </w:tcPr>
          <w:p w14:paraId="1B8E2B15">
            <w:pPr>
              <w:autoSpaceDE w:val="0"/>
              <w:autoSpaceDN w:val="0"/>
              <w:adjustRightInd w:val="0"/>
              <w:snapToGrid w:val="0"/>
              <w:jc w:val="center"/>
              <w:rPr>
                <w:b/>
                <w:kern w:val="0"/>
                <w:sz w:val="24"/>
              </w:rPr>
            </w:pPr>
            <w:r>
              <w:rPr>
                <w:b/>
                <w:sz w:val="24"/>
              </w:rPr>
              <w:t>规划情况</w:t>
            </w:r>
          </w:p>
        </w:tc>
        <w:tc>
          <w:tcPr>
            <w:tcW w:w="7907" w:type="dxa"/>
            <w:gridSpan w:val="3"/>
            <w:vAlign w:val="center"/>
          </w:tcPr>
          <w:p w14:paraId="38177615">
            <w:pPr>
              <w:autoSpaceDE w:val="0"/>
              <w:autoSpaceDN w:val="0"/>
              <w:adjustRightInd w:val="0"/>
              <w:snapToGrid w:val="0"/>
              <w:spacing w:line="360" w:lineRule="auto"/>
              <w:jc w:val="center"/>
              <w:rPr>
                <w:rFonts w:hint="eastAsia" w:eastAsia="宋体"/>
                <w:kern w:val="0"/>
                <w:sz w:val="24"/>
                <w:lang w:val="en-US" w:eastAsia="zh-CN"/>
              </w:rPr>
            </w:pPr>
            <w:r>
              <w:rPr>
                <w:rFonts w:hint="eastAsia"/>
                <w:kern w:val="0"/>
                <w:sz w:val="24"/>
                <w:lang w:val="en-US" w:eastAsia="zh-CN"/>
              </w:rPr>
              <w:t>无</w:t>
            </w:r>
          </w:p>
        </w:tc>
      </w:tr>
      <w:tr w14:paraId="3507CE7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21" w:hRule="atLeast"/>
          <w:jc w:val="center"/>
        </w:trPr>
        <w:tc>
          <w:tcPr>
            <w:tcW w:w="2299" w:type="dxa"/>
            <w:gridSpan w:val="2"/>
            <w:vAlign w:val="center"/>
          </w:tcPr>
          <w:p w14:paraId="35A59E07">
            <w:pPr>
              <w:adjustRightInd w:val="0"/>
              <w:snapToGrid w:val="0"/>
              <w:jc w:val="center"/>
              <w:rPr>
                <w:b/>
                <w:sz w:val="24"/>
              </w:rPr>
            </w:pPr>
            <w:r>
              <w:rPr>
                <w:b/>
                <w:sz w:val="24"/>
              </w:rPr>
              <w:t>规划环境影响</w:t>
            </w:r>
          </w:p>
          <w:p w14:paraId="2DAC36CE">
            <w:pPr>
              <w:adjustRightInd w:val="0"/>
              <w:snapToGrid w:val="0"/>
              <w:jc w:val="center"/>
              <w:rPr>
                <w:b/>
                <w:kern w:val="0"/>
                <w:sz w:val="24"/>
              </w:rPr>
            </w:pPr>
            <w:r>
              <w:rPr>
                <w:b/>
                <w:sz w:val="24"/>
              </w:rPr>
              <w:t>评价情况</w:t>
            </w:r>
          </w:p>
        </w:tc>
        <w:tc>
          <w:tcPr>
            <w:tcW w:w="7907" w:type="dxa"/>
            <w:gridSpan w:val="3"/>
            <w:vAlign w:val="center"/>
          </w:tcPr>
          <w:p w14:paraId="2D230F1E">
            <w:pPr>
              <w:autoSpaceDE w:val="0"/>
              <w:autoSpaceDN w:val="0"/>
              <w:adjustRightInd w:val="0"/>
              <w:snapToGrid w:val="0"/>
              <w:spacing w:line="360" w:lineRule="auto"/>
              <w:jc w:val="center"/>
              <w:rPr>
                <w:kern w:val="0"/>
                <w:sz w:val="24"/>
              </w:rPr>
            </w:pPr>
            <w:r>
              <w:rPr>
                <w:rFonts w:hint="eastAsia"/>
                <w:kern w:val="0"/>
                <w:sz w:val="24"/>
                <w:lang w:val="en-US" w:eastAsia="zh-CN"/>
              </w:rPr>
              <w:t>无</w:t>
            </w:r>
          </w:p>
        </w:tc>
      </w:tr>
      <w:tr w14:paraId="2A75AC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21" w:hRule="atLeast"/>
          <w:jc w:val="center"/>
        </w:trPr>
        <w:tc>
          <w:tcPr>
            <w:tcW w:w="2299" w:type="dxa"/>
            <w:gridSpan w:val="2"/>
            <w:vAlign w:val="center"/>
          </w:tcPr>
          <w:p w14:paraId="07875EAE">
            <w:pPr>
              <w:autoSpaceDE w:val="0"/>
              <w:autoSpaceDN w:val="0"/>
              <w:adjustRightInd w:val="0"/>
              <w:snapToGrid w:val="0"/>
              <w:jc w:val="center"/>
              <w:rPr>
                <w:b/>
                <w:kern w:val="0"/>
                <w:sz w:val="24"/>
              </w:rPr>
            </w:pPr>
            <w:r>
              <w:rPr>
                <w:b/>
                <w:kern w:val="0"/>
                <w:sz w:val="24"/>
              </w:rPr>
              <w:t>规划及规划环境</w:t>
            </w:r>
          </w:p>
          <w:p w14:paraId="6F47F154">
            <w:pPr>
              <w:autoSpaceDE w:val="0"/>
              <w:autoSpaceDN w:val="0"/>
              <w:adjustRightInd w:val="0"/>
              <w:snapToGrid w:val="0"/>
              <w:jc w:val="center"/>
              <w:rPr>
                <w:b/>
                <w:color w:val="FF0000"/>
                <w:kern w:val="0"/>
                <w:sz w:val="24"/>
              </w:rPr>
            </w:pPr>
            <w:r>
              <w:rPr>
                <w:b/>
                <w:kern w:val="0"/>
                <w:sz w:val="24"/>
              </w:rPr>
              <w:t>影响评价符合性分析</w:t>
            </w:r>
          </w:p>
        </w:tc>
        <w:tc>
          <w:tcPr>
            <w:tcW w:w="7907" w:type="dxa"/>
            <w:gridSpan w:val="3"/>
            <w:vAlign w:val="center"/>
          </w:tcPr>
          <w:p w14:paraId="2C393A13">
            <w:pPr>
              <w:autoSpaceDE w:val="0"/>
              <w:autoSpaceDN w:val="0"/>
              <w:adjustRightInd w:val="0"/>
              <w:snapToGrid w:val="0"/>
              <w:spacing w:line="360" w:lineRule="auto"/>
              <w:jc w:val="center"/>
              <w:rPr>
                <w:rFonts w:hint="eastAsia" w:eastAsia="宋体"/>
                <w:b/>
                <w:color w:val="FF0000"/>
                <w:kern w:val="0"/>
                <w:sz w:val="24"/>
                <w:lang w:eastAsia="zh-CN"/>
              </w:rPr>
            </w:pPr>
            <w:r>
              <w:rPr>
                <w:rFonts w:hint="eastAsia"/>
                <w:b w:val="0"/>
                <w:bCs/>
                <w:color w:val="auto"/>
                <w:kern w:val="0"/>
                <w:sz w:val="24"/>
                <w:lang w:eastAsia="zh-CN"/>
              </w:rPr>
              <w:t>无</w:t>
            </w:r>
          </w:p>
        </w:tc>
      </w:tr>
      <w:tr w14:paraId="0243D3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21" w:hRule="atLeast"/>
          <w:jc w:val="center"/>
        </w:trPr>
        <w:tc>
          <w:tcPr>
            <w:tcW w:w="667" w:type="dxa"/>
            <w:vAlign w:val="center"/>
          </w:tcPr>
          <w:p w14:paraId="7F662898">
            <w:pPr>
              <w:autoSpaceDE w:val="0"/>
              <w:autoSpaceDN w:val="0"/>
              <w:adjustRightInd w:val="0"/>
              <w:snapToGrid w:val="0"/>
              <w:jc w:val="center"/>
              <w:rPr>
                <w:b/>
                <w:kern w:val="0"/>
                <w:sz w:val="24"/>
              </w:rPr>
            </w:pPr>
            <w:r>
              <w:rPr>
                <w:b/>
                <w:kern w:val="0"/>
                <w:sz w:val="24"/>
              </w:rPr>
              <w:t>其他符合性分析</w:t>
            </w:r>
          </w:p>
        </w:tc>
        <w:tc>
          <w:tcPr>
            <w:tcW w:w="9539" w:type="dxa"/>
            <w:gridSpan w:val="4"/>
            <w:vAlign w:val="center"/>
          </w:tcPr>
          <w:p w14:paraId="0D30477B">
            <w:pPr>
              <w:autoSpaceDE w:val="0"/>
              <w:autoSpaceDN w:val="0"/>
              <w:adjustRightInd w:val="0"/>
              <w:snapToGrid w:val="0"/>
              <w:spacing w:line="360" w:lineRule="auto"/>
              <w:ind w:firstLine="482" w:firstLineChars="200"/>
              <w:rPr>
                <w:b/>
                <w:bCs/>
                <w:kern w:val="0"/>
                <w:sz w:val="24"/>
              </w:rPr>
            </w:pPr>
            <w:r>
              <w:rPr>
                <w:rFonts w:hint="eastAsia"/>
                <w:b/>
                <w:bCs/>
                <w:kern w:val="0"/>
                <w:sz w:val="24"/>
              </w:rPr>
              <w:t>1、</w:t>
            </w:r>
            <w:r>
              <w:rPr>
                <w:b/>
                <w:bCs/>
                <w:kern w:val="0"/>
                <w:sz w:val="24"/>
              </w:rPr>
              <w:t>产业政策合理性分析</w:t>
            </w:r>
          </w:p>
          <w:p w14:paraId="103301B1">
            <w:pPr>
              <w:autoSpaceDE w:val="0"/>
              <w:autoSpaceDN w:val="0"/>
              <w:adjustRightInd w:val="0"/>
              <w:snapToGrid w:val="0"/>
              <w:spacing w:line="360" w:lineRule="auto"/>
              <w:ind w:firstLine="472" w:firstLineChars="200"/>
              <w:rPr>
                <w:spacing w:val="-2"/>
                <w:sz w:val="24"/>
              </w:rPr>
            </w:pPr>
            <w:r>
              <w:rPr>
                <w:rFonts w:hint="eastAsia"/>
                <w:spacing w:val="-2"/>
                <w:sz w:val="24"/>
              </w:rPr>
              <w:t>根据《产业结构调整指导目录（2024年本）》（国家发展和改革委员会2019年第29号令），本项目不属于鼓励类、限制类、淘汰类，可视为允许类建设项目。</w:t>
            </w:r>
            <w:r>
              <w:rPr>
                <w:spacing w:val="-2"/>
                <w:sz w:val="24"/>
              </w:rPr>
              <w:t>对照《</w:t>
            </w:r>
            <w:r>
              <w:rPr>
                <w:rFonts w:hint="eastAsia"/>
                <w:spacing w:val="-2"/>
                <w:sz w:val="24"/>
              </w:rPr>
              <w:t>市场准入负面清单（2022年版）</w:t>
            </w:r>
            <w:r>
              <w:rPr>
                <w:spacing w:val="-2"/>
                <w:sz w:val="24"/>
              </w:rPr>
              <w:t>》，项目不在禁止类之列。</w:t>
            </w:r>
          </w:p>
          <w:p w14:paraId="0FD4AC22">
            <w:pPr>
              <w:autoSpaceDE w:val="0"/>
              <w:autoSpaceDN w:val="0"/>
              <w:adjustRightInd w:val="0"/>
              <w:snapToGrid w:val="0"/>
              <w:spacing w:line="360" w:lineRule="auto"/>
              <w:ind w:firstLine="480" w:firstLineChars="200"/>
              <w:rPr>
                <w:color w:val="000000"/>
                <w:sz w:val="24"/>
              </w:rPr>
            </w:pPr>
            <w:r>
              <w:rPr>
                <w:rFonts w:hint="eastAsia"/>
                <w:sz w:val="24"/>
              </w:rPr>
              <w:t>综上所述，本项目符合国家和地方有关产业政策、产业准入要求</w:t>
            </w:r>
            <w:r>
              <w:rPr>
                <w:rFonts w:hint="eastAsia"/>
                <w:color w:val="000000"/>
                <w:sz w:val="24"/>
              </w:rPr>
              <w:t>。</w:t>
            </w:r>
          </w:p>
          <w:p w14:paraId="6CDC5D1B">
            <w:pPr>
              <w:autoSpaceDE w:val="0"/>
              <w:autoSpaceDN w:val="0"/>
              <w:adjustRightInd w:val="0"/>
              <w:snapToGrid w:val="0"/>
              <w:spacing w:line="360" w:lineRule="auto"/>
              <w:ind w:firstLine="482" w:firstLineChars="200"/>
              <w:jc w:val="left"/>
              <w:rPr>
                <w:b/>
                <w:bCs/>
                <w:kern w:val="0"/>
                <w:sz w:val="24"/>
              </w:rPr>
            </w:pPr>
            <w:r>
              <w:rPr>
                <w:rFonts w:hint="eastAsia"/>
                <w:b/>
                <w:bCs/>
                <w:kern w:val="0"/>
                <w:sz w:val="24"/>
              </w:rPr>
              <w:t>2、</w:t>
            </w:r>
            <w:r>
              <w:rPr>
                <w:b/>
                <w:bCs/>
                <w:kern w:val="0"/>
                <w:sz w:val="24"/>
              </w:rPr>
              <w:t>选址合理性及环境相容性分析</w:t>
            </w:r>
          </w:p>
          <w:p w14:paraId="5CECBCF5">
            <w:pPr>
              <w:autoSpaceDE w:val="0"/>
              <w:autoSpaceDN w:val="0"/>
              <w:adjustRightInd w:val="0"/>
              <w:snapToGrid w:val="0"/>
              <w:spacing w:line="360" w:lineRule="auto"/>
              <w:ind w:firstLine="472" w:firstLineChars="200"/>
              <w:rPr>
                <w:spacing w:val="-2"/>
                <w:sz w:val="24"/>
              </w:rPr>
            </w:pPr>
            <w:r>
              <w:rPr>
                <w:rFonts w:hint="eastAsia"/>
                <w:spacing w:val="-2"/>
                <w:sz w:val="24"/>
              </w:rPr>
              <w:t>（1）用地合理性分析</w:t>
            </w:r>
          </w:p>
          <w:p w14:paraId="0119EF6E">
            <w:pPr>
              <w:pStyle w:val="29"/>
              <w:spacing w:line="360" w:lineRule="auto"/>
              <w:ind w:firstLine="480" w:firstLineChars="200"/>
              <w:rPr>
                <w:rFonts w:eastAsiaTheme="minorEastAsia"/>
                <w:color w:val="auto"/>
              </w:rPr>
            </w:pPr>
            <w:r>
              <w:rPr>
                <w:rFonts w:eastAsiaTheme="minorEastAsia"/>
                <w:color w:val="auto"/>
              </w:rPr>
              <w:t>本项目选址位于</w:t>
            </w:r>
            <w:r>
              <w:rPr>
                <w:rFonts w:hint="eastAsia" w:eastAsiaTheme="minorEastAsia"/>
                <w:color w:val="auto"/>
                <w:lang w:eastAsia="zh-CN"/>
              </w:rPr>
              <w:t>湖南省衡阳市衡阳县西渡镇豆陂村</w:t>
            </w:r>
            <w:r>
              <w:rPr>
                <w:rFonts w:eastAsiaTheme="minorEastAsia"/>
                <w:color w:val="auto"/>
              </w:rPr>
              <w:t>，根据《</w:t>
            </w:r>
            <w:r>
              <w:rPr>
                <w:rFonts w:hint="eastAsia" w:eastAsiaTheme="minorEastAsia"/>
                <w:color w:val="auto"/>
              </w:rPr>
              <w:t>湖南衡阳西渡高新技术产业园区</w:t>
            </w:r>
            <w:r>
              <w:rPr>
                <w:rFonts w:hint="eastAsia" w:eastAsiaTheme="minorEastAsia"/>
                <w:color w:val="auto"/>
                <w:lang w:val="en-US" w:eastAsia="zh-CN"/>
              </w:rPr>
              <w:t>总体规划</w:t>
            </w:r>
            <w:r>
              <w:rPr>
                <w:rFonts w:eastAsiaTheme="minorEastAsia"/>
                <w:color w:val="auto"/>
              </w:rPr>
              <w:t>》，</w:t>
            </w:r>
            <w:r>
              <w:rPr>
                <w:rFonts w:eastAsiaTheme="minorEastAsia"/>
                <w:color w:val="auto"/>
                <w:szCs w:val="21"/>
              </w:rPr>
              <w:t>未明确地块规划用途，</w:t>
            </w:r>
            <w:r>
              <w:rPr>
                <w:rFonts w:hint="eastAsia" w:eastAsiaTheme="minorEastAsia"/>
                <w:color w:val="auto"/>
                <w:szCs w:val="21"/>
              </w:rPr>
              <w:t>为远景用地</w:t>
            </w:r>
            <w:r>
              <w:rPr>
                <w:rFonts w:eastAsiaTheme="minorEastAsia"/>
                <w:color w:val="auto"/>
                <w:szCs w:val="21"/>
              </w:rPr>
              <w:t>，项目位于衡阳西渡高新技术产业园园区区块1范围内，项目用地现状一直为工业用地</w:t>
            </w:r>
            <w:r>
              <w:rPr>
                <w:rFonts w:eastAsiaTheme="minorEastAsia"/>
                <w:color w:val="auto"/>
              </w:rPr>
              <w:t>，因此，本项目用地符合土地利用规划要求，选址是合理的。</w:t>
            </w:r>
          </w:p>
          <w:p w14:paraId="5B02FC11">
            <w:pPr>
              <w:pStyle w:val="29"/>
              <w:spacing w:line="360" w:lineRule="auto"/>
              <w:ind w:firstLine="480" w:firstLineChars="200"/>
              <w:rPr>
                <w:rFonts w:eastAsia="宋体"/>
                <w:color w:val="auto"/>
              </w:rPr>
            </w:pPr>
            <w:r>
              <w:rPr>
                <w:rFonts w:hint="eastAsia" w:eastAsia="宋体"/>
                <w:color w:val="auto"/>
              </w:rPr>
              <w:t>（2）环境相容性分析</w:t>
            </w:r>
          </w:p>
          <w:p w14:paraId="1C8CFF5B">
            <w:pPr>
              <w:pStyle w:val="29"/>
              <w:spacing w:line="360" w:lineRule="auto"/>
              <w:ind w:firstLine="480" w:firstLineChars="200"/>
              <w:rPr>
                <w:rFonts w:eastAsia="宋体"/>
                <w:color w:val="auto"/>
              </w:rPr>
            </w:pPr>
            <w:r>
              <w:rPr>
                <w:rFonts w:hint="eastAsia" w:eastAsia="宋体"/>
                <w:color w:val="auto"/>
              </w:rPr>
              <w:t>根据现场勘测，项目所在地及周边为规划的工业用地、居住用地等，无文物保护单位、自然保护区、风景名胜区和生态敏感点等环境敏感区域，外环境关系相对较为单纯，无环境制约因素。</w:t>
            </w:r>
          </w:p>
          <w:p w14:paraId="682D0991">
            <w:pPr>
              <w:pStyle w:val="29"/>
              <w:spacing w:line="360" w:lineRule="auto"/>
              <w:ind w:firstLine="480" w:firstLineChars="200"/>
              <w:rPr>
                <w:rFonts w:eastAsia="宋体"/>
                <w:color w:val="auto"/>
              </w:rPr>
            </w:pPr>
            <w:r>
              <w:rPr>
                <w:rFonts w:hint="eastAsia" w:eastAsia="宋体"/>
                <w:color w:val="auto"/>
              </w:rPr>
              <w:t>（3）外部建设条件可行性</w:t>
            </w:r>
          </w:p>
          <w:p w14:paraId="22D4F2C5">
            <w:pPr>
              <w:pStyle w:val="29"/>
              <w:spacing w:line="360" w:lineRule="auto"/>
              <w:ind w:firstLine="480" w:firstLineChars="200"/>
              <w:rPr>
                <w:rFonts w:eastAsia="宋体"/>
                <w:color w:val="auto"/>
              </w:rPr>
            </w:pPr>
            <w:r>
              <w:rPr>
                <w:rFonts w:hint="eastAsia" w:eastAsia="宋体"/>
                <w:color w:val="auto"/>
              </w:rPr>
              <w:t>本项目选址位于衡阳市衡阳县西渡镇豆陂村，企</w:t>
            </w:r>
            <w:r>
              <w:rPr>
                <w:rFonts w:eastAsia="宋体"/>
                <w:color w:val="auto"/>
              </w:rPr>
              <w:t>业所在地理位置条件较好，交通便利，区域水、电、通讯等基础配套设施齐全。</w:t>
            </w:r>
          </w:p>
          <w:p w14:paraId="5E72230A">
            <w:pPr>
              <w:pStyle w:val="29"/>
              <w:spacing w:line="360" w:lineRule="auto"/>
              <w:ind w:firstLine="480" w:firstLineChars="200"/>
              <w:rPr>
                <w:rFonts w:eastAsia="宋体"/>
                <w:color w:val="auto"/>
              </w:rPr>
            </w:pPr>
            <w:r>
              <w:rPr>
                <w:rFonts w:hint="eastAsia" w:eastAsia="宋体"/>
                <w:color w:val="auto"/>
              </w:rPr>
              <w:t>（4）对外环境的影响</w:t>
            </w:r>
          </w:p>
          <w:p w14:paraId="5BB72EAB">
            <w:pPr>
              <w:pStyle w:val="29"/>
              <w:spacing w:line="360" w:lineRule="auto"/>
              <w:ind w:firstLine="480" w:firstLineChars="200"/>
              <w:rPr>
                <w:rFonts w:eastAsia="宋体"/>
                <w:color w:val="auto"/>
              </w:rPr>
            </w:pPr>
            <w:r>
              <w:rPr>
                <w:rFonts w:hint="eastAsia" w:eastAsia="宋体"/>
                <w:color w:val="auto"/>
              </w:rPr>
              <w:t>项目产污环节较少，污染物相对简单，在采取相应的治理措施后，可满足污染物的排放标准要求，对周边环境影响较小。</w:t>
            </w:r>
          </w:p>
          <w:p w14:paraId="1D862F83">
            <w:pPr>
              <w:autoSpaceDE w:val="0"/>
              <w:autoSpaceDN w:val="0"/>
              <w:adjustRightInd w:val="0"/>
              <w:snapToGrid w:val="0"/>
              <w:spacing w:line="360" w:lineRule="auto"/>
              <w:ind w:firstLine="482" w:firstLineChars="200"/>
              <w:jc w:val="left"/>
              <w:rPr>
                <w:b/>
                <w:bCs/>
                <w:kern w:val="0"/>
                <w:sz w:val="24"/>
              </w:rPr>
            </w:pPr>
            <w:r>
              <w:rPr>
                <w:rFonts w:hint="eastAsia"/>
                <w:b/>
                <w:bCs/>
                <w:kern w:val="0"/>
                <w:sz w:val="24"/>
              </w:rPr>
              <w:t>3、</w:t>
            </w:r>
            <w:r>
              <w:rPr>
                <w:rFonts w:hint="eastAsia"/>
                <w:b/>
                <w:sz w:val="24"/>
              </w:rPr>
              <w:t>与《湖南省“十四五”生态环境保护规划》的符合性分析</w:t>
            </w:r>
          </w:p>
          <w:p w14:paraId="3FD982D1">
            <w:pPr>
              <w:spacing w:line="360" w:lineRule="auto"/>
              <w:ind w:firstLine="480"/>
              <w:rPr>
                <w:sz w:val="24"/>
              </w:rPr>
            </w:pPr>
            <w:r>
              <w:rPr>
                <w:rFonts w:hint="eastAsia"/>
                <w:sz w:val="24"/>
              </w:rPr>
              <w:t>根据《湖南省“十四五”生态环境保护规划》（湘政办发[2021]61号）的相关要求，本项目与湘政办发[2021]61号文的相符性分析见下表。</w:t>
            </w:r>
          </w:p>
          <w:p w14:paraId="167C57AE">
            <w:pPr>
              <w:pStyle w:val="30"/>
              <w:spacing w:before="120" w:after="120"/>
              <w:rPr>
                <w:szCs w:val="21"/>
              </w:rPr>
            </w:pPr>
            <w:r>
              <w:rPr>
                <w:rFonts w:hint="eastAsia"/>
                <w:szCs w:val="21"/>
              </w:rPr>
              <w:t>表1</w:t>
            </w:r>
            <w:r>
              <w:rPr>
                <w:szCs w:val="21"/>
              </w:rPr>
              <w:t>-</w:t>
            </w:r>
            <w:r>
              <w:rPr>
                <w:rFonts w:hint="eastAsia"/>
                <w:szCs w:val="21"/>
              </w:rPr>
              <w:t>2</w:t>
            </w:r>
            <w:r>
              <w:rPr>
                <w:szCs w:val="21"/>
              </w:rPr>
              <w:t xml:space="preserve">  </w:t>
            </w:r>
            <w:r>
              <w:rPr>
                <w:rFonts w:hint="eastAsia"/>
                <w:szCs w:val="21"/>
              </w:rPr>
              <w:t>本项目与湘政办发[2021]61号文的相符性</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5068"/>
              <w:gridCol w:w="2656"/>
              <w:gridCol w:w="870"/>
            </w:tblGrid>
            <w:tr w14:paraId="4D60F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4" w:type="pct"/>
                  <w:vAlign w:val="center"/>
                </w:tcPr>
                <w:p w14:paraId="3B3C7A30">
                  <w:pPr>
                    <w:jc w:val="center"/>
                    <w:rPr>
                      <w:b/>
                      <w:bCs/>
                      <w:kern w:val="44"/>
                      <w:szCs w:val="21"/>
                    </w:rPr>
                  </w:pPr>
                  <w:r>
                    <w:rPr>
                      <w:rFonts w:hint="eastAsia"/>
                      <w:b/>
                      <w:bCs/>
                      <w:kern w:val="44"/>
                      <w:szCs w:val="21"/>
                    </w:rPr>
                    <w:t>序号</w:t>
                  </w:r>
                </w:p>
              </w:tc>
              <w:tc>
                <w:tcPr>
                  <w:tcW w:w="2721" w:type="pct"/>
                  <w:vAlign w:val="center"/>
                </w:tcPr>
                <w:p w14:paraId="1A286453">
                  <w:pPr>
                    <w:jc w:val="center"/>
                    <w:rPr>
                      <w:b/>
                      <w:bCs/>
                      <w:kern w:val="44"/>
                      <w:szCs w:val="21"/>
                    </w:rPr>
                  </w:pPr>
                  <w:r>
                    <w:rPr>
                      <w:rFonts w:hint="eastAsia"/>
                      <w:b/>
                      <w:bCs/>
                      <w:kern w:val="44"/>
                      <w:szCs w:val="21"/>
                    </w:rPr>
                    <w:t>湘政办发[2021]61号文的要求</w:t>
                  </w:r>
                </w:p>
              </w:tc>
              <w:tc>
                <w:tcPr>
                  <w:tcW w:w="1426" w:type="pct"/>
                  <w:vAlign w:val="center"/>
                </w:tcPr>
                <w:p w14:paraId="1A9D7250">
                  <w:pPr>
                    <w:jc w:val="center"/>
                    <w:rPr>
                      <w:b/>
                      <w:bCs/>
                      <w:kern w:val="44"/>
                      <w:szCs w:val="21"/>
                    </w:rPr>
                  </w:pPr>
                  <w:r>
                    <w:rPr>
                      <w:rFonts w:hint="eastAsia"/>
                      <w:b/>
                      <w:bCs/>
                      <w:kern w:val="44"/>
                      <w:szCs w:val="21"/>
                    </w:rPr>
                    <w:t>本项目</w:t>
                  </w:r>
                </w:p>
              </w:tc>
              <w:tc>
                <w:tcPr>
                  <w:tcW w:w="467" w:type="pct"/>
                  <w:vAlign w:val="center"/>
                </w:tcPr>
                <w:p w14:paraId="25371658">
                  <w:pPr>
                    <w:jc w:val="center"/>
                    <w:rPr>
                      <w:b/>
                      <w:bCs/>
                      <w:kern w:val="44"/>
                      <w:szCs w:val="21"/>
                    </w:rPr>
                  </w:pPr>
                  <w:r>
                    <w:rPr>
                      <w:rFonts w:hint="eastAsia"/>
                      <w:b/>
                      <w:bCs/>
                      <w:kern w:val="44"/>
                      <w:szCs w:val="21"/>
                    </w:rPr>
                    <w:t>相符性</w:t>
                  </w:r>
                </w:p>
              </w:tc>
            </w:tr>
            <w:tr w14:paraId="68ECB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84" w:type="pct"/>
                  <w:vAlign w:val="center"/>
                </w:tcPr>
                <w:p w14:paraId="1C3F1B5A">
                  <w:pPr>
                    <w:jc w:val="center"/>
                    <w:rPr>
                      <w:kern w:val="44"/>
                      <w:szCs w:val="21"/>
                    </w:rPr>
                  </w:pPr>
                  <w:r>
                    <w:rPr>
                      <w:rFonts w:hint="eastAsia"/>
                      <w:kern w:val="44"/>
                      <w:szCs w:val="21"/>
                    </w:rPr>
                    <w:t>1</w:t>
                  </w:r>
                </w:p>
              </w:tc>
              <w:tc>
                <w:tcPr>
                  <w:tcW w:w="2721" w:type="pct"/>
                  <w:vAlign w:val="center"/>
                </w:tcPr>
                <w:p w14:paraId="3C0904F1">
                  <w:pPr>
                    <w:ind w:firstLine="420" w:firstLineChars="200"/>
                    <w:rPr>
                      <w:kern w:val="44"/>
                      <w:szCs w:val="21"/>
                    </w:rPr>
                  </w:pPr>
                  <w:r>
                    <w:rPr>
                      <w:kern w:val="44"/>
                      <w:szCs w:val="21"/>
                    </w:rPr>
                    <w:t>“十四五”总体目标</w:t>
                  </w:r>
                  <w:r>
                    <w:rPr>
                      <w:rFonts w:hint="eastAsia"/>
                      <w:kern w:val="44"/>
                      <w:szCs w:val="21"/>
                    </w:rPr>
                    <w:t>。</w:t>
                  </w:r>
                  <w:r>
                    <w:rPr>
                      <w:kern w:val="44"/>
                      <w:szCs w:val="21"/>
                    </w:rPr>
                    <w:t>生产生活方式绿色转型成效显著，能源资源配置更加合理、利用效率大幅提高，国土空间开发与保护格局得到优化，污染物排放总量持续减少，生态环境质量持续改善，突出生态环境问题加快解决，重大生态环境风险基本化解，生态安全屏障更加牢固，城乡人居环境明显改善，生态环境治理体系和治理能力现代化水平明显增强，生态文明建设实现新进步。</w:t>
                  </w:r>
                </w:p>
              </w:tc>
              <w:tc>
                <w:tcPr>
                  <w:tcW w:w="1426" w:type="pct"/>
                  <w:vAlign w:val="center"/>
                </w:tcPr>
                <w:p w14:paraId="410F62B3">
                  <w:pPr>
                    <w:rPr>
                      <w:color w:val="FF0000"/>
                      <w:kern w:val="44"/>
                      <w:szCs w:val="21"/>
                    </w:rPr>
                  </w:pPr>
                  <w:r>
                    <w:rPr>
                      <w:rFonts w:hint="eastAsia"/>
                      <w:kern w:val="44"/>
                      <w:szCs w:val="21"/>
                    </w:rPr>
                    <w:t>本项目采用高效智能化生产设备，并通过有效的环保措施，可减少污染物排放总量减少，对生态环境质量的不利影响较小。</w:t>
                  </w:r>
                </w:p>
              </w:tc>
              <w:tc>
                <w:tcPr>
                  <w:tcW w:w="467" w:type="pct"/>
                  <w:vAlign w:val="center"/>
                </w:tcPr>
                <w:p w14:paraId="064A3C01">
                  <w:pPr>
                    <w:jc w:val="center"/>
                    <w:rPr>
                      <w:kern w:val="44"/>
                      <w:szCs w:val="21"/>
                    </w:rPr>
                  </w:pPr>
                  <w:r>
                    <w:rPr>
                      <w:rFonts w:hint="eastAsia"/>
                      <w:kern w:val="44"/>
                      <w:szCs w:val="21"/>
                    </w:rPr>
                    <w:t>相符</w:t>
                  </w:r>
                </w:p>
              </w:tc>
            </w:tr>
            <w:tr w14:paraId="25433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4" w:type="pct"/>
                  <w:vAlign w:val="center"/>
                </w:tcPr>
                <w:p w14:paraId="5C381D08">
                  <w:pPr>
                    <w:jc w:val="center"/>
                    <w:rPr>
                      <w:kern w:val="44"/>
                      <w:szCs w:val="21"/>
                    </w:rPr>
                  </w:pPr>
                  <w:r>
                    <w:rPr>
                      <w:rFonts w:hint="eastAsia"/>
                      <w:kern w:val="44"/>
                      <w:szCs w:val="21"/>
                    </w:rPr>
                    <w:t>2</w:t>
                  </w:r>
                </w:p>
              </w:tc>
              <w:tc>
                <w:tcPr>
                  <w:tcW w:w="2721" w:type="pct"/>
                  <w:vAlign w:val="center"/>
                </w:tcPr>
                <w:p w14:paraId="6FBEA088">
                  <w:pPr>
                    <w:ind w:firstLine="420" w:firstLineChars="200"/>
                    <w:rPr>
                      <w:kern w:val="44"/>
                      <w:szCs w:val="21"/>
                    </w:rPr>
                  </w:pPr>
                  <w:r>
                    <w:rPr>
                      <w:kern w:val="44"/>
                      <w:szCs w:val="21"/>
                    </w:rPr>
                    <w:t>深化重点领域水污染治理。补齐城乡污水收集和处理设施短板，加强生活源污染治理，完善城市污水管网建设，实现建成区污水管网全覆盖，改造老旧破损管网及检查井，系统解决管网漏损问题。到2025年，基本消除城中村、老旧城区和城乡结合部生活污水收集处理设施空白区，城市生活污水集中收集率达到70%，全省乡镇政府所在地污水处理设施全覆盖。以企业和工业聚集区为重点，推进工业园区污水处理设施分类管理、分期升级改造，实施省级及以上工业园区专项整治行动，实现省级及以上工业园区污水管网全覆盖、污水全收集、污水集中处理设施稳定达标运行、进出水水质在线监控并联网正常，规范设置园区集中污水处理设施排污口，建立园区水环境管理“一园一档”。加强涉重金属行业企业废水治理，推进重点行业氨氮和总磷排放总量控制。</w:t>
                  </w:r>
                </w:p>
              </w:tc>
              <w:tc>
                <w:tcPr>
                  <w:tcW w:w="1426" w:type="pct"/>
                  <w:vAlign w:val="center"/>
                </w:tcPr>
                <w:p w14:paraId="7F217F6F">
                  <w:pPr>
                    <w:rPr>
                      <w:kern w:val="44"/>
                      <w:szCs w:val="21"/>
                    </w:rPr>
                  </w:pPr>
                  <w:r>
                    <w:rPr>
                      <w:rFonts w:hint="eastAsia"/>
                      <w:szCs w:val="21"/>
                    </w:rPr>
                    <w:t>本改扩建项目生产用水包括洗涤用水、锅炉用水，本次改扩建主要升级替换老旧设备，进一步降低单位产品用水量。</w:t>
                  </w:r>
                  <w:r>
                    <w:rPr>
                      <w:rFonts w:hint="eastAsia"/>
                      <w:kern w:val="44"/>
                      <w:szCs w:val="21"/>
                    </w:rPr>
                    <w:t>生活用水设置有节水措施，生活废水化粪池处理后进入园区污水处理厂处理。</w:t>
                  </w:r>
                </w:p>
              </w:tc>
              <w:tc>
                <w:tcPr>
                  <w:tcW w:w="467" w:type="pct"/>
                  <w:vAlign w:val="center"/>
                </w:tcPr>
                <w:p w14:paraId="4322B33F">
                  <w:pPr>
                    <w:jc w:val="center"/>
                    <w:rPr>
                      <w:kern w:val="44"/>
                      <w:szCs w:val="21"/>
                    </w:rPr>
                  </w:pPr>
                  <w:r>
                    <w:rPr>
                      <w:rFonts w:hint="eastAsia"/>
                      <w:kern w:val="44"/>
                      <w:szCs w:val="21"/>
                    </w:rPr>
                    <w:t>相符</w:t>
                  </w:r>
                </w:p>
              </w:tc>
            </w:tr>
            <w:tr w14:paraId="26781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384" w:type="pct"/>
                  <w:vAlign w:val="center"/>
                </w:tcPr>
                <w:p w14:paraId="1F95416C">
                  <w:pPr>
                    <w:jc w:val="center"/>
                    <w:rPr>
                      <w:kern w:val="44"/>
                      <w:szCs w:val="21"/>
                    </w:rPr>
                  </w:pPr>
                  <w:r>
                    <w:rPr>
                      <w:rFonts w:hint="eastAsia"/>
                      <w:kern w:val="44"/>
                      <w:szCs w:val="21"/>
                    </w:rPr>
                    <w:t>3</w:t>
                  </w:r>
                </w:p>
              </w:tc>
              <w:tc>
                <w:tcPr>
                  <w:tcW w:w="2721" w:type="pct"/>
                  <w:vAlign w:val="center"/>
                </w:tcPr>
                <w:p w14:paraId="3BFB87A7">
                  <w:pPr>
                    <w:ind w:firstLine="420" w:firstLineChars="200"/>
                    <w:rPr>
                      <w:kern w:val="44"/>
                      <w:szCs w:val="21"/>
                    </w:rPr>
                  </w:pPr>
                  <w:r>
                    <w:rPr>
                      <w:kern w:val="44"/>
                      <w:szCs w:val="21"/>
                    </w:rPr>
                    <w:t>开展细颗粒物达标行动。衡阳、张家界、永州、郴州、娄底、吉首、怀化等7个已达标城市，持续降低环境空气细颗粒物水平，巩固改善大气环境质量。长沙、株洲、湘潭、岳阳、益阳、常德、邵阳等7个未达标城市要制定实施大气环境质量限期达标规划并向社会公布，明确空气质量达标路线及污染防治重点任务，按照前紧后松、持续改善的原则，加强达标进程管理，到“十四五”末，力争全省新增3个以上达标城市。</w:t>
                  </w:r>
                </w:p>
              </w:tc>
              <w:tc>
                <w:tcPr>
                  <w:tcW w:w="1426" w:type="pct"/>
                  <w:vAlign w:val="center"/>
                </w:tcPr>
                <w:p w14:paraId="3B8FED15">
                  <w:pPr>
                    <w:rPr>
                      <w:color w:val="FF0000"/>
                      <w:kern w:val="44"/>
                      <w:szCs w:val="21"/>
                    </w:rPr>
                  </w:pPr>
                  <w:r>
                    <w:rPr>
                      <w:rFonts w:hint="eastAsia"/>
                      <w:kern w:val="44"/>
                      <w:szCs w:val="21"/>
                    </w:rPr>
                    <w:t>本项目位于衡阳市，属于细颗粒物达标区。本改扩建项目采用布袋高效除尘设施进行废气处理。</w:t>
                  </w:r>
                </w:p>
              </w:tc>
              <w:tc>
                <w:tcPr>
                  <w:tcW w:w="467" w:type="pct"/>
                  <w:vAlign w:val="center"/>
                </w:tcPr>
                <w:p w14:paraId="1B87092F">
                  <w:pPr>
                    <w:jc w:val="center"/>
                    <w:rPr>
                      <w:kern w:val="44"/>
                      <w:szCs w:val="21"/>
                    </w:rPr>
                  </w:pPr>
                  <w:r>
                    <w:rPr>
                      <w:rFonts w:hint="eastAsia"/>
                      <w:kern w:val="44"/>
                      <w:szCs w:val="21"/>
                    </w:rPr>
                    <w:t>相符</w:t>
                  </w:r>
                </w:p>
              </w:tc>
            </w:tr>
          </w:tbl>
          <w:p w14:paraId="6962F965">
            <w:pPr>
              <w:spacing w:before="120" w:beforeLines="50" w:line="360" w:lineRule="auto"/>
              <w:ind w:firstLine="480"/>
              <w:rPr>
                <w:sz w:val="24"/>
              </w:rPr>
            </w:pPr>
            <w:r>
              <w:rPr>
                <w:rFonts w:hint="eastAsia"/>
                <w:sz w:val="24"/>
              </w:rPr>
              <w:t>根据上表分析结果可知，本项目的建设符合《湖南省“十四五”生态环境保护规划》（湘政办发[2021]61号）的相关要求。</w:t>
            </w:r>
          </w:p>
          <w:p w14:paraId="15068C95">
            <w:pPr>
              <w:autoSpaceDE w:val="0"/>
              <w:autoSpaceDN w:val="0"/>
              <w:adjustRightInd w:val="0"/>
              <w:snapToGrid w:val="0"/>
              <w:spacing w:line="360" w:lineRule="auto"/>
              <w:ind w:firstLine="482" w:firstLineChars="200"/>
              <w:jc w:val="left"/>
              <w:rPr>
                <w:b/>
                <w:bCs/>
                <w:kern w:val="0"/>
                <w:sz w:val="24"/>
              </w:rPr>
            </w:pPr>
            <w:r>
              <w:rPr>
                <w:rFonts w:hint="eastAsia"/>
                <w:b/>
                <w:bCs/>
                <w:kern w:val="0"/>
                <w:sz w:val="24"/>
              </w:rPr>
              <w:t>3、</w:t>
            </w:r>
            <w:r>
              <w:rPr>
                <w:rFonts w:hint="eastAsia"/>
                <w:b/>
                <w:sz w:val="24"/>
              </w:rPr>
              <w:t>与《衡阳市“十四五”生态环境保护规划》的符合性分析</w:t>
            </w:r>
          </w:p>
          <w:p w14:paraId="374BF164">
            <w:pPr>
              <w:spacing w:line="360" w:lineRule="auto"/>
              <w:ind w:firstLine="480" w:firstLineChars="200"/>
              <w:rPr>
                <w:sz w:val="24"/>
              </w:rPr>
            </w:pPr>
            <w:r>
              <w:rPr>
                <w:rFonts w:hint="eastAsia"/>
                <w:sz w:val="24"/>
              </w:rPr>
              <w:t>根据《衡阳市“十四五”生态环境保护规划》（衡政办发[2021]37号）的相关要求，本项目与衡政办发[2021]37号文的相符性分析见下表。</w:t>
            </w:r>
          </w:p>
          <w:p w14:paraId="77786B2E">
            <w:pPr>
              <w:pStyle w:val="30"/>
              <w:spacing w:before="120" w:after="120"/>
              <w:rPr>
                <w:szCs w:val="21"/>
              </w:rPr>
            </w:pPr>
            <w:r>
              <w:rPr>
                <w:rFonts w:hint="eastAsia"/>
                <w:szCs w:val="21"/>
              </w:rPr>
              <w:t>表1-3</w:t>
            </w:r>
            <w:r>
              <w:rPr>
                <w:szCs w:val="21"/>
              </w:rPr>
              <w:t xml:space="preserve">  </w:t>
            </w:r>
            <w:r>
              <w:rPr>
                <w:rFonts w:hint="eastAsia"/>
                <w:szCs w:val="21"/>
              </w:rPr>
              <w:t>本项目与衡政办发[2021]37号文的相符性</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2"/>
              <w:gridCol w:w="5668"/>
              <w:gridCol w:w="2577"/>
              <w:gridCol w:w="546"/>
            </w:tblGrid>
            <w:tr w14:paraId="78E79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 w:type="pct"/>
                  <w:vAlign w:val="center"/>
                </w:tcPr>
                <w:p w14:paraId="61B4CC74">
                  <w:pPr>
                    <w:jc w:val="center"/>
                    <w:rPr>
                      <w:b/>
                      <w:bCs/>
                      <w:kern w:val="44"/>
                      <w:szCs w:val="21"/>
                    </w:rPr>
                  </w:pPr>
                  <w:r>
                    <w:rPr>
                      <w:rFonts w:hint="eastAsia"/>
                      <w:b/>
                      <w:bCs/>
                      <w:kern w:val="44"/>
                      <w:szCs w:val="21"/>
                    </w:rPr>
                    <w:t>序号</w:t>
                  </w:r>
                </w:p>
              </w:tc>
              <w:tc>
                <w:tcPr>
                  <w:tcW w:w="3042" w:type="pct"/>
                  <w:vAlign w:val="center"/>
                </w:tcPr>
                <w:p w14:paraId="70146B02">
                  <w:pPr>
                    <w:jc w:val="center"/>
                    <w:rPr>
                      <w:b/>
                      <w:bCs/>
                      <w:kern w:val="44"/>
                      <w:szCs w:val="21"/>
                    </w:rPr>
                  </w:pPr>
                  <w:r>
                    <w:rPr>
                      <w:rFonts w:hint="eastAsia"/>
                      <w:b/>
                      <w:bCs/>
                      <w:kern w:val="44"/>
                      <w:szCs w:val="21"/>
                    </w:rPr>
                    <w:t>衡政办发[2021]37号文的要求</w:t>
                  </w:r>
                </w:p>
              </w:tc>
              <w:tc>
                <w:tcPr>
                  <w:tcW w:w="1383" w:type="pct"/>
                  <w:vAlign w:val="center"/>
                </w:tcPr>
                <w:p w14:paraId="5A5A2901">
                  <w:pPr>
                    <w:jc w:val="center"/>
                    <w:rPr>
                      <w:b/>
                      <w:bCs/>
                      <w:kern w:val="44"/>
                      <w:szCs w:val="21"/>
                    </w:rPr>
                  </w:pPr>
                  <w:r>
                    <w:rPr>
                      <w:rFonts w:hint="eastAsia"/>
                      <w:b/>
                      <w:bCs/>
                      <w:kern w:val="44"/>
                      <w:szCs w:val="21"/>
                    </w:rPr>
                    <w:t>本项目</w:t>
                  </w:r>
                </w:p>
              </w:tc>
              <w:tc>
                <w:tcPr>
                  <w:tcW w:w="293" w:type="pct"/>
                  <w:vAlign w:val="center"/>
                </w:tcPr>
                <w:p w14:paraId="4FE4002D">
                  <w:pPr>
                    <w:jc w:val="center"/>
                    <w:rPr>
                      <w:b/>
                      <w:bCs/>
                      <w:kern w:val="44"/>
                      <w:szCs w:val="21"/>
                    </w:rPr>
                  </w:pPr>
                  <w:r>
                    <w:rPr>
                      <w:rFonts w:hint="eastAsia"/>
                      <w:b/>
                      <w:bCs/>
                      <w:kern w:val="44"/>
                      <w:szCs w:val="21"/>
                    </w:rPr>
                    <w:t>相符性</w:t>
                  </w:r>
                </w:p>
              </w:tc>
            </w:tr>
            <w:tr w14:paraId="3FCD3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 w:type="pct"/>
                  <w:vAlign w:val="center"/>
                </w:tcPr>
                <w:p w14:paraId="68CBCF57">
                  <w:pPr>
                    <w:jc w:val="center"/>
                    <w:rPr>
                      <w:kern w:val="44"/>
                      <w:szCs w:val="21"/>
                    </w:rPr>
                  </w:pPr>
                  <w:r>
                    <w:rPr>
                      <w:rFonts w:hint="eastAsia"/>
                      <w:kern w:val="44"/>
                      <w:szCs w:val="21"/>
                    </w:rPr>
                    <w:t>1</w:t>
                  </w:r>
                </w:p>
              </w:tc>
              <w:tc>
                <w:tcPr>
                  <w:tcW w:w="3042" w:type="pct"/>
                  <w:vAlign w:val="center"/>
                </w:tcPr>
                <w:p w14:paraId="6DDE1EAF">
                  <w:pPr>
                    <w:jc w:val="center"/>
                    <w:rPr>
                      <w:kern w:val="44"/>
                      <w:szCs w:val="21"/>
                    </w:rPr>
                  </w:pPr>
                  <w:r>
                    <w:rPr>
                      <w:b/>
                      <w:bCs/>
                      <w:kern w:val="44"/>
                      <w:szCs w:val="21"/>
                    </w:rPr>
                    <w:t>实施“三线一单”生态环境分区管控。</w:t>
                  </w:r>
                  <w:r>
                    <w:rPr>
                      <w:kern w:val="44"/>
                      <w:szCs w:val="21"/>
                    </w:rPr>
                    <w:t>严格落实湖南省“三线一单”生态环境总体管控要求，将生态保护红线、环境质量底线、资源利用上线和生态环境准入清单作为硬约束落实到环境管控单元，根据生态环境功能、自然资源禀赋、经济与社会发展实际，对环境管控单元实施差异化生态环境准入管理。加强“三线一单”与国土空间规划的衔接，区域资源开发、产业布局和结构调整、城镇建设、重大项目选址应以“三线一单”确定的环境管控单元及生态环境准入清单作为重要依据，加强省级以上产业园区生态环境准入管理。推进“三线一单”与排污许可、环评审批、环境监测、环境执法等数据系统共享，细化“三线一单”数据支撑体系及分区管控要求</w:t>
                  </w:r>
                  <w:r>
                    <w:rPr>
                      <w:rFonts w:hint="eastAsia"/>
                      <w:kern w:val="44"/>
                      <w:szCs w:val="21"/>
                    </w:rPr>
                    <w:t>。</w:t>
                  </w:r>
                </w:p>
              </w:tc>
              <w:tc>
                <w:tcPr>
                  <w:tcW w:w="1383" w:type="pct"/>
                  <w:vAlign w:val="center"/>
                </w:tcPr>
                <w:p w14:paraId="7D4C16DB">
                  <w:pPr>
                    <w:jc w:val="center"/>
                    <w:rPr>
                      <w:color w:val="FF0000"/>
                      <w:kern w:val="44"/>
                      <w:szCs w:val="21"/>
                    </w:rPr>
                  </w:pPr>
                  <w:r>
                    <w:rPr>
                      <w:rFonts w:hint="eastAsia"/>
                      <w:kern w:val="44"/>
                      <w:szCs w:val="21"/>
                    </w:rPr>
                    <w:t>本项目位于衡阳西渡高新技术产业园区，属于</w:t>
                  </w:r>
                  <w:r>
                    <w:rPr>
                      <w:rFonts w:hint="eastAsia"/>
                      <w:b/>
                      <w:bCs/>
                      <w:szCs w:val="21"/>
                    </w:rPr>
                    <w:t>重点管控单元</w:t>
                  </w:r>
                  <w:r>
                    <w:rPr>
                      <w:rFonts w:hint="eastAsia"/>
                      <w:kern w:val="44"/>
                      <w:szCs w:val="21"/>
                    </w:rPr>
                    <w:t>，根据后文与“三线一单”相符性分析”章节内容，本项目可满足“三线一单”生态环境管控要求。</w:t>
                  </w:r>
                </w:p>
              </w:tc>
              <w:tc>
                <w:tcPr>
                  <w:tcW w:w="293" w:type="pct"/>
                  <w:vAlign w:val="center"/>
                </w:tcPr>
                <w:p w14:paraId="6B15D65A">
                  <w:pPr>
                    <w:jc w:val="center"/>
                    <w:rPr>
                      <w:kern w:val="44"/>
                      <w:szCs w:val="21"/>
                    </w:rPr>
                  </w:pPr>
                  <w:r>
                    <w:rPr>
                      <w:rFonts w:hint="eastAsia"/>
                      <w:kern w:val="44"/>
                      <w:szCs w:val="21"/>
                    </w:rPr>
                    <w:t>相符</w:t>
                  </w:r>
                </w:p>
              </w:tc>
            </w:tr>
            <w:tr w14:paraId="4C3AE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 w:type="pct"/>
                  <w:vAlign w:val="center"/>
                </w:tcPr>
                <w:p w14:paraId="3E0BEA4E">
                  <w:pPr>
                    <w:jc w:val="center"/>
                    <w:rPr>
                      <w:kern w:val="44"/>
                      <w:szCs w:val="21"/>
                    </w:rPr>
                  </w:pPr>
                  <w:r>
                    <w:rPr>
                      <w:rFonts w:hint="eastAsia"/>
                      <w:kern w:val="44"/>
                      <w:szCs w:val="21"/>
                    </w:rPr>
                    <w:t>2</w:t>
                  </w:r>
                </w:p>
              </w:tc>
              <w:tc>
                <w:tcPr>
                  <w:tcW w:w="3042" w:type="pct"/>
                  <w:vAlign w:val="center"/>
                </w:tcPr>
                <w:p w14:paraId="6A287E03">
                  <w:pPr>
                    <w:jc w:val="center"/>
                    <w:rPr>
                      <w:kern w:val="44"/>
                      <w:szCs w:val="21"/>
                    </w:rPr>
                  </w:pPr>
                  <w:r>
                    <w:rPr>
                      <w:b/>
                      <w:bCs/>
                      <w:kern w:val="44"/>
                      <w:szCs w:val="21"/>
                    </w:rPr>
                    <w:t>加强工业水污染防治。</w:t>
                  </w:r>
                  <w:r>
                    <w:rPr>
                      <w:kern w:val="44"/>
                      <w:szCs w:val="21"/>
                    </w:rPr>
                    <w:t>按照《湖南省沿江化工企业搬迁改造实施方案》要求，沿江岸线1公里范围内严禁新建、扩建化工园区、化工生产项目；严禁现有合规化工园区在沿江岸线1公里范围内靠江扩建；安全环保达标的化工生产企业因生产需要可向背江一面逐步搬迁，2025年底前完成沿江化工企业搬迁改造任务。以企业和工业聚集区为重点，推进工业园区污水处理设施分类管理、分期升级改造，实施省级及以上工业园区专项整治行动，实现省级及以上工业园区污水管网全覆盖、污水全收集、污水集中处理设施稳定达标运行、在线监控联网正常，规范设置园区集中污水处理设施排污口，建立园区水环境管理“一园一档”。夯实工业园区基础设施建设，进一步完善流域内高新技术开发区、西渡高新区、三塘工业园等工业聚集区、镇园合一污水处理厂及配套管网建设和提质改造。特别针对污水处理厂纳污范围内污水收集系统未覆盖或标准偏低的区域，加快收集管网建设与改造。</w:t>
                  </w:r>
                </w:p>
              </w:tc>
              <w:tc>
                <w:tcPr>
                  <w:tcW w:w="1383" w:type="pct"/>
                  <w:vAlign w:val="center"/>
                </w:tcPr>
                <w:p w14:paraId="2E772477">
                  <w:pPr>
                    <w:jc w:val="center"/>
                    <w:rPr>
                      <w:color w:val="FF0000"/>
                      <w:kern w:val="44"/>
                      <w:szCs w:val="21"/>
                    </w:rPr>
                  </w:pPr>
                  <w:r>
                    <w:rPr>
                      <w:rFonts w:hint="eastAsia"/>
                      <w:kern w:val="44"/>
                      <w:szCs w:val="21"/>
                    </w:rPr>
                    <w:t>本项目不属于化工项目，且不位于</w:t>
                  </w:r>
                  <w:r>
                    <w:rPr>
                      <w:kern w:val="44"/>
                      <w:szCs w:val="21"/>
                    </w:rPr>
                    <w:t>沿江岸线1公里</w:t>
                  </w:r>
                  <w:r>
                    <w:rPr>
                      <w:rFonts w:hint="eastAsia"/>
                      <w:kern w:val="44"/>
                      <w:szCs w:val="21"/>
                    </w:rPr>
                    <w:t>，废水已与园区污水管网接通</w:t>
                  </w:r>
                </w:p>
              </w:tc>
              <w:tc>
                <w:tcPr>
                  <w:tcW w:w="293" w:type="pct"/>
                  <w:vAlign w:val="center"/>
                </w:tcPr>
                <w:p w14:paraId="2BBEA7DF">
                  <w:pPr>
                    <w:jc w:val="center"/>
                    <w:rPr>
                      <w:kern w:val="44"/>
                      <w:szCs w:val="21"/>
                    </w:rPr>
                  </w:pPr>
                  <w:r>
                    <w:rPr>
                      <w:rFonts w:hint="eastAsia"/>
                      <w:kern w:val="44"/>
                      <w:szCs w:val="21"/>
                    </w:rPr>
                    <w:t>相符</w:t>
                  </w:r>
                </w:p>
              </w:tc>
            </w:tr>
            <w:tr w14:paraId="19E03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80" w:type="pct"/>
                  <w:vAlign w:val="center"/>
                </w:tcPr>
                <w:p w14:paraId="0B35D9B3">
                  <w:pPr>
                    <w:jc w:val="center"/>
                    <w:rPr>
                      <w:kern w:val="44"/>
                      <w:szCs w:val="21"/>
                    </w:rPr>
                  </w:pPr>
                  <w:r>
                    <w:rPr>
                      <w:rFonts w:hint="eastAsia"/>
                      <w:kern w:val="44"/>
                      <w:szCs w:val="21"/>
                    </w:rPr>
                    <w:t>3</w:t>
                  </w:r>
                </w:p>
              </w:tc>
              <w:tc>
                <w:tcPr>
                  <w:tcW w:w="3042" w:type="pct"/>
                  <w:vAlign w:val="center"/>
                </w:tcPr>
                <w:p w14:paraId="2BED6159">
                  <w:pPr>
                    <w:jc w:val="center"/>
                    <w:rPr>
                      <w:kern w:val="44"/>
                      <w:szCs w:val="21"/>
                    </w:rPr>
                  </w:pPr>
                  <w:r>
                    <w:rPr>
                      <w:rFonts w:hint="eastAsia"/>
                      <w:b/>
                      <w:bCs/>
                      <w:kern w:val="44"/>
                      <w:szCs w:val="21"/>
                    </w:rPr>
                    <w:t>强化水资源保障与利用。</w:t>
                  </w:r>
                  <w:r>
                    <w:rPr>
                      <w:rFonts w:hint="eastAsia"/>
                      <w:kern w:val="44"/>
                      <w:szCs w:val="21"/>
                    </w:rPr>
                    <w:t>将节水优先、水资源管理贯彻治水全过程，坚持以水定城、以水定地、以水定人、以水定产，落实国家节水行动，强化水资源刚性约束，以水资源可持续利用促进社会经济可持续发展。科学统筹、综合施策，重点加强农业灌溉、工业发展、重要能源、内河航运等领域的用水保障。核算区域水资源承载能力，落实水资源消耗总量和强度双控行动，推动经济社会发展布局与水资源承载能力相适应。科学确定生态水量，核定湘江干流及重要支流重要断面生态流量目标。推进城镇生活、工业、农业农村污水资源化循环利用，在污水处理厂稳定达标排放的基础上，环境容量小、水环境质量波动较大的缺水地区应优先将达标排放尾水转化为可利用的水资源。工业用水重复利用、畜禽粪污和渔业养殖尾水资源化利用水平显著提升。强化规划水资源论证和取水许可制度，加强重点用水户监控，建立用水统计制度。开展水资源安全风险监测，健全水资源承载能力评价及安全风险评估预警机制。</w:t>
                  </w:r>
                </w:p>
              </w:tc>
              <w:tc>
                <w:tcPr>
                  <w:tcW w:w="1383" w:type="pct"/>
                  <w:vAlign w:val="center"/>
                </w:tcPr>
                <w:p w14:paraId="4CBC6B72">
                  <w:pPr>
                    <w:jc w:val="center"/>
                    <w:rPr>
                      <w:color w:val="FF0000"/>
                      <w:kern w:val="44"/>
                      <w:szCs w:val="21"/>
                    </w:rPr>
                  </w:pPr>
                  <w:r>
                    <w:rPr>
                      <w:rFonts w:hint="eastAsia"/>
                      <w:szCs w:val="21"/>
                    </w:rPr>
                    <w:t>本改扩建项目生产用水包括洗涤用水、锅炉用水，本次改扩建主要升级替换老旧设备，进一步降低单位产品用水量。</w:t>
                  </w:r>
                  <w:r>
                    <w:rPr>
                      <w:rFonts w:hint="eastAsia"/>
                      <w:kern w:val="44"/>
                      <w:szCs w:val="21"/>
                    </w:rPr>
                    <w:t>生活用水设置有节水措施，生活废水化粪池处理后进入园区污水处理厂处理</w:t>
                  </w:r>
                </w:p>
              </w:tc>
              <w:tc>
                <w:tcPr>
                  <w:tcW w:w="293" w:type="pct"/>
                  <w:vAlign w:val="center"/>
                </w:tcPr>
                <w:p w14:paraId="7372E5A1">
                  <w:pPr>
                    <w:jc w:val="center"/>
                    <w:rPr>
                      <w:kern w:val="44"/>
                      <w:szCs w:val="21"/>
                    </w:rPr>
                  </w:pPr>
                  <w:r>
                    <w:rPr>
                      <w:rFonts w:hint="eastAsia"/>
                      <w:kern w:val="44"/>
                      <w:szCs w:val="21"/>
                    </w:rPr>
                    <w:t>符合</w:t>
                  </w:r>
                </w:p>
              </w:tc>
            </w:tr>
            <w:tr w14:paraId="3BEED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0" w:type="pct"/>
                  <w:vAlign w:val="center"/>
                </w:tcPr>
                <w:p w14:paraId="4A8E88F2">
                  <w:pPr>
                    <w:jc w:val="center"/>
                    <w:rPr>
                      <w:kern w:val="44"/>
                      <w:szCs w:val="21"/>
                    </w:rPr>
                  </w:pPr>
                  <w:r>
                    <w:rPr>
                      <w:rFonts w:hint="eastAsia"/>
                      <w:kern w:val="44"/>
                      <w:szCs w:val="21"/>
                    </w:rPr>
                    <w:t>4</w:t>
                  </w:r>
                </w:p>
              </w:tc>
              <w:tc>
                <w:tcPr>
                  <w:tcW w:w="3042" w:type="pct"/>
                  <w:vAlign w:val="center"/>
                </w:tcPr>
                <w:p w14:paraId="592889DF">
                  <w:pPr>
                    <w:jc w:val="center"/>
                    <w:rPr>
                      <w:kern w:val="44"/>
                      <w:szCs w:val="21"/>
                    </w:rPr>
                  </w:pPr>
                  <w:r>
                    <w:rPr>
                      <w:b/>
                      <w:bCs/>
                      <w:kern w:val="44"/>
                      <w:szCs w:val="21"/>
                    </w:rPr>
                    <w:t>推进一般工业固体废物综合利用。</w:t>
                  </w:r>
                  <w:r>
                    <w:rPr>
                      <w:kern w:val="44"/>
                      <w:szCs w:val="21"/>
                    </w:rPr>
                    <w:t>有序推进建筑垃圾资源化利用项目建设，力争建筑垃圾资源化综合利用率达到35%，全市培育</w:t>
                  </w:r>
                  <w:r>
                    <w:rPr>
                      <w:rFonts w:hint="eastAsia"/>
                      <w:kern w:val="44"/>
                      <w:szCs w:val="21"/>
                    </w:rPr>
                    <w:t>1</w:t>
                  </w:r>
                  <w:r>
                    <w:rPr>
                      <w:kern w:val="44"/>
                      <w:szCs w:val="21"/>
                    </w:rPr>
                    <w:t>个以上建筑垃圾管理和资源化利用示范县（市、区），打造一批建筑垃圾资源化利用示范企业。鼓励县级以上地方人民政府统筹或联合规划建设一般工业固体废物集中处置设施，支持资源化利用新技术、新设备、新产品的研发与应用；在环境风险可控下，充分利用工业窑炉、水泥窑等设施消纳采选尾矿、粉煤灰、炉渣、冶炼废渣、脱硫石膏等大宗工业固体废物；构建以水泥、建材、冶金等行业为核心的工业固体废物综合利用系统。</w:t>
                  </w:r>
                </w:p>
              </w:tc>
              <w:tc>
                <w:tcPr>
                  <w:tcW w:w="1383" w:type="pct"/>
                  <w:vAlign w:val="center"/>
                </w:tcPr>
                <w:p w14:paraId="033E27AD">
                  <w:pPr>
                    <w:pStyle w:val="28"/>
                    <w:spacing w:before="24" w:after="24"/>
                    <w:rPr>
                      <w:rFonts w:hint="eastAsia" w:ascii="Times New Roman" w:eastAsia="宋体"/>
                      <w:color w:val="FF0000"/>
                      <w:kern w:val="44"/>
                      <w:szCs w:val="21"/>
                      <w:lang w:eastAsia="zh-CN"/>
                    </w:rPr>
                  </w:pPr>
                  <w:r>
                    <w:rPr>
                      <w:rFonts w:ascii="Times New Roman"/>
                    </w:rPr>
                    <w:t>生活垃圾：统一收集，委托环卫部门统一清运；锅炉炉渣</w:t>
                  </w:r>
                  <w:r>
                    <w:rPr>
                      <w:rFonts w:hint="eastAsia" w:ascii="Times New Roman"/>
                    </w:rPr>
                    <w:t>、布袋除尘集尘</w:t>
                  </w:r>
                  <w:r>
                    <w:rPr>
                      <w:rFonts w:ascii="Times New Roman"/>
                    </w:rPr>
                    <w:t>：</w:t>
                  </w:r>
                  <w:r>
                    <w:rPr>
                      <w:rFonts w:hint="eastAsia" w:ascii="Times New Roman"/>
                    </w:rPr>
                    <w:t>定期清理综合利用或外送作为农肥</w:t>
                  </w:r>
                  <w:r>
                    <w:rPr>
                      <w:rFonts w:ascii="Times New Roman"/>
                    </w:rPr>
                    <w:t>；废原辅材料包装桶（袋）：经收集后，</w:t>
                  </w:r>
                  <w:r>
                    <w:rPr>
                      <w:rFonts w:hint="eastAsia" w:ascii="Times New Roman"/>
                    </w:rPr>
                    <w:t>外售综合利用</w:t>
                  </w:r>
                  <w:r>
                    <w:rPr>
                      <w:rFonts w:ascii="Times New Roman"/>
                    </w:rPr>
                    <w:t>；废离子交换树脂：由原厂家直接回收处理；</w:t>
                  </w:r>
                  <w:r>
                    <w:rPr>
                      <w:rFonts w:hint="eastAsia" w:ascii="Times New Roman"/>
                      <w:lang w:eastAsia="zh-CN"/>
                    </w:rPr>
                    <w:t>分拣医疗废物收集后</w:t>
                  </w:r>
                  <w:r>
                    <w:rPr>
                      <w:rFonts w:hint="eastAsia" w:ascii="Times New Roman"/>
                    </w:rPr>
                    <w:t>还给医院方，由医院方交给有资质单位处置</w:t>
                  </w:r>
                  <w:r>
                    <w:rPr>
                      <w:rFonts w:hint="eastAsia" w:ascii="Times New Roman"/>
                      <w:lang w:eastAsia="zh-CN"/>
                    </w:rPr>
                    <w:t>；</w:t>
                  </w:r>
                  <w:r>
                    <w:rPr>
                      <w:rFonts w:hint="eastAsia" w:ascii="Times New Roman"/>
                    </w:rPr>
                    <w:t>废水处理站</w:t>
                  </w:r>
                  <w:r>
                    <w:rPr>
                      <w:rFonts w:ascii="Times New Roman"/>
                    </w:rPr>
                    <w:t>污泥：</w:t>
                  </w:r>
                  <w:r>
                    <w:rPr>
                      <w:rFonts w:hint="eastAsia" w:ascii="Times New Roman"/>
                      <w:lang w:eastAsia="zh-CN"/>
                    </w:rPr>
                    <w:t>委托水泥厂协同处置。</w:t>
                  </w:r>
                </w:p>
              </w:tc>
              <w:tc>
                <w:tcPr>
                  <w:tcW w:w="293" w:type="pct"/>
                  <w:vAlign w:val="center"/>
                </w:tcPr>
                <w:p w14:paraId="0284CE66">
                  <w:pPr>
                    <w:jc w:val="center"/>
                    <w:rPr>
                      <w:kern w:val="44"/>
                      <w:szCs w:val="21"/>
                    </w:rPr>
                  </w:pPr>
                  <w:r>
                    <w:rPr>
                      <w:rFonts w:hint="eastAsia"/>
                      <w:kern w:val="44"/>
                      <w:szCs w:val="21"/>
                    </w:rPr>
                    <w:t>符合</w:t>
                  </w:r>
                </w:p>
              </w:tc>
            </w:tr>
          </w:tbl>
          <w:p w14:paraId="5568848E">
            <w:pPr>
              <w:spacing w:before="120" w:beforeLines="50" w:line="360" w:lineRule="auto"/>
              <w:ind w:firstLine="480"/>
              <w:rPr>
                <w:sz w:val="24"/>
              </w:rPr>
            </w:pPr>
            <w:r>
              <w:rPr>
                <w:rFonts w:hint="eastAsia"/>
                <w:sz w:val="24"/>
              </w:rPr>
              <w:t>根据上表分析结果可知，本项目的建设符合《衡阳市“十四五”生态环境保护规划》的相关要求。</w:t>
            </w:r>
          </w:p>
          <w:p w14:paraId="25B22ED4">
            <w:pPr>
              <w:autoSpaceDE w:val="0"/>
              <w:autoSpaceDN w:val="0"/>
              <w:adjustRightInd w:val="0"/>
              <w:snapToGrid w:val="0"/>
              <w:spacing w:line="360" w:lineRule="auto"/>
              <w:ind w:firstLine="482" w:firstLineChars="200"/>
              <w:jc w:val="left"/>
              <w:rPr>
                <w:b/>
                <w:bCs/>
                <w:kern w:val="0"/>
                <w:sz w:val="24"/>
              </w:rPr>
            </w:pPr>
            <w:r>
              <w:rPr>
                <w:rFonts w:hint="eastAsia"/>
                <w:b/>
                <w:bCs/>
                <w:kern w:val="0"/>
                <w:sz w:val="24"/>
              </w:rPr>
              <w:t>4、“</w:t>
            </w:r>
            <w:r>
              <w:rPr>
                <w:b/>
                <w:bCs/>
                <w:kern w:val="0"/>
                <w:sz w:val="24"/>
              </w:rPr>
              <w:t>三线一单”控制要求的符合性分析</w:t>
            </w:r>
          </w:p>
          <w:p w14:paraId="3FBB3C6E">
            <w:pPr>
              <w:pStyle w:val="29"/>
              <w:snapToGrid/>
              <w:spacing w:line="360" w:lineRule="auto"/>
              <w:ind w:firstLine="482" w:firstLineChars="200"/>
              <w:rPr>
                <w:rFonts w:eastAsia="宋体"/>
                <w:b/>
                <w:color w:val="auto"/>
              </w:rPr>
            </w:pPr>
            <w:r>
              <w:rPr>
                <w:rFonts w:hint="eastAsia" w:eastAsia="宋体"/>
                <w:b/>
                <w:color w:val="auto"/>
              </w:rPr>
              <w:t>（1）生态保护红线</w:t>
            </w:r>
          </w:p>
          <w:p w14:paraId="0D0A1165">
            <w:pPr>
              <w:pStyle w:val="29"/>
              <w:snapToGrid/>
              <w:spacing w:line="360" w:lineRule="auto"/>
              <w:ind w:firstLine="480" w:firstLineChars="200"/>
              <w:rPr>
                <w:rFonts w:eastAsia="宋体"/>
                <w:color w:val="auto"/>
              </w:rPr>
            </w:pPr>
            <w:r>
              <w:rPr>
                <w:rFonts w:hint="eastAsia" w:eastAsia="宋体"/>
                <w:color w:val="auto"/>
              </w:rPr>
              <w:t>根据《湖南省</w:t>
            </w:r>
            <w:r>
              <w:rPr>
                <w:rFonts w:asciiTheme="minorEastAsia" w:hAnsiTheme="minorEastAsia" w:eastAsiaTheme="minorEastAsia"/>
                <w:color w:val="auto"/>
              </w:rPr>
              <w:t>“</w:t>
            </w:r>
            <w:r>
              <w:rPr>
                <w:rFonts w:hint="eastAsia" w:asciiTheme="minorEastAsia" w:hAnsiTheme="minorEastAsia" w:eastAsiaTheme="minorEastAsia"/>
                <w:color w:val="auto"/>
              </w:rPr>
              <w:t>三线一单</w:t>
            </w:r>
            <w:r>
              <w:rPr>
                <w:rFonts w:asciiTheme="minorEastAsia" w:hAnsiTheme="minorEastAsia" w:eastAsiaTheme="minorEastAsia"/>
                <w:color w:val="auto"/>
              </w:rPr>
              <w:t>”</w:t>
            </w:r>
            <w:r>
              <w:rPr>
                <w:rFonts w:hint="eastAsia" w:eastAsia="宋体"/>
                <w:color w:val="auto"/>
              </w:rPr>
              <w:t>生态环境总体管控要求暨省级以上产业园区生态环境准入清单》（</w:t>
            </w:r>
            <w:r>
              <w:rPr>
                <w:rFonts w:eastAsia="宋体"/>
                <w:color w:val="auto"/>
              </w:rPr>
              <w:t>2020</w:t>
            </w:r>
            <w:r>
              <w:rPr>
                <w:rFonts w:hint="eastAsia" w:eastAsia="宋体"/>
                <w:color w:val="auto"/>
              </w:rPr>
              <w:t>年</w:t>
            </w:r>
            <w:r>
              <w:rPr>
                <w:rFonts w:eastAsia="宋体"/>
                <w:color w:val="auto"/>
              </w:rPr>
              <w:t>11</w:t>
            </w:r>
            <w:r>
              <w:rPr>
                <w:rFonts w:hint="eastAsia" w:eastAsia="宋体"/>
                <w:color w:val="auto"/>
              </w:rPr>
              <w:t>月发布）中湖南省</w:t>
            </w:r>
            <w:r>
              <w:rPr>
                <w:rFonts w:asciiTheme="minorEastAsia" w:hAnsiTheme="minorEastAsia" w:eastAsiaTheme="minorEastAsia"/>
                <w:color w:val="auto"/>
              </w:rPr>
              <w:t>“</w:t>
            </w:r>
            <w:r>
              <w:rPr>
                <w:rFonts w:hint="eastAsia" w:asciiTheme="minorEastAsia" w:hAnsiTheme="minorEastAsia" w:eastAsiaTheme="minorEastAsia"/>
                <w:color w:val="auto"/>
              </w:rPr>
              <w:t>三线一单</w:t>
            </w:r>
            <w:r>
              <w:rPr>
                <w:rFonts w:asciiTheme="minorEastAsia" w:hAnsiTheme="minorEastAsia" w:eastAsiaTheme="minorEastAsia"/>
                <w:color w:val="auto"/>
              </w:rPr>
              <w:t>”</w:t>
            </w:r>
            <w:r>
              <w:rPr>
                <w:rFonts w:hint="eastAsia" w:eastAsia="宋体"/>
                <w:color w:val="auto"/>
              </w:rPr>
              <w:t>生态环境总体管控要求：生态保护红线是生态空间范围内具有特殊重要生态功能、必须强制性严格保护的区域。生态保护红线内，自然保护地核心保护区原则上禁止人为活动，其他区域严格禁止开发性、生产性建设活动，在符合现行法律法规前提下，除国家重大战略项目外，仅允许对生态功能不造成破坏的有限人为活动；生态保护红线内的国家公园、自然保护区、风景名胜区、森林公园、地质公园、世界自然遗产、湿地公园、石漠公园、饮用水水源保护区等各类自然保护地还应执行现有法律、法规、规章及自然资源部、国家林业和草原局《关于做好自然保护区范围及功能分区优化调整前期工作的函》等相关规定；国家公园和自然保护区实行分区管控，原则上核心保护区内禁止人为活动，一般控制区内限制人为活动。</w:t>
            </w:r>
          </w:p>
          <w:p w14:paraId="564A0377">
            <w:pPr>
              <w:pStyle w:val="29"/>
              <w:snapToGrid/>
              <w:spacing w:line="360" w:lineRule="auto"/>
              <w:ind w:firstLine="480" w:firstLineChars="200"/>
              <w:rPr>
                <w:rFonts w:eastAsia="宋体"/>
                <w:color w:val="auto"/>
              </w:rPr>
            </w:pPr>
            <w:r>
              <w:rPr>
                <w:rFonts w:hint="eastAsia" w:eastAsia="宋体"/>
                <w:color w:val="auto"/>
              </w:rPr>
              <w:t>本项目选址位于</w:t>
            </w:r>
            <w:r>
              <w:rPr>
                <w:rFonts w:hint="eastAsia" w:eastAsia="宋体"/>
                <w:color w:val="auto"/>
                <w:lang w:eastAsia="zh-CN"/>
              </w:rPr>
              <w:t>湖南省衡阳市衡阳县西渡镇豆陂村</w:t>
            </w:r>
            <w:r>
              <w:rPr>
                <w:rFonts w:hint="eastAsia" w:eastAsia="宋体"/>
                <w:color w:val="auto"/>
              </w:rPr>
              <w:t>，根据《湖南省人民政府关于印发</w:t>
            </w:r>
            <w:r>
              <w:rPr>
                <w:rFonts w:eastAsia="宋体"/>
                <w:color w:val="auto"/>
              </w:rPr>
              <w:t>&lt;</w:t>
            </w:r>
            <w:r>
              <w:rPr>
                <w:rFonts w:hint="eastAsia" w:eastAsia="宋体"/>
                <w:color w:val="auto"/>
              </w:rPr>
              <w:t>湖南省生态保护红线</w:t>
            </w:r>
            <w:r>
              <w:rPr>
                <w:rFonts w:eastAsia="宋体"/>
                <w:color w:val="auto"/>
              </w:rPr>
              <w:t>&gt;</w:t>
            </w:r>
            <w:r>
              <w:rPr>
                <w:rFonts w:hint="eastAsia" w:eastAsia="宋体"/>
                <w:color w:val="auto"/>
              </w:rPr>
              <w:t>的通知》（湘政发〔</w:t>
            </w:r>
            <w:r>
              <w:rPr>
                <w:rFonts w:eastAsia="宋体"/>
                <w:color w:val="auto"/>
              </w:rPr>
              <w:t>2018</w:t>
            </w:r>
            <w:r>
              <w:rPr>
                <w:rFonts w:hint="eastAsia" w:eastAsia="宋体"/>
                <w:color w:val="auto"/>
              </w:rPr>
              <w:t>〕</w:t>
            </w:r>
            <w:r>
              <w:rPr>
                <w:rFonts w:eastAsia="宋体"/>
                <w:color w:val="auto"/>
              </w:rPr>
              <w:t>20</w:t>
            </w:r>
            <w:r>
              <w:rPr>
                <w:rFonts w:hint="eastAsia" w:eastAsia="宋体"/>
                <w:color w:val="auto"/>
              </w:rPr>
              <w:t>号），本项目不在生态保护红线范围内。</w:t>
            </w:r>
          </w:p>
          <w:p w14:paraId="7073D9C6">
            <w:pPr>
              <w:pStyle w:val="29"/>
              <w:snapToGrid/>
              <w:spacing w:line="360" w:lineRule="auto"/>
              <w:ind w:firstLine="482" w:firstLineChars="200"/>
              <w:rPr>
                <w:rFonts w:eastAsia="宋体"/>
                <w:b/>
                <w:bCs/>
                <w:color w:val="auto"/>
              </w:rPr>
            </w:pPr>
            <w:r>
              <w:rPr>
                <w:rFonts w:hint="eastAsia" w:eastAsia="宋体"/>
                <w:b/>
                <w:bCs/>
                <w:color w:val="auto"/>
              </w:rPr>
              <w:t>（2）环境质量底线</w:t>
            </w:r>
          </w:p>
          <w:p w14:paraId="27767033">
            <w:pPr>
              <w:pStyle w:val="29"/>
              <w:snapToGrid/>
              <w:spacing w:line="360" w:lineRule="auto"/>
              <w:ind w:firstLine="480" w:firstLineChars="200"/>
              <w:rPr>
                <w:rFonts w:eastAsia="宋体"/>
                <w:color w:val="auto"/>
              </w:rPr>
            </w:pPr>
            <w:r>
              <w:rPr>
                <w:rFonts w:eastAsia="宋体"/>
                <w:color w:val="auto"/>
              </w:rPr>
              <w:t>区域环境空气属于《环境空气质量标准》（GB3095-2012）中二类功能区、地表水水环境功能属于《地表水环境质量标准》（GB3838-2002）中Ⅲ类功能区、区域声环境属于《声环境质量标准》（GB3096-2008）中</w:t>
            </w:r>
            <w:r>
              <w:rPr>
                <w:rFonts w:hint="eastAsia" w:eastAsia="宋体"/>
                <w:color w:val="auto"/>
              </w:rPr>
              <w:t>3、4a</w:t>
            </w:r>
            <w:r>
              <w:rPr>
                <w:rFonts w:eastAsia="宋体"/>
                <w:color w:val="auto"/>
              </w:rPr>
              <w:t>类功能区。</w:t>
            </w:r>
          </w:p>
          <w:p w14:paraId="05BB2454">
            <w:pPr>
              <w:pStyle w:val="29"/>
              <w:snapToGrid/>
              <w:spacing w:line="360" w:lineRule="auto"/>
              <w:ind w:firstLine="480" w:firstLineChars="200"/>
              <w:rPr>
                <w:rFonts w:eastAsia="宋体"/>
                <w:color w:val="auto"/>
              </w:rPr>
            </w:pPr>
            <w:r>
              <w:rPr>
                <w:rFonts w:hint="eastAsia" w:eastAsia="宋体"/>
                <w:color w:val="auto"/>
              </w:rPr>
              <w:t>项目实施后严格落实环境保护措施，确保污染物达标排放，区域环境质量达到环境功能区质量要求。同时经采取有效的环保措施，环境质量在可接受范围。因此项目符合环境质量底线管理要求。</w:t>
            </w:r>
          </w:p>
          <w:p w14:paraId="776D6F26">
            <w:pPr>
              <w:pStyle w:val="29"/>
              <w:snapToGrid/>
              <w:spacing w:line="360" w:lineRule="auto"/>
              <w:ind w:firstLine="482" w:firstLineChars="200"/>
              <w:rPr>
                <w:rFonts w:eastAsia="宋体"/>
                <w:b/>
                <w:bCs/>
                <w:color w:val="auto"/>
              </w:rPr>
            </w:pPr>
            <w:r>
              <w:rPr>
                <w:rFonts w:hint="eastAsia" w:eastAsia="宋体"/>
                <w:b/>
                <w:bCs/>
                <w:color w:val="auto"/>
              </w:rPr>
              <w:t>（3）资源利用上线</w:t>
            </w:r>
          </w:p>
          <w:p w14:paraId="3C4DED55">
            <w:pPr>
              <w:pStyle w:val="29"/>
              <w:spacing w:line="360" w:lineRule="auto"/>
              <w:ind w:firstLine="480" w:firstLineChars="200"/>
              <w:rPr>
                <w:rFonts w:eastAsia="宋体"/>
                <w:color w:val="auto"/>
              </w:rPr>
            </w:pPr>
            <w:r>
              <w:rPr>
                <w:rFonts w:hint="eastAsia" w:eastAsia="宋体"/>
                <w:color w:val="auto"/>
              </w:rPr>
              <w:t>本项目不属于高耗能、高污染型企业。</w:t>
            </w:r>
            <w:r>
              <w:rPr>
                <w:rFonts w:eastAsia="宋体"/>
                <w:color w:val="auto"/>
              </w:rPr>
              <w:t>本项目建设过程中所利用的资源主要为水、电</w:t>
            </w:r>
            <w:r>
              <w:rPr>
                <w:rFonts w:hint="eastAsia" w:eastAsia="宋体"/>
                <w:color w:val="auto"/>
              </w:rPr>
              <w:t>、生物质燃料</w:t>
            </w:r>
            <w:r>
              <w:rPr>
                <w:rFonts w:eastAsia="宋体"/>
                <w:color w:val="auto"/>
              </w:rPr>
              <w:t>，均为清洁能源，项目建成运行后通过内部管理、设备选择、原辅材料的选用管理和污染治理等多方面采取合理可行的防治措施，以</w:t>
            </w:r>
            <w:r>
              <w:rPr>
                <w:rFonts w:ascii="宋体" w:hAnsi="宋体" w:eastAsia="宋体"/>
                <w:color w:val="auto"/>
              </w:rPr>
              <w:t>“节能、降耗、减污”为目</w:t>
            </w:r>
            <w:r>
              <w:rPr>
                <w:rFonts w:eastAsia="宋体"/>
                <w:color w:val="auto"/>
              </w:rPr>
              <w:t>标，有效的控制污染。项目的水、电等资源利用不会突破区域的资源利用上线。</w:t>
            </w:r>
          </w:p>
          <w:p w14:paraId="14969858">
            <w:pPr>
              <w:pStyle w:val="29"/>
              <w:snapToGrid/>
              <w:spacing w:line="360" w:lineRule="auto"/>
              <w:ind w:firstLine="482" w:firstLineChars="200"/>
              <w:rPr>
                <w:rFonts w:eastAsia="宋体"/>
                <w:b/>
                <w:bCs/>
                <w:color w:val="auto"/>
              </w:rPr>
            </w:pPr>
            <w:r>
              <w:rPr>
                <w:rFonts w:hint="eastAsia" w:eastAsia="宋体"/>
                <w:b/>
                <w:bCs/>
                <w:color w:val="auto"/>
              </w:rPr>
              <w:t>（</w:t>
            </w:r>
            <w:r>
              <w:rPr>
                <w:rFonts w:eastAsia="宋体"/>
                <w:b/>
                <w:bCs/>
                <w:color w:val="auto"/>
              </w:rPr>
              <w:t>4</w:t>
            </w:r>
            <w:r>
              <w:rPr>
                <w:rFonts w:hint="eastAsia" w:eastAsia="宋体"/>
                <w:b/>
                <w:bCs/>
                <w:color w:val="auto"/>
              </w:rPr>
              <w:t>）生态环境准入清单</w:t>
            </w:r>
          </w:p>
          <w:p w14:paraId="4942B943">
            <w:pPr>
              <w:autoSpaceDE w:val="0"/>
              <w:autoSpaceDN w:val="0"/>
              <w:spacing w:line="360" w:lineRule="auto"/>
              <w:ind w:firstLine="480" w:firstLineChars="200"/>
              <w:rPr>
                <w:kern w:val="0"/>
                <w:sz w:val="24"/>
              </w:rPr>
            </w:pPr>
            <w:r>
              <w:rPr>
                <w:kern w:val="0"/>
                <w:sz w:val="24"/>
              </w:rPr>
              <w:t>根据湖南省“三线一单”生态环境总体管控要求</w:t>
            </w:r>
            <w:r>
              <w:rPr>
                <w:rFonts w:hint="eastAsia"/>
                <w:kern w:val="0"/>
                <w:sz w:val="24"/>
              </w:rPr>
              <w:t xml:space="preserve">、衡阳市“三线一单”生态环境分区管控要求 </w:t>
            </w:r>
            <w:r>
              <w:rPr>
                <w:kern w:val="0"/>
                <w:sz w:val="24"/>
              </w:rPr>
              <w:t>，本项目为</w:t>
            </w:r>
            <w:r>
              <w:rPr>
                <w:rFonts w:ascii="Times New Roman"/>
                <w:sz w:val="24"/>
              </w:rPr>
              <w:t>洗</w:t>
            </w:r>
            <w:r>
              <w:rPr>
                <w:rFonts w:hint="eastAsia" w:ascii="Times New Roman"/>
                <w:sz w:val="24"/>
              </w:rPr>
              <w:t>染</w:t>
            </w:r>
            <w:r>
              <w:rPr>
                <w:rFonts w:ascii="Times New Roman"/>
                <w:sz w:val="24"/>
              </w:rPr>
              <w:t>服务</w:t>
            </w:r>
            <w:r>
              <w:rPr>
                <w:rFonts w:hint="eastAsia" w:ascii="Times New Roman"/>
                <w:sz w:val="24"/>
                <w:lang w:eastAsia="zh-CN"/>
              </w:rPr>
              <w:t>行业项目</w:t>
            </w:r>
            <w:r>
              <w:rPr>
                <w:kern w:val="0"/>
                <w:sz w:val="24"/>
              </w:rPr>
              <w:t>，采取有效的三废治理措施，具备污染集中控制的条件，符合当地产业定位和环保</w:t>
            </w:r>
            <w:r>
              <w:rPr>
                <w:rFonts w:hint="eastAsia"/>
                <w:kern w:val="0"/>
                <w:sz w:val="24"/>
              </w:rPr>
              <w:t>管控</w:t>
            </w:r>
            <w:r>
              <w:rPr>
                <w:kern w:val="0"/>
                <w:sz w:val="24"/>
              </w:rPr>
              <w:t>要求。因此，本项目建设符合</w:t>
            </w:r>
            <w:r>
              <w:rPr>
                <w:rFonts w:hint="eastAsia"/>
                <w:kern w:val="0"/>
                <w:sz w:val="24"/>
                <w:lang w:eastAsia="zh-CN"/>
              </w:rPr>
              <w:t>《衡阳市生态环境准入清单》（</w:t>
            </w:r>
            <w:r>
              <w:rPr>
                <w:rFonts w:hint="eastAsia" w:ascii="Times New Roman" w:hAnsi="Times New Roman"/>
                <w:kern w:val="0"/>
                <w:sz w:val="24"/>
                <w:lang w:eastAsia="zh-CN"/>
              </w:rPr>
              <w:t>2023</w:t>
            </w:r>
            <w:r>
              <w:rPr>
                <w:rFonts w:hint="eastAsia"/>
                <w:kern w:val="0"/>
                <w:sz w:val="24"/>
                <w:lang w:eastAsia="zh-CN"/>
              </w:rPr>
              <w:t>年版）</w:t>
            </w:r>
            <w:r>
              <w:rPr>
                <w:kern w:val="0"/>
                <w:sz w:val="24"/>
              </w:rPr>
              <w:t>的要求。</w:t>
            </w:r>
          </w:p>
          <w:p w14:paraId="45CF6F6B">
            <w:pPr>
              <w:pStyle w:val="57"/>
              <w:snapToGrid/>
              <w:spacing w:line="360" w:lineRule="auto"/>
              <w:ind w:firstLine="0" w:firstLineChars="0"/>
              <w:jc w:val="center"/>
              <w:rPr>
                <w:rFonts w:ascii="Times New Roman" w:hAnsi="Times New Roman"/>
                <w:b/>
                <w:sz w:val="21"/>
                <w:szCs w:val="21"/>
              </w:rPr>
            </w:pPr>
            <w:r>
              <w:rPr>
                <w:rFonts w:ascii="Times New Roman" w:hAnsi="Times New Roman"/>
                <w:b/>
                <w:sz w:val="21"/>
                <w:szCs w:val="21"/>
              </w:rPr>
              <w:t>表1-</w:t>
            </w:r>
            <w:r>
              <w:rPr>
                <w:rFonts w:hint="eastAsia" w:ascii="Times New Roman" w:hAnsi="Times New Roman"/>
                <w:b/>
                <w:sz w:val="21"/>
                <w:szCs w:val="21"/>
              </w:rPr>
              <w:t>2</w:t>
            </w:r>
            <w:r>
              <w:rPr>
                <w:rFonts w:ascii="Times New Roman" w:hAnsi="Times New Roman"/>
                <w:b/>
                <w:sz w:val="21"/>
                <w:szCs w:val="21"/>
              </w:rPr>
              <w:t xml:space="preserve">  衡阳县管控要求</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2"/>
              <w:gridCol w:w="2126"/>
              <w:gridCol w:w="2799"/>
              <w:gridCol w:w="2156"/>
              <w:gridCol w:w="560"/>
            </w:tblGrid>
            <w:tr w14:paraId="26A47E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902" w:type="pct"/>
                  <w:tcBorders>
                    <w:tl2br w:val="nil"/>
                    <w:tr2bl w:val="nil"/>
                  </w:tcBorders>
                  <w:noWrap w:val="0"/>
                  <w:vAlign w:val="center"/>
                </w:tcPr>
                <w:p w14:paraId="058E5136">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eastAsia="宋体" w:cs="Times New Roman"/>
                      <w:b/>
                      <w:bCs/>
                      <w:color w:val="auto"/>
                      <w:sz w:val="21"/>
                      <w:szCs w:val="21"/>
                      <w:u w:val="single" w:color="auto"/>
                      <w:lang w:val="en-US" w:eastAsia="zh-CN"/>
                    </w:rPr>
                  </w:pPr>
                  <w:r>
                    <w:rPr>
                      <w:rFonts w:hint="default" w:ascii="Times New Roman" w:hAnsi="Times New Roman" w:cs="Times New Roman"/>
                      <w:b/>
                      <w:bCs/>
                      <w:color w:val="auto"/>
                      <w:sz w:val="21"/>
                      <w:szCs w:val="21"/>
                      <w:u w:val="single" w:color="auto"/>
                      <w:lang w:val="en-US" w:eastAsia="zh-CN"/>
                    </w:rPr>
                    <w:t>环境管控单元编码</w:t>
                  </w:r>
                </w:p>
              </w:tc>
              <w:tc>
                <w:tcPr>
                  <w:tcW w:w="1140" w:type="pct"/>
                  <w:tcBorders>
                    <w:tl2br w:val="nil"/>
                    <w:tr2bl w:val="nil"/>
                  </w:tcBorders>
                  <w:noWrap w:val="0"/>
                  <w:vAlign w:val="center"/>
                </w:tcPr>
                <w:p w14:paraId="24B69CF0">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cs="Times New Roman"/>
                      <w:b/>
                      <w:bCs/>
                      <w:color w:val="auto"/>
                      <w:sz w:val="21"/>
                      <w:szCs w:val="21"/>
                      <w:u w:val="single" w:color="auto"/>
                      <w:lang w:val="en-US" w:eastAsia="zh-CN"/>
                    </w:rPr>
                  </w:pPr>
                  <w:r>
                    <w:rPr>
                      <w:rFonts w:hint="default" w:ascii="Times New Roman" w:hAnsi="Times New Roman" w:cs="Times New Roman"/>
                      <w:b/>
                      <w:bCs/>
                      <w:color w:val="auto"/>
                      <w:sz w:val="21"/>
                      <w:szCs w:val="21"/>
                      <w:u w:val="single" w:color="auto"/>
                      <w:lang w:val="en-US" w:eastAsia="zh-CN"/>
                    </w:rPr>
                    <w:t>单元分类</w:t>
                  </w:r>
                </w:p>
              </w:tc>
              <w:tc>
                <w:tcPr>
                  <w:tcW w:w="1501" w:type="pct"/>
                  <w:tcBorders>
                    <w:tl2br w:val="nil"/>
                    <w:tr2bl w:val="nil"/>
                  </w:tcBorders>
                  <w:noWrap w:val="0"/>
                  <w:vAlign w:val="center"/>
                </w:tcPr>
                <w:p w14:paraId="50F3161A">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eastAsia="宋体" w:cs="Times New Roman"/>
                      <w:b/>
                      <w:bCs/>
                      <w:color w:val="auto"/>
                      <w:sz w:val="21"/>
                      <w:szCs w:val="21"/>
                      <w:u w:val="single" w:color="auto"/>
                      <w:lang w:val="en-US" w:eastAsia="zh-CN"/>
                    </w:rPr>
                  </w:pPr>
                  <w:r>
                    <w:rPr>
                      <w:rFonts w:hint="default" w:ascii="Times New Roman" w:hAnsi="Times New Roman" w:cs="Times New Roman"/>
                      <w:b/>
                      <w:bCs/>
                      <w:color w:val="auto"/>
                      <w:sz w:val="21"/>
                      <w:szCs w:val="21"/>
                      <w:u w:val="single" w:color="auto"/>
                      <w:lang w:val="en-US" w:eastAsia="zh-CN"/>
                    </w:rPr>
                    <w:t>涉及乡道（街道）</w:t>
                  </w:r>
                </w:p>
              </w:tc>
              <w:tc>
                <w:tcPr>
                  <w:tcW w:w="1456" w:type="pct"/>
                  <w:gridSpan w:val="2"/>
                  <w:vMerge w:val="restart"/>
                  <w:tcBorders>
                    <w:tl2br w:val="nil"/>
                    <w:tr2bl w:val="nil"/>
                  </w:tcBorders>
                  <w:noWrap w:val="0"/>
                  <w:vAlign w:val="center"/>
                </w:tcPr>
                <w:p w14:paraId="110AF2FA">
                  <w:pPr>
                    <w:keepNext w:val="0"/>
                    <w:keepLines w:val="0"/>
                    <w:pageBreakBefore w:val="0"/>
                    <w:widowControl/>
                    <w:suppressLineNumbers w:val="0"/>
                    <w:kinsoku/>
                    <w:wordWrap/>
                    <w:overflowPunct/>
                    <w:topLinePunct w:val="0"/>
                    <w:bidi w:val="0"/>
                    <w:adjustRightInd/>
                    <w:snapToGrid/>
                    <w:spacing w:line="240" w:lineRule="auto"/>
                    <w:jc w:val="both"/>
                    <w:rPr>
                      <w:rFonts w:hint="default" w:ascii="Times New Roman" w:hAnsi="Times New Roman" w:eastAsia="宋体" w:cs="Times New Roman"/>
                      <w:color w:val="auto"/>
                      <w:kern w:val="0"/>
                      <w:sz w:val="21"/>
                      <w:szCs w:val="21"/>
                      <w:u w:val="single" w:color="auto"/>
                      <w:lang w:val="en-US" w:eastAsia="zh-CN" w:bidi="ar"/>
                    </w:rPr>
                  </w:pPr>
                  <w:r>
                    <w:rPr>
                      <w:rFonts w:hint="default" w:ascii="Times New Roman" w:hAnsi="Times New Roman" w:cs="Times New Roman"/>
                      <w:b/>
                      <w:bCs/>
                      <w:color w:val="auto"/>
                      <w:sz w:val="21"/>
                      <w:szCs w:val="21"/>
                      <w:u w:val="single" w:color="auto"/>
                      <w:lang w:val="en-US" w:eastAsia="zh-CN"/>
                    </w:rPr>
                    <w:t>主体功能定位</w:t>
                  </w:r>
                  <w:r>
                    <w:rPr>
                      <w:rFonts w:hint="eastAsia" w:ascii="宋体" w:hAnsi="宋体" w:eastAsia="宋体" w:cs="宋体"/>
                      <w:kern w:val="0"/>
                      <w:sz w:val="21"/>
                      <w:szCs w:val="21"/>
                      <w:highlight w:val="none"/>
                      <w:u w:val="single" w:color="auto"/>
                    </w:rPr>
                    <w:t>西渡镇/樟树乡</w:t>
                  </w:r>
                  <w:r>
                    <w:rPr>
                      <w:rFonts w:hint="eastAsia" w:ascii="宋体" w:hAnsi="宋体" w:eastAsia="宋体" w:cs="宋体"/>
                      <w:kern w:val="0"/>
                      <w:sz w:val="21"/>
                      <w:szCs w:val="21"/>
                      <w:highlight w:val="none"/>
                      <w:u w:val="single" w:color="auto"/>
                      <w:lang w:eastAsia="zh-CN"/>
                    </w:rPr>
                    <w:t>：</w:t>
                  </w:r>
                  <w:r>
                    <w:rPr>
                      <w:rFonts w:hint="eastAsia" w:ascii="宋体" w:hAnsi="宋体" w:eastAsia="宋体" w:cs="宋体"/>
                      <w:kern w:val="0"/>
                      <w:sz w:val="21"/>
                      <w:szCs w:val="21"/>
                      <w:highlight w:val="none"/>
                      <w:u w:val="single" w:color="auto"/>
                      <w:lang w:val="en-US" w:eastAsia="zh-CN"/>
                    </w:rPr>
                    <w:t>城市化地区</w:t>
                  </w:r>
                </w:p>
                <w:p w14:paraId="72609AFF">
                  <w:pPr>
                    <w:keepNext w:val="0"/>
                    <w:keepLines w:val="0"/>
                    <w:pageBreakBefore w:val="0"/>
                    <w:widowControl/>
                    <w:suppressLineNumbers w:val="0"/>
                    <w:kinsoku/>
                    <w:wordWrap/>
                    <w:overflowPunct/>
                    <w:topLinePunct w:val="0"/>
                    <w:bidi w:val="0"/>
                    <w:adjustRightInd/>
                    <w:snapToGrid/>
                    <w:spacing w:line="240" w:lineRule="auto"/>
                    <w:jc w:val="both"/>
                    <w:rPr>
                      <w:rFonts w:hint="default" w:ascii="Times New Roman" w:hAnsi="Times New Roman" w:cs="Times New Roman"/>
                      <w:color w:val="auto"/>
                      <w:sz w:val="21"/>
                      <w:szCs w:val="21"/>
                      <w:u w:val="single" w:color="auto"/>
                    </w:rPr>
                  </w:pPr>
                  <w:r>
                    <w:rPr>
                      <w:rFonts w:hint="default" w:ascii="Times New Roman" w:hAnsi="Times New Roman" w:eastAsia="宋体" w:cs="Times New Roman"/>
                      <w:b/>
                      <w:bCs/>
                      <w:color w:val="auto"/>
                      <w:kern w:val="0"/>
                      <w:sz w:val="21"/>
                      <w:szCs w:val="21"/>
                      <w:u w:val="single" w:color="auto"/>
                      <w:lang w:val="en-US" w:eastAsia="zh-CN" w:bidi="ar"/>
                    </w:rPr>
                    <w:t>经济产业布局：</w:t>
                  </w:r>
                  <w:r>
                    <w:rPr>
                      <w:rFonts w:hint="default" w:ascii="Times New Roman" w:hAnsi="Times New Roman" w:eastAsia="宋体" w:cs="Times New Roman"/>
                      <w:color w:val="auto"/>
                      <w:kern w:val="0"/>
                      <w:sz w:val="21"/>
                      <w:szCs w:val="21"/>
                      <w:u w:val="single" w:color="auto"/>
                      <w:lang w:val="en-US" w:eastAsia="zh-CN" w:bidi="ar"/>
                    </w:rPr>
                    <w:t>建材、陶瓷原料加工、生态农业、生态旅游、畜禽养殖等。</w:t>
                  </w:r>
                </w:p>
                <w:p w14:paraId="2E0EF756">
                  <w:pPr>
                    <w:widowControl/>
                    <w:numPr>
                      <w:ilvl w:val="0"/>
                      <w:numId w:val="1"/>
                    </w:numPr>
                    <w:kinsoku/>
                    <w:wordWrap/>
                    <w:overflowPunct/>
                    <w:topLinePunct w:val="0"/>
                    <w:bidi w:val="0"/>
                    <w:adjustRightInd w:val="0"/>
                    <w:snapToGrid w:val="0"/>
                    <w:spacing w:line="300" w:lineRule="auto"/>
                    <w:ind w:firstLine="0" w:firstLineChars="0"/>
                    <w:jc w:val="left"/>
                    <w:textAlignment w:val="auto"/>
                    <w:rPr>
                      <w:rFonts w:hint="eastAsia" w:ascii="宋体" w:hAnsi="宋体" w:eastAsia="宋体" w:cs="宋体"/>
                      <w:kern w:val="0"/>
                      <w:sz w:val="21"/>
                      <w:szCs w:val="21"/>
                      <w:highlight w:val="none"/>
                      <w:u w:val="single" w:color="auto"/>
                    </w:rPr>
                  </w:pPr>
                  <w:r>
                    <w:rPr>
                      <w:rFonts w:hint="default" w:ascii="Times New Roman" w:hAnsi="Times New Roman" w:cs="Times New Roman"/>
                      <w:b/>
                      <w:bCs/>
                      <w:color w:val="auto"/>
                      <w:sz w:val="21"/>
                      <w:szCs w:val="21"/>
                      <w:u w:val="single" w:color="auto"/>
                      <w:lang w:val="en-US" w:eastAsia="zh-CN"/>
                    </w:rPr>
                    <w:t>主要环境问题：</w:t>
                  </w:r>
                  <w:r>
                    <w:rPr>
                      <w:rFonts w:hint="eastAsia" w:ascii="宋体" w:hAnsi="宋体" w:eastAsia="宋体" w:cs="宋体"/>
                      <w:kern w:val="0"/>
                      <w:sz w:val="21"/>
                      <w:szCs w:val="21"/>
                      <w:highlight w:val="none"/>
                      <w:u w:val="single" w:color="auto"/>
                    </w:rPr>
                    <w:t>存在焚烧垃圾现象，养殖废水处理不能稳定达标。</w:t>
                  </w:r>
                </w:p>
                <w:p w14:paraId="2DD285CC">
                  <w:pPr>
                    <w:keepNext w:val="0"/>
                    <w:keepLines w:val="0"/>
                    <w:pageBreakBefore w:val="0"/>
                    <w:widowControl/>
                    <w:suppressLineNumbers w:val="0"/>
                    <w:kinsoku/>
                    <w:wordWrap/>
                    <w:overflowPunct/>
                    <w:topLinePunct w:val="0"/>
                    <w:bidi w:val="0"/>
                    <w:adjustRightInd/>
                    <w:snapToGrid/>
                    <w:spacing w:line="240" w:lineRule="auto"/>
                    <w:jc w:val="both"/>
                    <w:rPr>
                      <w:rFonts w:hint="default" w:ascii="Times New Roman" w:hAnsi="Times New Roman" w:eastAsia="宋体" w:cs="Times New Roman"/>
                      <w:color w:val="auto"/>
                      <w:kern w:val="0"/>
                      <w:sz w:val="21"/>
                      <w:szCs w:val="21"/>
                      <w:u w:val="single" w:color="auto"/>
                      <w:lang w:val="en-US" w:eastAsia="zh-CN" w:bidi="ar"/>
                    </w:rPr>
                  </w:pPr>
                  <w:r>
                    <w:rPr>
                      <w:rFonts w:hint="eastAsia" w:ascii="宋体" w:hAnsi="宋体" w:eastAsia="宋体" w:cs="宋体"/>
                      <w:sz w:val="21"/>
                      <w:szCs w:val="21"/>
                      <w:highlight w:val="none"/>
                      <w:u w:val="single" w:color="auto"/>
                    </w:rPr>
                    <w:t>衡阳市衡阳县蒸水饮用水水源保护区</w:t>
                  </w:r>
                </w:p>
              </w:tc>
            </w:tr>
            <w:tr w14:paraId="29FA03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2" w:type="pct"/>
                  <w:tcBorders>
                    <w:tl2br w:val="nil"/>
                    <w:tr2bl w:val="nil"/>
                  </w:tcBorders>
                  <w:noWrap w:val="0"/>
                  <w:vAlign w:val="center"/>
                </w:tcPr>
                <w:p w14:paraId="7B174CE2">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color w:val="auto"/>
                      <w:sz w:val="21"/>
                      <w:szCs w:val="21"/>
                      <w:u w:val="single" w:color="auto"/>
                      <w:lang w:val="en-US" w:eastAsia="zh-CN"/>
                    </w:rPr>
                  </w:pPr>
                  <w:r>
                    <w:rPr>
                      <w:rFonts w:hint="default" w:ascii="Times New Roman" w:hAnsi="Times New Roman" w:eastAsia="宋体" w:cs="Times New Roman"/>
                      <w:kern w:val="2"/>
                      <w:sz w:val="21"/>
                      <w:szCs w:val="21"/>
                      <w:u w:val="single" w:color="auto"/>
                      <w:lang w:val="en-US" w:eastAsia="zh-CN" w:bidi="ar"/>
                    </w:rPr>
                    <w:t>ZH43042120001</w:t>
                  </w:r>
                </w:p>
              </w:tc>
              <w:tc>
                <w:tcPr>
                  <w:tcW w:w="1140" w:type="pct"/>
                  <w:tcBorders>
                    <w:tl2br w:val="nil"/>
                    <w:tr2bl w:val="nil"/>
                  </w:tcBorders>
                  <w:noWrap w:val="0"/>
                  <w:vAlign w:val="center"/>
                </w:tcPr>
                <w:p w14:paraId="6C816FA4">
                  <w:pPr>
                    <w:keepNext w:val="0"/>
                    <w:keepLines w:val="0"/>
                    <w:pageBreakBefore w:val="0"/>
                    <w:widowControl/>
                    <w:suppressLineNumbers w:val="0"/>
                    <w:kinsoku/>
                    <w:wordWrap/>
                    <w:overflowPunct/>
                    <w:topLinePunct w:val="0"/>
                    <w:bidi w:val="0"/>
                    <w:adjustRightInd/>
                    <w:snapToGrid/>
                    <w:spacing w:line="240" w:lineRule="auto"/>
                    <w:jc w:val="center"/>
                    <w:rPr>
                      <w:rFonts w:hint="default" w:ascii="Times New Roman" w:hAnsi="Times New Roman" w:eastAsia="宋体" w:cs="Times New Roman"/>
                      <w:color w:val="auto"/>
                      <w:sz w:val="21"/>
                      <w:szCs w:val="21"/>
                      <w:u w:val="single" w:color="auto"/>
                      <w:lang w:eastAsia="zh-CN"/>
                    </w:rPr>
                  </w:pPr>
                  <w:r>
                    <w:rPr>
                      <w:rFonts w:hint="eastAsia" w:ascii="Times New Roman" w:hAnsi="Times New Roman" w:cs="Times New Roman"/>
                      <w:b/>
                      <w:bCs/>
                      <w:color w:val="auto"/>
                      <w:sz w:val="21"/>
                      <w:szCs w:val="21"/>
                      <w:u w:val="single" w:color="auto"/>
                      <w:lang w:eastAsia="zh-CN"/>
                    </w:rPr>
                    <w:t>重点管控单元</w:t>
                  </w:r>
                </w:p>
              </w:tc>
              <w:tc>
                <w:tcPr>
                  <w:tcW w:w="1501" w:type="pct"/>
                  <w:tcBorders>
                    <w:tl2br w:val="nil"/>
                    <w:tr2bl w:val="nil"/>
                  </w:tcBorders>
                  <w:noWrap w:val="0"/>
                  <w:vAlign w:val="center"/>
                </w:tcPr>
                <w:p w14:paraId="44C43EE6">
                  <w:pPr>
                    <w:widowControl/>
                    <w:adjustRightInd w:val="0"/>
                    <w:snapToGrid w:val="0"/>
                    <w:jc w:val="center"/>
                    <w:rPr>
                      <w:rFonts w:hint="default"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西渡镇/樟木乡</w:t>
                  </w:r>
                </w:p>
              </w:tc>
              <w:tc>
                <w:tcPr>
                  <w:tcW w:w="1456" w:type="pct"/>
                  <w:gridSpan w:val="2"/>
                  <w:vMerge w:val="continue"/>
                  <w:tcBorders>
                    <w:tl2br w:val="nil"/>
                    <w:tr2bl w:val="nil"/>
                  </w:tcBorders>
                  <w:noWrap w:val="0"/>
                  <w:vAlign w:val="center"/>
                </w:tcPr>
                <w:p w14:paraId="0D93B4AD">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cs="Times New Roman"/>
                      <w:color w:val="auto"/>
                      <w:sz w:val="21"/>
                      <w:szCs w:val="21"/>
                      <w:u w:val="single" w:color="auto"/>
                    </w:rPr>
                  </w:pPr>
                </w:p>
              </w:tc>
            </w:tr>
            <w:tr w14:paraId="6DCC5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6" w:hRule="atLeast"/>
              </w:trPr>
              <w:tc>
                <w:tcPr>
                  <w:tcW w:w="902" w:type="pct"/>
                  <w:tcBorders>
                    <w:tl2br w:val="nil"/>
                    <w:tr2bl w:val="nil"/>
                  </w:tcBorders>
                  <w:noWrap w:val="0"/>
                  <w:vAlign w:val="center"/>
                </w:tcPr>
                <w:p w14:paraId="2BFF309A">
                  <w:pPr>
                    <w:keepNext w:val="0"/>
                    <w:keepLines w:val="0"/>
                    <w:pageBreakBefore w:val="0"/>
                    <w:widowControl/>
                    <w:suppressLineNumbers w:val="0"/>
                    <w:kinsoku/>
                    <w:wordWrap/>
                    <w:overflowPunct/>
                    <w:topLinePunct w:val="0"/>
                    <w:bidi w:val="0"/>
                    <w:adjustRightInd/>
                    <w:snapToGrid/>
                    <w:spacing w:line="240" w:lineRule="auto"/>
                    <w:jc w:val="center"/>
                    <w:rPr>
                      <w:rFonts w:hint="default" w:ascii="Times New Roman" w:hAnsi="Times New Roman" w:eastAsia="宋体" w:cs="Times New Roman"/>
                      <w:b/>
                      <w:bCs/>
                      <w:color w:val="auto"/>
                      <w:kern w:val="0"/>
                      <w:sz w:val="21"/>
                      <w:szCs w:val="21"/>
                      <w:u w:val="single" w:color="auto"/>
                      <w:lang w:val="en-US" w:eastAsia="zh-CN" w:bidi="ar"/>
                    </w:rPr>
                  </w:pPr>
                  <w:r>
                    <w:rPr>
                      <w:rFonts w:hint="default" w:ascii="Times New Roman" w:hAnsi="Times New Roman" w:eastAsia="宋体" w:cs="Times New Roman"/>
                      <w:b/>
                      <w:bCs/>
                      <w:color w:val="auto"/>
                      <w:kern w:val="0"/>
                      <w:sz w:val="21"/>
                      <w:szCs w:val="21"/>
                      <w:u w:val="single" w:color="auto"/>
                      <w:lang w:val="en-US" w:eastAsia="zh-CN" w:bidi="ar"/>
                    </w:rPr>
                    <w:t>管控维度</w:t>
                  </w:r>
                </w:p>
              </w:tc>
              <w:tc>
                <w:tcPr>
                  <w:tcW w:w="2641" w:type="pct"/>
                  <w:gridSpan w:val="2"/>
                  <w:tcBorders>
                    <w:tl2br w:val="nil"/>
                    <w:tr2bl w:val="nil"/>
                  </w:tcBorders>
                  <w:noWrap w:val="0"/>
                  <w:vAlign w:val="center"/>
                </w:tcPr>
                <w:p w14:paraId="70DABECA">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eastAsia="宋体" w:cs="Times New Roman"/>
                      <w:b/>
                      <w:bCs/>
                      <w:color w:val="auto"/>
                      <w:sz w:val="21"/>
                      <w:szCs w:val="21"/>
                      <w:u w:val="single" w:color="auto"/>
                      <w:lang w:val="en-US" w:eastAsia="zh-CN"/>
                    </w:rPr>
                  </w:pPr>
                  <w:r>
                    <w:rPr>
                      <w:rFonts w:hint="default" w:ascii="Times New Roman" w:hAnsi="Times New Roman" w:cs="Times New Roman"/>
                      <w:b/>
                      <w:bCs/>
                      <w:color w:val="auto"/>
                      <w:sz w:val="21"/>
                      <w:szCs w:val="21"/>
                      <w:u w:val="single" w:color="auto"/>
                      <w:lang w:val="en-US" w:eastAsia="zh-CN"/>
                    </w:rPr>
                    <w:t>管控要求</w:t>
                  </w:r>
                </w:p>
              </w:tc>
              <w:tc>
                <w:tcPr>
                  <w:tcW w:w="1156" w:type="pct"/>
                  <w:tcBorders>
                    <w:tl2br w:val="nil"/>
                    <w:tr2bl w:val="nil"/>
                  </w:tcBorders>
                  <w:noWrap w:val="0"/>
                  <w:vAlign w:val="center"/>
                </w:tcPr>
                <w:p w14:paraId="72857E58">
                  <w:pPr>
                    <w:keepNext w:val="0"/>
                    <w:keepLines w:val="0"/>
                    <w:pageBreakBefore w:val="0"/>
                    <w:kinsoku/>
                    <w:wordWrap/>
                    <w:overflowPunct/>
                    <w:topLinePunct w:val="0"/>
                    <w:bidi w:val="0"/>
                    <w:adjustRightInd/>
                    <w:snapToGrid/>
                    <w:spacing w:line="240" w:lineRule="auto"/>
                    <w:jc w:val="center"/>
                    <w:textAlignment w:val="center"/>
                    <w:rPr>
                      <w:rFonts w:hint="default" w:ascii="Times New Roman" w:hAnsi="Times New Roman" w:cs="Times New Roman"/>
                      <w:b/>
                      <w:bCs/>
                      <w:color w:val="auto"/>
                      <w:sz w:val="21"/>
                      <w:szCs w:val="21"/>
                      <w:u w:val="single" w:color="auto"/>
                      <w:lang w:val="en-US" w:eastAsia="zh-CN"/>
                    </w:rPr>
                  </w:pPr>
                  <w:r>
                    <w:rPr>
                      <w:rFonts w:hint="eastAsia" w:ascii="Times New Roman" w:hAnsi="Times New Roman" w:cs="Times New Roman"/>
                      <w:b/>
                      <w:bCs/>
                      <w:color w:val="auto"/>
                      <w:sz w:val="21"/>
                      <w:szCs w:val="21"/>
                      <w:u w:val="single" w:color="auto"/>
                      <w:lang w:val="en-US" w:eastAsia="zh-CN"/>
                    </w:rPr>
                    <w:t>项目情况</w:t>
                  </w:r>
                </w:p>
              </w:tc>
              <w:tc>
                <w:tcPr>
                  <w:tcW w:w="299" w:type="pct"/>
                  <w:tcBorders>
                    <w:tl2br w:val="nil"/>
                    <w:tr2bl w:val="nil"/>
                  </w:tcBorders>
                  <w:noWrap w:val="0"/>
                  <w:vAlign w:val="center"/>
                </w:tcPr>
                <w:p w14:paraId="6DD1A85C">
                  <w:pPr>
                    <w:keepNext w:val="0"/>
                    <w:keepLines w:val="0"/>
                    <w:pageBreakBefore w:val="0"/>
                    <w:kinsoku/>
                    <w:wordWrap/>
                    <w:overflowPunct/>
                    <w:topLinePunct w:val="0"/>
                    <w:bidi w:val="0"/>
                    <w:adjustRightInd/>
                    <w:snapToGrid/>
                    <w:spacing w:line="240" w:lineRule="auto"/>
                    <w:jc w:val="center"/>
                    <w:textAlignment w:val="center"/>
                    <w:rPr>
                      <w:rFonts w:hint="eastAsia" w:ascii="Times New Roman" w:hAnsi="Times New Roman" w:cs="Times New Roman"/>
                      <w:b/>
                      <w:bCs/>
                      <w:color w:val="auto"/>
                      <w:sz w:val="21"/>
                      <w:szCs w:val="21"/>
                      <w:u w:val="single" w:color="auto"/>
                      <w:lang w:val="en-US" w:eastAsia="zh-CN"/>
                    </w:rPr>
                  </w:pPr>
                  <w:r>
                    <w:rPr>
                      <w:rFonts w:hint="eastAsia" w:ascii="Times New Roman" w:hAnsi="Times New Roman" w:cs="Times New Roman"/>
                      <w:b/>
                      <w:bCs/>
                      <w:color w:val="auto"/>
                      <w:sz w:val="21"/>
                      <w:szCs w:val="21"/>
                      <w:u w:val="single" w:color="auto"/>
                      <w:lang w:val="en-US" w:eastAsia="zh-CN"/>
                    </w:rPr>
                    <w:t>是否符合要求</w:t>
                  </w:r>
                </w:p>
              </w:tc>
            </w:tr>
            <w:tr w14:paraId="166D43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5" w:hRule="atLeast"/>
              </w:trPr>
              <w:tc>
                <w:tcPr>
                  <w:tcW w:w="902" w:type="pct"/>
                  <w:tcBorders>
                    <w:tl2br w:val="nil"/>
                    <w:tr2bl w:val="nil"/>
                  </w:tcBorders>
                  <w:noWrap w:val="0"/>
                  <w:vAlign w:val="center"/>
                </w:tcPr>
                <w:p w14:paraId="6973E27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single" w:color="auto"/>
                      <w:lang w:val="en-US" w:eastAsia="zh-CN" w:bidi="ar"/>
                    </w:rPr>
                  </w:pPr>
                  <w:r>
                    <w:rPr>
                      <w:rFonts w:hint="default" w:ascii="Times New Roman" w:hAnsi="Times New Roman" w:eastAsia="宋体" w:cs="Times New Roman"/>
                      <w:color w:val="auto"/>
                      <w:kern w:val="0"/>
                      <w:sz w:val="21"/>
                      <w:szCs w:val="21"/>
                      <w:u w:val="single" w:color="auto"/>
                    </w:rPr>
                    <w:t>空间布局约束</w:t>
                  </w:r>
                </w:p>
              </w:tc>
              <w:tc>
                <w:tcPr>
                  <w:tcW w:w="2641" w:type="pct"/>
                  <w:gridSpan w:val="2"/>
                  <w:tcBorders>
                    <w:tl2br w:val="nil"/>
                    <w:tr2bl w:val="nil"/>
                  </w:tcBorders>
                  <w:noWrap w:val="0"/>
                  <w:vAlign w:val="center"/>
                </w:tcPr>
                <w:p w14:paraId="00D86A3F">
                  <w:pPr>
                    <w:numPr>
                      <w:ilvl w:val="1"/>
                      <w:numId w:val="2"/>
                    </w:numPr>
                    <w:kinsoku/>
                    <w:wordWrap/>
                    <w:overflowPunct/>
                    <w:topLinePunct w:val="0"/>
                    <w:autoSpaceDE w:val="0"/>
                    <w:autoSpaceDN w:val="0"/>
                    <w:bidi w:val="0"/>
                    <w:adjustRightInd w:val="0"/>
                    <w:spacing w:line="300" w:lineRule="auto"/>
                    <w:jc w:val="left"/>
                    <w:textAlignment w:val="auto"/>
                    <w:rPr>
                      <w:rFonts w:hint="default" w:ascii="Times New Roman" w:hAnsi="Times New Roman" w:eastAsia="宋体" w:cs="Times New Roman"/>
                      <w:color w:val="auto"/>
                      <w:sz w:val="21"/>
                      <w:szCs w:val="21"/>
                      <w:u w:val="single" w:color="auto"/>
                      <w:lang w:val="en-US" w:eastAsia="zh-CN"/>
                    </w:rPr>
                  </w:pPr>
                  <w:r>
                    <w:rPr>
                      <w:rFonts w:hint="eastAsia" w:ascii="宋体" w:hAnsi="宋体" w:eastAsia="宋体" w:cs="宋体"/>
                      <w:strike w:val="0"/>
                      <w:sz w:val="21"/>
                      <w:szCs w:val="21"/>
                      <w:highlight w:val="none"/>
                      <w:u w:val="single" w:color="auto"/>
                    </w:rPr>
                    <w:t>除在安全或者产业布局等方面有特殊要求的以外，新建有污染物排放的工业项目，应当按照规定进入工业园区或者工业集聚区</w:t>
                  </w:r>
                  <w:r>
                    <w:rPr>
                      <w:rFonts w:hint="eastAsia" w:ascii="宋体" w:hAnsi="宋体" w:eastAsia="宋体" w:cs="宋体"/>
                      <w:strike w:val="0"/>
                      <w:sz w:val="21"/>
                      <w:szCs w:val="21"/>
                      <w:highlight w:val="none"/>
                      <w:u w:val="single" w:color="auto"/>
                      <w:lang w:eastAsia="zh-CN"/>
                    </w:rPr>
                    <w:t>；</w:t>
                  </w:r>
                </w:p>
                <w:p w14:paraId="5EB0D6C0">
                  <w:pPr>
                    <w:numPr>
                      <w:ilvl w:val="1"/>
                      <w:numId w:val="2"/>
                    </w:numPr>
                    <w:kinsoku/>
                    <w:wordWrap/>
                    <w:overflowPunct/>
                    <w:topLinePunct w:val="0"/>
                    <w:autoSpaceDE w:val="0"/>
                    <w:autoSpaceDN w:val="0"/>
                    <w:bidi w:val="0"/>
                    <w:adjustRightInd w:val="0"/>
                    <w:spacing w:line="300" w:lineRule="auto"/>
                    <w:jc w:val="left"/>
                    <w:textAlignment w:val="auto"/>
                    <w:rPr>
                      <w:rFonts w:hint="default" w:ascii="Times New Roman" w:hAnsi="Times New Roman" w:eastAsia="宋体" w:cs="Times New Roman"/>
                      <w:color w:val="auto"/>
                      <w:sz w:val="21"/>
                      <w:szCs w:val="21"/>
                      <w:u w:val="single" w:color="auto"/>
                      <w:lang w:val="en-US" w:eastAsia="zh-CN"/>
                    </w:rPr>
                  </w:pPr>
                  <w:r>
                    <w:rPr>
                      <w:rFonts w:hint="eastAsia" w:ascii="宋体" w:hAnsi="宋体" w:eastAsia="宋体" w:cs="宋体"/>
                      <w:kern w:val="0"/>
                      <w:sz w:val="21"/>
                      <w:szCs w:val="21"/>
                      <w:highlight w:val="none"/>
                      <w:u w:val="single" w:color="auto"/>
                      <w:lang w:val="en-US" w:eastAsia="zh-CN"/>
                    </w:rPr>
                    <w:t>饮用水源保护区按《湖南省饮用水水源保护条例》等要求管理。</w:t>
                  </w:r>
                </w:p>
                <w:p w14:paraId="6BC5BF38">
                  <w:pPr>
                    <w:numPr>
                      <w:ilvl w:val="1"/>
                      <w:numId w:val="2"/>
                    </w:numPr>
                    <w:kinsoku/>
                    <w:wordWrap/>
                    <w:overflowPunct/>
                    <w:topLinePunct w:val="0"/>
                    <w:autoSpaceDE w:val="0"/>
                    <w:autoSpaceDN w:val="0"/>
                    <w:bidi w:val="0"/>
                    <w:adjustRightInd w:val="0"/>
                    <w:spacing w:line="300" w:lineRule="auto"/>
                    <w:jc w:val="left"/>
                    <w:textAlignment w:val="auto"/>
                    <w:rPr>
                      <w:rFonts w:hint="default" w:ascii="Times New Roman" w:hAnsi="Times New Roman" w:eastAsia="宋体" w:cs="Times New Roman"/>
                      <w:color w:val="auto"/>
                      <w:sz w:val="21"/>
                      <w:szCs w:val="21"/>
                      <w:u w:val="single" w:color="auto"/>
                      <w:lang w:val="en-US" w:eastAsia="zh-CN"/>
                    </w:rPr>
                  </w:pPr>
                  <w:r>
                    <w:rPr>
                      <w:rFonts w:hint="eastAsia" w:ascii="宋体" w:hAnsi="宋体" w:eastAsia="宋体" w:cs="宋体"/>
                      <w:sz w:val="21"/>
                      <w:szCs w:val="21"/>
                      <w:highlight w:val="none"/>
                      <w:u w:val="single" w:color="auto"/>
                    </w:rPr>
                    <w:t>养殖业按划定的禁养区、限养区、适养区实施分类管理。</w:t>
                  </w:r>
                </w:p>
              </w:tc>
              <w:tc>
                <w:tcPr>
                  <w:tcW w:w="1156" w:type="pct"/>
                  <w:tcBorders>
                    <w:tl2br w:val="nil"/>
                    <w:tr2bl w:val="nil"/>
                  </w:tcBorders>
                  <w:noWrap w:val="0"/>
                  <w:vAlign w:val="center"/>
                </w:tcPr>
                <w:p w14:paraId="2027F5AE">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val="en-US" w:eastAsia="zh-CN"/>
                    </w:rPr>
                    <w:t>本项目为洗染服务行业项目</w:t>
                  </w:r>
                  <w:r>
                    <w:rPr>
                      <w:rFonts w:hint="eastAsia"/>
                      <w:kern w:val="0"/>
                      <w:sz w:val="21"/>
                      <w:szCs w:val="21"/>
                      <w:u w:val="single" w:color="auto"/>
                      <w:lang w:eastAsia="zh-CN"/>
                    </w:rPr>
                    <w:t>，所处位置周边有多个工业企业，位于</w:t>
                  </w:r>
                  <w:r>
                    <w:rPr>
                      <w:rFonts w:hint="eastAsia" w:ascii="宋体" w:hAnsi="宋体" w:eastAsia="宋体" w:cs="宋体"/>
                      <w:strike w:val="0"/>
                      <w:sz w:val="21"/>
                      <w:szCs w:val="21"/>
                      <w:highlight w:val="none"/>
                      <w:u w:val="single" w:color="auto"/>
                    </w:rPr>
                    <w:t>工业集聚区</w:t>
                  </w:r>
                  <w:r>
                    <w:rPr>
                      <w:rFonts w:hint="eastAsia" w:ascii="宋体" w:hAnsi="宋体" w:eastAsia="宋体" w:cs="宋体"/>
                      <w:strike w:val="0"/>
                      <w:sz w:val="21"/>
                      <w:szCs w:val="21"/>
                      <w:highlight w:val="none"/>
                      <w:u w:val="single" w:color="auto"/>
                      <w:lang w:eastAsia="zh-CN"/>
                    </w:rPr>
                    <w:t>。</w:t>
                  </w:r>
                </w:p>
              </w:tc>
              <w:tc>
                <w:tcPr>
                  <w:tcW w:w="299" w:type="pct"/>
                  <w:tcBorders>
                    <w:tl2br w:val="nil"/>
                    <w:tr2bl w:val="nil"/>
                  </w:tcBorders>
                  <w:noWrap w:val="0"/>
                  <w:vAlign w:val="center"/>
                </w:tcPr>
                <w:p w14:paraId="0E841357">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u w:val="single" w:color="auto"/>
                      <w:lang w:val="en-US" w:eastAsia="zh-CN"/>
                    </w:rPr>
                  </w:pPr>
                  <w:r>
                    <w:rPr>
                      <w:rFonts w:hint="eastAsia" w:ascii="Times New Roman" w:hAnsi="Times New Roman" w:eastAsia="宋体" w:cs="Times New Roman"/>
                      <w:color w:val="auto"/>
                      <w:sz w:val="21"/>
                      <w:szCs w:val="21"/>
                      <w:u w:val="single" w:color="auto"/>
                      <w:lang w:eastAsia="zh-CN"/>
                    </w:rPr>
                    <w:t>符合</w:t>
                  </w:r>
                </w:p>
              </w:tc>
            </w:tr>
            <w:tr w14:paraId="1A233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2" w:hRule="atLeast"/>
              </w:trPr>
              <w:tc>
                <w:tcPr>
                  <w:tcW w:w="902" w:type="pct"/>
                  <w:tcBorders>
                    <w:tl2br w:val="nil"/>
                    <w:tr2bl w:val="nil"/>
                  </w:tcBorders>
                  <w:noWrap w:val="0"/>
                  <w:vAlign w:val="center"/>
                </w:tcPr>
                <w:p w14:paraId="49E2072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single" w:color="auto"/>
                      <w:lang w:val="en-US" w:eastAsia="zh-CN" w:bidi="ar"/>
                    </w:rPr>
                  </w:pPr>
                  <w:r>
                    <w:rPr>
                      <w:rFonts w:hint="default" w:ascii="Times New Roman" w:hAnsi="Times New Roman" w:eastAsia="宋体" w:cs="Times New Roman"/>
                      <w:color w:val="auto"/>
                      <w:kern w:val="0"/>
                      <w:sz w:val="21"/>
                      <w:szCs w:val="21"/>
                      <w:u w:val="single" w:color="auto"/>
                    </w:rPr>
                    <w:t>污染物排放管控</w:t>
                  </w:r>
                </w:p>
              </w:tc>
              <w:tc>
                <w:tcPr>
                  <w:tcW w:w="2641" w:type="pct"/>
                  <w:gridSpan w:val="2"/>
                  <w:tcBorders>
                    <w:tl2br w:val="nil"/>
                    <w:tr2bl w:val="nil"/>
                  </w:tcBorders>
                  <w:noWrap w:val="0"/>
                  <w:vAlign w:val="center"/>
                </w:tcPr>
                <w:p w14:paraId="73EF057A">
                  <w:pPr>
                    <w:kinsoku/>
                    <w:wordWrap/>
                    <w:overflowPunct/>
                    <w:topLinePunct w:val="0"/>
                    <w:bidi w:val="0"/>
                    <w:spacing w:line="300" w:lineRule="auto"/>
                    <w:textAlignment w:val="auto"/>
                    <w:rPr>
                      <w:rFonts w:hint="eastAsia" w:ascii="宋体" w:hAnsi="宋体" w:eastAsia="宋体" w:cs="宋体"/>
                      <w:sz w:val="21"/>
                      <w:szCs w:val="21"/>
                      <w:highlight w:val="none"/>
                      <w:u w:val="single" w:color="auto"/>
                    </w:rPr>
                  </w:pP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2</w:t>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1</w:t>
                  </w:r>
                  <w:r>
                    <w:rPr>
                      <w:rFonts w:hint="eastAsia" w:ascii="宋体" w:hAnsi="宋体" w:eastAsia="宋体" w:cs="宋体"/>
                      <w:sz w:val="21"/>
                      <w:szCs w:val="21"/>
                      <w:highlight w:val="none"/>
                      <w:u w:val="single" w:color="auto"/>
                    </w:rPr>
                    <w:t>）</w:t>
                  </w:r>
                  <w:r>
                    <w:rPr>
                      <w:rFonts w:hint="eastAsia" w:ascii="宋体" w:hAnsi="宋体" w:eastAsia="宋体" w:cs="宋体"/>
                      <w:strike w:val="0"/>
                      <w:dstrike w:val="0"/>
                      <w:kern w:val="0"/>
                      <w:sz w:val="21"/>
                      <w:szCs w:val="21"/>
                      <w:highlight w:val="none"/>
                      <w:u w:val="single" w:color="auto"/>
                    </w:rPr>
                    <w:t>因地制宜开展农村生活污水处理设施建设，完善“五位一体”的县域农村生活污水治理设施运维管理体系，建立长效的农村生活污水运行管理机制。</w:t>
                  </w:r>
                </w:p>
                <w:p w14:paraId="67B955BF">
                  <w:pPr>
                    <w:kinsoku/>
                    <w:wordWrap/>
                    <w:overflowPunct/>
                    <w:topLinePunct w:val="0"/>
                    <w:bidi w:val="0"/>
                    <w:spacing w:line="300" w:lineRule="auto"/>
                    <w:textAlignment w:val="auto"/>
                    <w:rPr>
                      <w:rFonts w:hint="eastAsia" w:ascii="宋体" w:hAnsi="宋体" w:eastAsia="宋体" w:cs="宋体"/>
                      <w:strike w:val="0"/>
                      <w:dstrike w:val="0"/>
                      <w:sz w:val="21"/>
                      <w:szCs w:val="21"/>
                      <w:highlight w:val="none"/>
                      <w:u w:val="single" w:color="auto"/>
                    </w:rPr>
                  </w:pP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2</w:t>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2</w:t>
                  </w:r>
                  <w:r>
                    <w:rPr>
                      <w:rFonts w:hint="eastAsia" w:ascii="宋体" w:hAnsi="宋体" w:eastAsia="宋体" w:cs="宋体"/>
                      <w:sz w:val="21"/>
                      <w:szCs w:val="21"/>
                      <w:highlight w:val="none"/>
                      <w:u w:val="single" w:color="auto"/>
                    </w:rPr>
                    <w:t>）</w:t>
                  </w:r>
                  <w:r>
                    <w:rPr>
                      <w:rFonts w:hint="eastAsia" w:ascii="宋体" w:hAnsi="宋体" w:eastAsia="宋体" w:cs="宋体"/>
                      <w:strike w:val="0"/>
                      <w:dstrike w:val="0"/>
                      <w:sz w:val="21"/>
                      <w:szCs w:val="21"/>
                      <w:highlight w:val="none"/>
                      <w:u w:val="single" w:color="auto"/>
                    </w:rPr>
                    <w:t>重点行业企业实施强制清洁生产审核，重点工业企业完成无组织排放治理改造；强化重点行业挥发性有机物污染治理，实行区域内</w:t>
                  </w:r>
                  <w:r>
                    <w:rPr>
                      <w:rFonts w:hint="eastAsia" w:ascii="Times New Roman" w:hAnsi="Times New Roman" w:eastAsia="宋体" w:cs="宋体"/>
                      <w:strike w:val="0"/>
                      <w:dstrike w:val="0"/>
                      <w:sz w:val="21"/>
                      <w:szCs w:val="21"/>
                      <w:highlight w:val="none"/>
                      <w:u w:val="single" w:color="auto"/>
                    </w:rPr>
                    <w:t>VOCs</w:t>
                  </w:r>
                  <w:r>
                    <w:rPr>
                      <w:rFonts w:hint="eastAsia" w:ascii="宋体" w:hAnsi="宋体" w:eastAsia="宋体" w:cs="宋体"/>
                      <w:strike w:val="0"/>
                      <w:dstrike w:val="0"/>
                      <w:sz w:val="21"/>
                      <w:szCs w:val="21"/>
                      <w:highlight w:val="none"/>
                      <w:u w:val="single" w:color="auto"/>
                    </w:rPr>
                    <w:t>排放等量或倍量削减替代，交通运输设备制造、工程机械制造和家具制造行业全面推行油性漆改水性漆。禁止露天烧烤直排，</w:t>
                  </w:r>
                  <w:r>
                    <w:rPr>
                      <w:rFonts w:hint="eastAsia" w:ascii="宋体" w:hAnsi="宋体" w:eastAsia="宋体" w:cs="宋体"/>
                      <w:strike w:val="0"/>
                      <w:dstrike w:val="0"/>
                      <w:sz w:val="21"/>
                      <w:szCs w:val="21"/>
                      <w:highlight w:val="none"/>
                      <w:u w:val="single" w:color="auto"/>
                      <w:lang w:eastAsia="zh-CN"/>
                    </w:rPr>
                    <w:t>禁止垃圾露天焚烧</w:t>
                  </w:r>
                  <w:r>
                    <w:rPr>
                      <w:rFonts w:hint="eastAsia" w:ascii="宋体" w:hAnsi="宋体" w:eastAsia="宋体" w:cs="宋体"/>
                      <w:strike w:val="0"/>
                      <w:dstrike w:val="0"/>
                      <w:sz w:val="21"/>
                      <w:szCs w:val="21"/>
                      <w:highlight w:val="none"/>
                      <w:u w:val="single" w:color="auto"/>
                    </w:rPr>
                    <w:t>。禁止在商住、学校、医疗、养老机构、人口密集区和公共服务设施等周边新建有色金属冶炼、化工等行业企业。</w:t>
                  </w:r>
                </w:p>
                <w:p w14:paraId="13F33F19">
                  <w:pPr>
                    <w:keepNext w:val="0"/>
                    <w:keepLines w:val="0"/>
                    <w:widowControl w:val="0"/>
                    <w:suppressLineNumbers w:val="0"/>
                    <w:autoSpaceDE w:val="0"/>
                    <w:autoSpaceDN/>
                    <w:adjustRightInd w:val="0"/>
                    <w:spacing w:before="0" w:beforeAutospacing="0" w:after="0" w:afterAutospacing="0" w:line="380" w:lineRule="exact"/>
                    <w:ind w:left="0" w:leftChars="0" w:right="0" w:rightChars="0"/>
                    <w:jc w:val="left"/>
                    <w:rPr>
                      <w:rFonts w:hint="default" w:eastAsia="宋体"/>
                      <w:color w:val="auto"/>
                      <w:kern w:val="2"/>
                      <w:sz w:val="21"/>
                      <w:szCs w:val="21"/>
                      <w:u w:val="single" w:color="auto"/>
                      <w:lang w:val="en-US" w:eastAsia="zh-CN" w:bidi="ar-SA"/>
                    </w:rPr>
                  </w:pP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2</w:t>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3</w:t>
                  </w:r>
                  <w:r>
                    <w:rPr>
                      <w:rFonts w:hint="eastAsia" w:ascii="宋体" w:hAnsi="宋体" w:eastAsia="宋体" w:cs="宋体"/>
                      <w:sz w:val="21"/>
                      <w:szCs w:val="21"/>
                      <w:highlight w:val="none"/>
                      <w:u w:val="single" w:color="auto"/>
                    </w:rPr>
                    <w:t>）</w:t>
                  </w:r>
                  <w:r>
                    <w:rPr>
                      <w:rFonts w:hint="eastAsia" w:ascii="宋体" w:hAnsi="宋体" w:eastAsia="宋体" w:cs="宋体"/>
                      <w:strike w:val="0"/>
                      <w:dstrike w:val="0"/>
                      <w:kern w:val="0"/>
                      <w:sz w:val="21"/>
                      <w:szCs w:val="21"/>
                      <w:highlight w:val="none"/>
                      <w:u w:val="single" w:color="auto"/>
                      <w:lang w:eastAsia="zh-CN"/>
                    </w:rPr>
                    <w:t>加强畜禽养殖污染防治。完善垃圾收集外运设施，建立外运处理制度，禁止在集镇、居民点及其附近任意焚烧；畜禽规模养殖场（小区）配套建设废弃物处理设施的比例达到</w:t>
                  </w:r>
                  <w:r>
                    <w:rPr>
                      <w:rFonts w:hint="eastAsia" w:ascii="Times New Roman" w:hAnsi="Times New Roman" w:eastAsia="宋体" w:cs="宋体"/>
                      <w:strike w:val="0"/>
                      <w:dstrike w:val="0"/>
                      <w:kern w:val="0"/>
                      <w:sz w:val="21"/>
                      <w:szCs w:val="21"/>
                      <w:highlight w:val="none"/>
                      <w:u w:val="single" w:color="auto"/>
                      <w:lang w:eastAsia="zh-CN"/>
                    </w:rPr>
                    <w:t>85</w:t>
                  </w:r>
                  <w:r>
                    <w:rPr>
                      <w:rFonts w:hint="eastAsia" w:ascii="宋体" w:hAnsi="宋体" w:eastAsia="宋体" w:cs="宋体"/>
                      <w:strike w:val="0"/>
                      <w:dstrike w:val="0"/>
                      <w:kern w:val="0"/>
                      <w:sz w:val="21"/>
                      <w:szCs w:val="21"/>
                      <w:highlight w:val="none"/>
                      <w:u w:val="single" w:color="auto"/>
                      <w:lang w:eastAsia="zh-CN"/>
                    </w:rPr>
                    <w:t>%以上。</w:t>
                  </w:r>
                </w:p>
              </w:tc>
              <w:tc>
                <w:tcPr>
                  <w:tcW w:w="1156" w:type="pct"/>
                  <w:tcBorders>
                    <w:tl2br w:val="nil"/>
                    <w:tr2bl w:val="nil"/>
                  </w:tcBorders>
                  <w:noWrap w:val="0"/>
                  <w:vAlign w:val="center"/>
                </w:tcPr>
                <w:p w14:paraId="43152FF9">
                  <w:pPr>
                    <w:pStyle w:val="33"/>
                    <w:rPr>
                      <w:rFonts w:hint="eastAsia" w:eastAsia="宋体"/>
                      <w:sz w:val="21"/>
                      <w:szCs w:val="21"/>
                      <w:u w:val="single" w:color="auto"/>
                      <w:lang w:val="en-US" w:eastAsia="zh-CN"/>
                    </w:rPr>
                  </w:pPr>
                  <w:r>
                    <w:rPr>
                      <w:rFonts w:hint="eastAsia"/>
                      <w:sz w:val="21"/>
                      <w:szCs w:val="21"/>
                      <w:u w:val="single" w:color="auto"/>
                      <w:lang w:val="en-US" w:eastAsia="zh-CN"/>
                    </w:rPr>
                    <w:t>项目不属于重点行业企业</w:t>
                  </w:r>
                </w:p>
              </w:tc>
              <w:tc>
                <w:tcPr>
                  <w:tcW w:w="299" w:type="pct"/>
                  <w:tcBorders>
                    <w:tl2br w:val="nil"/>
                    <w:tr2bl w:val="nil"/>
                  </w:tcBorders>
                  <w:noWrap w:val="0"/>
                  <w:vAlign w:val="center"/>
                </w:tcPr>
                <w:p w14:paraId="30D4C70D">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u w:val="single" w:color="auto"/>
                      <w:lang w:eastAsia="zh-CN"/>
                    </w:rPr>
                  </w:pPr>
                  <w:r>
                    <w:rPr>
                      <w:rFonts w:hint="eastAsia" w:ascii="Times New Roman" w:hAnsi="Times New Roman" w:eastAsia="宋体" w:cs="Times New Roman"/>
                      <w:color w:val="auto"/>
                      <w:sz w:val="21"/>
                      <w:szCs w:val="21"/>
                      <w:u w:val="single" w:color="auto"/>
                      <w:lang w:eastAsia="zh-CN"/>
                    </w:rPr>
                    <w:t>符合</w:t>
                  </w:r>
                </w:p>
              </w:tc>
            </w:tr>
            <w:tr w14:paraId="389437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902" w:type="pct"/>
                  <w:tcBorders>
                    <w:tl2br w:val="nil"/>
                    <w:tr2bl w:val="nil"/>
                  </w:tcBorders>
                  <w:noWrap w:val="0"/>
                  <w:vAlign w:val="center"/>
                </w:tcPr>
                <w:p w14:paraId="050CB32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single" w:color="auto"/>
                      <w:lang w:val="en-US" w:eastAsia="zh-CN" w:bidi="ar"/>
                    </w:rPr>
                  </w:pPr>
                  <w:r>
                    <w:rPr>
                      <w:rFonts w:hint="default" w:ascii="Times New Roman" w:hAnsi="Times New Roman" w:eastAsia="宋体" w:cs="Times New Roman"/>
                      <w:color w:val="auto"/>
                      <w:kern w:val="0"/>
                      <w:sz w:val="21"/>
                      <w:szCs w:val="21"/>
                      <w:u w:val="single" w:color="auto"/>
                    </w:rPr>
                    <w:t>环境风险防控</w:t>
                  </w:r>
                </w:p>
              </w:tc>
              <w:tc>
                <w:tcPr>
                  <w:tcW w:w="2641" w:type="pct"/>
                  <w:gridSpan w:val="2"/>
                  <w:tcBorders>
                    <w:tl2br w:val="nil"/>
                    <w:tr2bl w:val="nil"/>
                  </w:tcBorders>
                  <w:noWrap w:val="0"/>
                  <w:vAlign w:val="center"/>
                </w:tcPr>
                <w:p w14:paraId="19A45B77">
                  <w:pPr>
                    <w:keepNext w:val="0"/>
                    <w:keepLines w:val="0"/>
                    <w:widowControl w:val="0"/>
                    <w:suppressLineNumbers w:val="0"/>
                    <w:autoSpaceDE w:val="0"/>
                    <w:autoSpaceDN/>
                    <w:adjustRightInd w:val="0"/>
                    <w:spacing w:before="0" w:beforeAutospacing="0" w:after="0" w:afterAutospacing="0" w:line="340" w:lineRule="exact"/>
                    <w:ind w:left="0" w:leftChars="0" w:right="0" w:rightChars="0"/>
                    <w:jc w:val="both"/>
                    <w:rPr>
                      <w:rFonts w:hint="eastAsia" w:eastAsia="宋体"/>
                      <w:color w:val="auto"/>
                      <w:kern w:val="2"/>
                      <w:sz w:val="21"/>
                      <w:szCs w:val="21"/>
                      <w:u w:val="single" w:color="auto"/>
                      <w:lang w:val="en-US" w:eastAsia="zh-CN" w:bidi="ar-SA"/>
                    </w:rPr>
                  </w:pP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3</w:t>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1</w:t>
                  </w:r>
                  <w:r>
                    <w:rPr>
                      <w:rFonts w:hint="eastAsia" w:ascii="宋体" w:hAnsi="宋体" w:eastAsia="宋体" w:cs="宋体"/>
                      <w:sz w:val="21"/>
                      <w:szCs w:val="21"/>
                      <w:highlight w:val="none"/>
                      <w:u w:val="single" w:color="auto"/>
                    </w:rPr>
                    <w:t>）</w:t>
                  </w:r>
                  <w:r>
                    <w:rPr>
                      <w:rFonts w:hint="eastAsia" w:ascii="宋体" w:hAnsi="宋体" w:eastAsia="宋体" w:cs="宋体"/>
                      <w:strike w:val="0"/>
                      <w:dstrike w:val="0"/>
                      <w:kern w:val="0"/>
                      <w:sz w:val="21"/>
                      <w:szCs w:val="21"/>
                      <w:highlight w:val="none"/>
                      <w:u w:val="single" w:color="auto"/>
                    </w:rPr>
                    <w:t>加强生态环境保护日常监管和线下监控，健全环境风险预警防控体系，推进重点流域、重要水源地风险防控；建立生态环境风险隐患排查制度和重大生态环境风险源数据库，实行动态跟踪监控和管理；设立生态环境风险监督员，及时核查核实群众举报、舆情反映等渠道获取的问题，建立问题清单和整改清单，消除环境风险。</w:t>
                  </w:r>
                  <w:r>
                    <w:rPr>
                      <w:rFonts w:hint="eastAsia" w:ascii="宋体" w:hAnsi="宋体" w:eastAsia="宋体" w:cs="宋体"/>
                      <w:sz w:val="21"/>
                      <w:szCs w:val="21"/>
                      <w:highlight w:val="none"/>
                      <w:u w:val="single" w:color="auto"/>
                    </w:rPr>
                    <w:br w:type="textWrapping"/>
                  </w:r>
                  <w:r>
                    <w:rPr>
                      <w:rFonts w:hint="eastAsia" w:ascii="宋体" w:hAnsi="宋体" w:eastAsia="宋体" w:cs="宋体"/>
                      <w:strike w:val="0"/>
                      <w:dstrike w:val="0"/>
                      <w:sz w:val="21"/>
                      <w:szCs w:val="21"/>
                      <w:highlight w:val="none"/>
                      <w:u w:val="single" w:color="auto"/>
                    </w:rPr>
                    <w:t>（</w:t>
                  </w:r>
                  <w:r>
                    <w:rPr>
                      <w:rFonts w:hint="eastAsia" w:ascii="Times New Roman" w:hAnsi="Times New Roman" w:eastAsia="宋体" w:cs="宋体"/>
                      <w:strike w:val="0"/>
                      <w:dstrike w:val="0"/>
                      <w:sz w:val="21"/>
                      <w:szCs w:val="21"/>
                      <w:highlight w:val="none"/>
                      <w:u w:val="single" w:color="auto"/>
                    </w:rPr>
                    <w:t>3</w:t>
                  </w:r>
                  <w:r>
                    <w:rPr>
                      <w:rFonts w:hint="eastAsia" w:ascii="宋体" w:hAnsi="宋体" w:eastAsia="宋体" w:cs="宋体"/>
                      <w:strike w:val="0"/>
                      <w:dstrike w:val="0"/>
                      <w:sz w:val="21"/>
                      <w:szCs w:val="21"/>
                      <w:highlight w:val="none"/>
                      <w:u w:val="single" w:color="auto"/>
                    </w:rPr>
                    <w:t>.</w:t>
                  </w:r>
                  <w:r>
                    <w:rPr>
                      <w:rFonts w:hint="eastAsia" w:ascii="Times New Roman" w:hAnsi="Times New Roman" w:eastAsia="宋体" w:cs="宋体"/>
                      <w:strike w:val="0"/>
                      <w:dstrike w:val="0"/>
                      <w:sz w:val="21"/>
                      <w:szCs w:val="21"/>
                      <w:highlight w:val="none"/>
                      <w:u w:val="single" w:color="auto"/>
                    </w:rPr>
                    <w:t>2</w:t>
                  </w:r>
                  <w:r>
                    <w:rPr>
                      <w:rFonts w:hint="eastAsia" w:ascii="宋体" w:hAnsi="宋体" w:eastAsia="宋体" w:cs="宋体"/>
                      <w:strike w:val="0"/>
                      <w:dstrike w:val="0"/>
                      <w:sz w:val="21"/>
                      <w:szCs w:val="21"/>
                      <w:highlight w:val="none"/>
                      <w:u w:val="single" w:color="auto"/>
                    </w:rPr>
                    <w:t>）</w:t>
                  </w:r>
                  <w:r>
                    <w:rPr>
                      <w:rFonts w:hint="eastAsia" w:ascii="宋体" w:hAnsi="宋体" w:eastAsia="宋体" w:cs="宋体"/>
                      <w:bCs/>
                      <w:sz w:val="21"/>
                      <w:szCs w:val="21"/>
                      <w:highlight w:val="none"/>
                      <w:u w:val="single" w:color="auto"/>
                    </w:rPr>
                    <w:t>加强污染耕地环境风险控制</w:t>
                  </w:r>
                  <w:r>
                    <w:rPr>
                      <w:rFonts w:hint="eastAsia" w:ascii="宋体" w:hAnsi="宋体" w:eastAsia="宋体" w:cs="宋体"/>
                      <w:bCs/>
                      <w:sz w:val="21"/>
                      <w:szCs w:val="21"/>
                      <w:highlight w:val="none"/>
                      <w:u w:val="single" w:color="auto"/>
                      <w:lang w:eastAsia="zh-CN"/>
                    </w:rPr>
                    <w:t>。</w:t>
                  </w:r>
                  <w:r>
                    <w:rPr>
                      <w:rFonts w:hint="eastAsia" w:ascii="宋体" w:hAnsi="宋体" w:eastAsia="宋体" w:cs="宋体"/>
                      <w:bCs/>
                      <w:sz w:val="21"/>
                      <w:szCs w:val="21"/>
                      <w:highlight w:val="none"/>
                      <w:u w:val="single" w:color="auto"/>
                    </w:rPr>
                    <w:t>对已污染的耕地实施分类管理，采取农艺调控、种植业结构调整、土壤污染治理与修复等措施，确保耕地安全利用；污染严重且难以修复的耕地依法划定为农产品禁止生产区域。加强农用土地复垦风险评估管理。严格建设用地土壤污染风险管控</w:t>
                  </w:r>
                  <w:r>
                    <w:rPr>
                      <w:rFonts w:hint="eastAsia" w:ascii="宋体" w:hAnsi="宋体" w:eastAsia="宋体" w:cs="宋体"/>
                      <w:bCs/>
                      <w:sz w:val="21"/>
                      <w:szCs w:val="21"/>
                      <w:highlight w:val="none"/>
                      <w:u w:val="single" w:color="auto"/>
                      <w:lang w:eastAsia="zh-CN"/>
                    </w:rPr>
                    <w:t>。</w:t>
                  </w:r>
                  <w:r>
                    <w:rPr>
                      <w:rFonts w:hint="eastAsia" w:ascii="宋体" w:hAnsi="宋体" w:eastAsia="宋体" w:cs="宋体"/>
                      <w:bCs/>
                      <w:sz w:val="21"/>
                      <w:szCs w:val="21"/>
                      <w:highlight w:val="none"/>
                      <w:u w:val="single" w:color="auto"/>
                    </w:rPr>
                    <w:t>严控污染地块环境社会风险，以城镇人口密集区危险化学品生产企业搬迁改造以及长江经济带化工污染整治过程中的腾退企业用地为重点，结合建设用地治理修复和风险管控名录管理制度，进一步加强腾退土地污染风险管控，严格企业拆除活动的环境监管。</w:t>
                  </w:r>
                </w:p>
              </w:tc>
              <w:tc>
                <w:tcPr>
                  <w:tcW w:w="1156" w:type="pct"/>
                  <w:tcBorders>
                    <w:tl2br w:val="nil"/>
                    <w:tr2bl w:val="nil"/>
                  </w:tcBorders>
                  <w:noWrap w:val="0"/>
                  <w:vAlign w:val="center"/>
                </w:tcPr>
                <w:p w14:paraId="39211F19">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kern w:val="2"/>
                      <w:sz w:val="21"/>
                      <w:szCs w:val="21"/>
                      <w:u w:val="single" w:color="auto"/>
                      <w:lang w:val="en-US" w:eastAsia="zh-CN" w:bidi="ar-SA"/>
                    </w:rPr>
                  </w:pPr>
                  <w:r>
                    <w:rPr>
                      <w:rFonts w:hint="eastAsia"/>
                      <w:sz w:val="21"/>
                      <w:szCs w:val="21"/>
                      <w:u w:val="single" w:color="auto"/>
                    </w:rPr>
                    <w:t>环评要求企业后期落实应急预案制定，企业用地不属于污染地块，根据用地规划许可证，项目用地性质为公共设施用地，与用地性质相符</w:t>
                  </w:r>
                </w:p>
              </w:tc>
              <w:tc>
                <w:tcPr>
                  <w:tcW w:w="299" w:type="pct"/>
                  <w:tcBorders>
                    <w:tl2br w:val="nil"/>
                    <w:tr2bl w:val="nil"/>
                  </w:tcBorders>
                  <w:noWrap w:val="0"/>
                  <w:vAlign w:val="center"/>
                </w:tcPr>
                <w:p w14:paraId="47589669">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 w:val="21"/>
                      <w:szCs w:val="21"/>
                      <w:u w:val="single" w:color="auto"/>
                      <w:lang w:eastAsia="zh-CN"/>
                    </w:rPr>
                    <w:t>符合</w:t>
                  </w:r>
                </w:p>
              </w:tc>
            </w:tr>
            <w:tr w14:paraId="78DF23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9" w:hRule="atLeast"/>
              </w:trPr>
              <w:tc>
                <w:tcPr>
                  <w:tcW w:w="902" w:type="pct"/>
                  <w:tcBorders>
                    <w:tl2br w:val="nil"/>
                    <w:tr2bl w:val="nil"/>
                  </w:tcBorders>
                  <w:noWrap w:val="0"/>
                  <w:vAlign w:val="center"/>
                </w:tcPr>
                <w:p w14:paraId="240056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single" w:color="auto"/>
                      <w:lang w:val="en-US" w:eastAsia="zh-CN" w:bidi="ar"/>
                    </w:rPr>
                  </w:pPr>
                  <w:r>
                    <w:rPr>
                      <w:rFonts w:hint="default" w:ascii="Times New Roman" w:hAnsi="Times New Roman" w:eastAsia="宋体" w:cs="Times New Roman"/>
                      <w:color w:val="auto"/>
                      <w:kern w:val="0"/>
                      <w:sz w:val="21"/>
                      <w:szCs w:val="21"/>
                      <w:u w:val="single" w:color="auto"/>
                    </w:rPr>
                    <w:t>资源开发效率要求</w:t>
                  </w:r>
                </w:p>
              </w:tc>
              <w:tc>
                <w:tcPr>
                  <w:tcW w:w="2641" w:type="pct"/>
                  <w:gridSpan w:val="2"/>
                  <w:tcBorders>
                    <w:tl2br w:val="nil"/>
                    <w:tr2bl w:val="nil"/>
                  </w:tcBorders>
                  <w:noWrap w:val="0"/>
                  <w:vAlign w:val="center"/>
                </w:tcPr>
                <w:p w14:paraId="7A7ABDBB">
                  <w:pPr>
                    <w:keepNext w:val="0"/>
                    <w:keepLines w:val="0"/>
                    <w:widowControl w:val="0"/>
                    <w:suppressLineNumbers w:val="0"/>
                    <w:autoSpaceDE w:val="0"/>
                    <w:autoSpaceDN/>
                    <w:adjustRightInd w:val="0"/>
                    <w:spacing w:before="0" w:beforeAutospacing="0" w:after="0" w:afterAutospacing="0" w:line="340" w:lineRule="exact"/>
                    <w:ind w:left="0" w:leftChars="0" w:right="0" w:rightChars="0"/>
                    <w:jc w:val="both"/>
                    <w:rPr>
                      <w:rFonts w:hint="default" w:eastAsia="宋体"/>
                      <w:color w:val="auto"/>
                      <w:kern w:val="2"/>
                      <w:sz w:val="21"/>
                      <w:szCs w:val="21"/>
                      <w:u w:val="single" w:color="auto"/>
                      <w:lang w:val="en-US" w:eastAsia="zh-CN" w:bidi="ar-SA"/>
                    </w:rPr>
                  </w:pP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4</w:t>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1</w:t>
                  </w:r>
                  <w:r>
                    <w:rPr>
                      <w:rFonts w:hint="eastAsia" w:ascii="宋体" w:hAnsi="宋体" w:eastAsia="宋体" w:cs="宋体"/>
                      <w:sz w:val="21"/>
                      <w:szCs w:val="21"/>
                      <w:highlight w:val="none"/>
                      <w:u w:val="single" w:color="auto"/>
                    </w:rPr>
                    <w:t>）能源：</w:t>
                  </w:r>
                  <w:r>
                    <w:rPr>
                      <w:rFonts w:hint="eastAsia" w:ascii="宋体" w:hAnsi="宋体" w:eastAsia="宋体" w:cs="宋体"/>
                      <w:kern w:val="0"/>
                      <w:sz w:val="21"/>
                      <w:szCs w:val="21"/>
                      <w:highlight w:val="none"/>
                      <w:u w:val="single" w:color="auto"/>
                      <w:lang w:eastAsia="zh-CN"/>
                    </w:rPr>
                    <w:t>鼓励企业使用清洁能源，营造全社会节能减排和保护环境的良好氛围。激发用户侧可再生能源电力需求，鼓励用户绿色出行。</w:t>
                  </w:r>
                  <w:r>
                    <w:rPr>
                      <w:rFonts w:hint="eastAsia" w:ascii="宋体" w:hAnsi="宋体" w:eastAsia="宋体" w:cs="宋体"/>
                      <w:sz w:val="21"/>
                      <w:szCs w:val="21"/>
                      <w:highlight w:val="none"/>
                      <w:u w:val="single" w:color="auto"/>
                    </w:rPr>
                    <w:br w:type="textWrapping"/>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4</w:t>
                  </w:r>
                  <w:r>
                    <w:rPr>
                      <w:rFonts w:hint="eastAsia" w:ascii="宋体" w:hAnsi="宋体" w:eastAsia="宋体" w:cs="宋体"/>
                      <w:sz w:val="21"/>
                      <w:szCs w:val="21"/>
                      <w:highlight w:val="none"/>
                      <w:u w:val="single" w:color="auto"/>
                    </w:rPr>
                    <w:t>.</w:t>
                  </w:r>
                  <w:r>
                    <w:rPr>
                      <w:rFonts w:hint="eastAsia" w:ascii="Times New Roman" w:hAnsi="Times New Roman" w:eastAsia="宋体" w:cs="宋体"/>
                      <w:sz w:val="21"/>
                      <w:szCs w:val="21"/>
                      <w:highlight w:val="none"/>
                      <w:u w:val="single" w:color="auto"/>
                    </w:rPr>
                    <w:t>2</w:t>
                  </w:r>
                  <w:r>
                    <w:rPr>
                      <w:rFonts w:hint="eastAsia" w:ascii="宋体" w:hAnsi="宋体" w:eastAsia="宋体" w:cs="宋体"/>
                      <w:sz w:val="21"/>
                      <w:szCs w:val="21"/>
                      <w:highlight w:val="none"/>
                      <w:u w:val="single" w:color="auto"/>
                    </w:rPr>
                    <w:t>）水资源：</w:t>
                  </w:r>
                  <w:r>
                    <w:rPr>
                      <w:rFonts w:hint="eastAsia" w:ascii="宋体" w:hAnsi="宋体" w:eastAsia="宋体" w:cs="宋体"/>
                      <w:kern w:val="0"/>
                      <w:sz w:val="21"/>
                      <w:szCs w:val="21"/>
                      <w:highlight w:val="none"/>
                      <w:u w:val="single" w:color="auto"/>
                    </w:rPr>
                    <w:t>落实水资源消耗总量和强度双控行动，推动经济社会发展布局与水资源承载能力相适应</w:t>
                  </w:r>
                  <w:r>
                    <w:rPr>
                      <w:rFonts w:hint="eastAsia" w:ascii="宋体" w:hAnsi="宋体" w:eastAsia="宋体" w:cs="宋体"/>
                      <w:kern w:val="0"/>
                      <w:sz w:val="21"/>
                      <w:szCs w:val="21"/>
                      <w:highlight w:val="none"/>
                      <w:u w:val="single" w:color="auto"/>
                      <w:lang w:eastAsia="zh-CN"/>
                    </w:rPr>
                    <w:t>。</w:t>
                  </w:r>
                </w:p>
              </w:tc>
              <w:tc>
                <w:tcPr>
                  <w:tcW w:w="1156" w:type="pct"/>
                  <w:tcBorders>
                    <w:tl2br w:val="nil"/>
                    <w:tr2bl w:val="nil"/>
                  </w:tcBorders>
                  <w:noWrap w:val="0"/>
                  <w:vAlign w:val="center"/>
                </w:tcPr>
                <w:p w14:paraId="7F3BC8B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kern w:val="2"/>
                      <w:sz w:val="21"/>
                      <w:szCs w:val="21"/>
                      <w:u w:val="single" w:color="auto"/>
                      <w:lang w:val="en-US" w:eastAsia="zh-CN" w:bidi="ar-SA"/>
                    </w:rPr>
                  </w:pPr>
                  <w:r>
                    <w:rPr>
                      <w:rFonts w:hint="eastAsia"/>
                      <w:kern w:val="0"/>
                      <w:sz w:val="21"/>
                      <w:szCs w:val="21"/>
                      <w:u w:val="single" w:color="auto"/>
                      <w:lang w:eastAsia="zh-CN"/>
                    </w:rPr>
                    <w:t>项目使用能源为生物质成型颗粒、电力资源；本次升级改造更新设备，提升项目水资源利用率</w:t>
                  </w:r>
                </w:p>
              </w:tc>
              <w:tc>
                <w:tcPr>
                  <w:tcW w:w="299" w:type="pct"/>
                  <w:tcBorders>
                    <w:tl2br w:val="nil"/>
                    <w:tr2bl w:val="nil"/>
                  </w:tcBorders>
                  <w:noWrap w:val="0"/>
                  <w:vAlign w:val="center"/>
                </w:tcPr>
                <w:p w14:paraId="732AB0F0">
                  <w:pPr>
                    <w:keepNext w:val="0"/>
                    <w:keepLines w:val="0"/>
                    <w:pageBreakBefore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kern w:val="2"/>
                      <w:sz w:val="21"/>
                      <w:szCs w:val="21"/>
                      <w:u w:val="single" w:color="auto"/>
                      <w:lang w:val="en-US" w:eastAsia="zh-CN" w:bidi="ar-SA"/>
                    </w:rPr>
                  </w:pPr>
                  <w:r>
                    <w:rPr>
                      <w:rFonts w:hint="eastAsia" w:ascii="Times New Roman" w:hAnsi="Times New Roman" w:eastAsia="宋体" w:cs="Times New Roman"/>
                      <w:color w:val="auto"/>
                      <w:sz w:val="21"/>
                      <w:szCs w:val="21"/>
                      <w:u w:val="single" w:color="auto"/>
                      <w:lang w:eastAsia="zh-CN"/>
                    </w:rPr>
                    <w:t>符合</w:t>
                  </w:r>
                </w:p>
              </w:tc>
            </w:tr>
          </w:tbl>
          <w:p w14:paraId="4E205150">
            <w:pPr>
              <w:numPr>
                <w:ilvl w:val="0"/>
                <w:numId w:val="3"/>
              </w:numPr>
              <w:autoSpaceDE w:val="0"/>
              <w:autoSpaceDN w:val="0"/>
              <w:adjustRightInd w:val="0"/>
              <w:snapToGrid w:val="0"/>
              <w:spacing w:line="360" w:lineRule="auto"/>
              <w:ind w:firstLine="482" w:firstLineChars="200"/>
              <w:jc w:val="left"/>
              <w:rPr>
                <w:rFonts w:hint="eastAsia"/>
                <w:b/>
                <w:bCs/>
                <w:kern w:val="0"/>
                <w:sz w:val="24"/>
                <w:u w:val="single"/>
                <w:lang w:val="en-US" w:eastAsia="zh-CN"/>
              </w:rPr>
            </w:pPr>
            <w:r>
              <w:rPr>
                <w:rFonts w:hint="eastAsia"/>
                <w:b/>
                <w:bCs/>
                <w:kern w:val="0"/>
                <w:sz w:val="24"/>
                <w:u w:val="single"/>
                <w:lang w:val="en-US" w:eastAsia="zh-CN"/>
              </w:rPr>
              <w:t>与《衡阳县人民政府关于调整县城区及有关乡镇高污染燃料禁燃区的通告》符合性分析</w:t>
            </w:r>
          </w:p>
          <w:p w14:paraId="078DB618">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eastAsia" w:ascii="Times New Roman" w:hAnsi="Times New Roman" w:eastAsia="宋体" w:cs="Times New Roman"/>
                <w:kern w:val="2"/>
                <w:sz w:val="24"/>
                <w:szCs w:val="24"/>
                <w:u w:val="single"/>
                <w:lang w:val="en-US" w:eastAsia="zh-CN" w:bidi="ar-SA"/>
              </w:rPr>
              <w:t>一、衡阳县下列区域为高污染燃料禁燃区</w:t>
            </w:r>
          </w:p>
          <w:p w14:paraId="008BA023">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一）西渡镇、樟树乡和板市乡所辖用地（东至板市乡与石鼓区的边界，南至西渡镇、樟树乡与衡南的边界，西至西渡镇与岘山乡、演陂镇的边界，北至西渡镇与板市乡、栏垅乡、台源镇、杉桥镇、集兵镇的边界）及牛形山水库周边500米区域，总面积220平方公里（按照《高污染燃料目录》“Ⅲ类（严格）”进行管控）。</w:t>
            </w:r>
          </w:p>
          <w:p w14:paraId="1A947079">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（二）关市镇、井头镇、界牌镇、石市镇工业集聚区（按照 《高污染燃料目录》“Ⅱ类（较严）”进行管控）。</w:t>
            </w:r>
          </w:p>
          <w:p w14:paraId="2BAA7F41">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二、《高污染燃料目录》“IⅢI类（严格）”禁止燃用以下高污染燃料</w:t>
            </w:r>
          </w:p>
          <w:p w14:paraId="054C157D">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（一）煤炭及其制品（包括原煤、散煤、煤矸石、煤泥、煤粉、水煤浆、型煤、焦炭、兰炭等）</w:t>
            </w:r>
            <w:r>
              <w:rPr>
                <w:rFonts w:hint="eastAsia" w:ascii="Times New Roman" w:hAnsi="Times New Roman" w:cs="Times New Roman"/>
                <w:kern w:val="2"/>
                <w:sz w:val="24"/>
                <w:szCs w:val="24"/>
                <w:u w:val="single"/>
                <w:lang w:val="en-US" w:eastAsia="zh-CN" w:bidi="ar-SA"/>
              </w:rPr>
              <w:t>；</w:t>
            </w:r>
          </w:p>
          <w:p w14:paraId="027CFACE">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（二）石油焦、油页岩、原油、重油、渣油、煤焦油</w:t>
            </w:r>
            <w:r>
              <w:rPr>
                <w:rFonts w:hint="eastAsia" w:ascii="Times New Roman" w:hAnsi="Times New Roman" w:cs="Times New Roman"/>
                <w:kern w:val="2"/>
                <w:sz w:val="24"/>
                <w:szCs w:val="24"/>
                <w:u w:val="single"/>
                <w:lang w:val="en-US" w:eastAsia="zh-CN" w:bidi="ar-SA"/>
              </w:rPr>
              <w:t>；</w:t>
            </w:r>
            <w:r>
              <w:rPr>
                <w:rFonts w:hint="default" w:ascii="Times New Roman" w:hAnsi="Times New Roman" w:eastAsia="宋体" w:cs="Times New Roman"/>
                <w:kern w:val="2"/>
                <w:sz w:val="24"/>
                <w:szCs w:val="24"/>
                <w:u w:val="single"/>
                <w:lang w:val="en-US" w:eastAsia="zh-CN" w:bidi="ar-SA"/>
              </w:rPr>
              <w:t>（三）非专用锅炉或未配置高效除尘设施的专用锅炉燃用的生物质成型燃料。</w:t>
            </w:r>
          </w:p>
          <w:p w14:paraId="16C13DF2">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三、《高污染燃料目录》“ⅡI类（较严）”禁止燃用以下高污染燃料</w:t>
            </w:r>
          </w:p>
          <w:p w14:paraId="2E8DE73A">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（一）除单台出力大于35蒸吨/小时锅炉以外燃用的煤炭及其制品</w:t>
            </w:r>
            <w:r>
              <w:rPr>
                <w:rFonts w:hint="eastAsia" w:ascii="Times New Roman" w:hAnsi="Times New Roman" w:cs="Times New Roman"/>
                <w:kern w:val="2"/>
                <w:sz w:val="24"/>
                <w:szCs w:val="24"/>
                <w:u w:val="single"/>
                <w:lang w:val="en-US" w:eastAsia="zh-CN" w:bidi="ar-SA"/>
              </w:rPr>
              <w:t>；</w:t>
            </w:r>
          </w:p>
          <w:p w14:paraId="3121E7E6">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eastAsia"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（二）石油焦、油页岩、原油、重油、渣油、煤焦油。</w:t>
            </w:r>
          </w:p>
          <w:p w14:paraId="31A2E544">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default" w:ascii="Times New Roman" w:hAnsi="Times New Roman" w:eastAsia="宋体" w:cs="Times New Roman"/>
                <w:kern w:val="2"/>
                <w:sz w:val="24"/>
                <w:szCs w:val="24"/>
                <w:u w:val="single"/>
                <w:lang w:val="en-US" w:eastAsia="zh-CN" w:bidi="ar-SA"/>
              </w:rPr>
            </w:pPr>
            <w:r>
              <w:rPr>
                <w:rFonts w:hint="default" w:ascii="Times New Roman" w:hAnsi="Times New Roman" w:eastAsia="宋体" w:cs="Times New Roman"/>
                <w:kern w:val="2"/>
                <w:sz w:val="24"/>
                <w:szCs w:val="24"/>
                <w:u w:val="single"/>
                <w:lang w:val="en-US" w:eastAsia="zh-CN" w:bidi="ar-SA"/>
              </w:rPr>
              <w:t>四、在禁燃区燃气管网覆盖范围内新建、扩建的燃烧设施，应当使用电力、空气源、天然气、液化石油气等清洁能源。现有燃用天然气的设施改用生物质成型燃料，应当执行《锅炉大气污染物排放标准》（GB13271-2014）表2中新建燃气锅炉排放浓度限值标准。</w:t>
            </w:r>
          </w:p>
          <w:p w14:paraId="594B3FBB">
            <w:pPr>
              <w:pStyle w:val="16"/>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645"/>
              <w:jc w:val="both"/>
              <w:rPr>
                <w:rFonts w:hint="default" w:ascii="Times New Roman" w:hAnsi="Times New Roman" w:eastAsia="宋体" w:cs="Times New Roman"/>
                <w:kern w:val="2"/>
                <w:sz w:val="24"/>
                <w:szCs w:val="24"/>
                <w:u w:val="single"/>
                <w:lang w:val="en-US" w:eastAsia="zh-CN" w:bidi="ar-SA"/>
              </w:rPr>
            </w:pPr>
            <w:r>
              <w:rPr>
                <w:rFonts w:hint="eastAsia" w:ascii="Times New Roman" w:hAnsi="Times New Roman" w:cs="Times New Roman"/>
                <w:kern w:val="2"/>
                <w:sz w:val="24"/>
                <w:szCs w:val="24"/>
                <w:u w:val="single"/>
                <w:lang w:val="en-US" w:eastAsia="zh-CN" w:bidi="ar-SA"/>
              </w:rPr>
              <w:t>本项目位于西渡镇，</w:t>
            </w:r>
            <w:r>
              <w:rPr>
                <w:rFonts w:hint="default" w:ascii="Times New Roman" w:hAnsi="Times New Roman" w:eastAsia="宋体" w:cs="Times New Roman"/>
                <w:kern w:val="2"/>
                <w:sz w:val="24"/>
                <w:szCs w:val="24"/>
                <w:u w:val="single"/>
                <w:lang w:val="en-US" w:eastAsia="zh-CN" w:bidi="ar-SA"/>
              </w:rPr>
              <w:t>按照《高污染燃料目录》“Ⅲ类（严格）”进行管控</w:t>
            </w:r>
            <w:r>
              <w:rPr>
                <w:rFonts w:hint="eastAsia" w:ascii="Times New Roman" w:hAnsi="Times New Roman" w:cs="Times New Roman"/>
                <w:kern w:val="2"/>
                <w:sz w:val="24"/>
                <w:szCs w:val="24"/>
                <w:u w:val="single"/>
                <w:lang w:val="en-US" w:eastAsia="zh-CN" w:bidi="ar-SA"/>
              </w:rPr>
              <w:t>，项目设有一个4t/h的锅炉，采用生物质成型燃料，执行</w:t>
            </w:r>
            <w:r>
              <w:rPr>
                <w:rFonts w:hint="default" w:ascii="Times New Roman" w:hAnsi="Times New Roman" w:eastAsia="宋体" w:cs="Times New Roman"/>
                <w:kern w:val="2"/>
                <w:sz w:val="24"/>
                <w:szCs w:val="24"/>
                <w:u w:val="single"/>
                <w:lang w:val="en-US" w:eastAsia="zh-CN" w:bidi="ar-SA"/>
              </w:rPr>
              <w:t>《锅炉大气污染物排放标准》（GB13271-2014）表2中新建燃气锅炉排放浓度限值标准</w:t>
            </w:r>
            <w:r>
              <w:rPr>
                <w:rFonts w:hint="eastAsia" w:ascii="Times New Roman" w:hAnsi="Times New Roman" w:eastAsia="宋体" w:cs="Times New Roman"/>
                <w:kern w:val="2"/>
                <w:sz w:val="24"/>
                <w:szCs w:val="24"/>
                <w:u w:val="single"/>
                <w:lang w:val="en-US" w:eastAsia="zh-CN" w:bidi="ar-SA"/>
              </w:rPr>
              <w:t>。与《衡阳县人民政府关于调整县城区及有关乡镇高污染燃料禁燃区的通告》相符。</w:t>
            </w:r>
          </w:p>
          <w:p w14:paraId="43FA0C11">
            <w:pPr>
              <w:pStyle w:val="5"/>
              <w:numPr>
                <w:ilvl w:val="0"/>
                <w:numId w:val="0"/>
              </w:numPr>
              <w:rPr>
                <w:rFonts w:hint="eastAsia"/>
                <w:lang w:val="en-US" w:eastAsia="zh-CN"/>
              </w:rPr>
            </w:pPr>
          </w:p>
          <w:p w14:paraId="75779C57">
            <w:pPr>
              <w:autoSpaceDE w:val="0"/>
              <w:autoSpaceDN w:val="0"/>
              <w:adjustRightInd w:val="0"/>
              <w:snapToGrid w:val="0"/>
              <w:spacing w:line="360" w:lineRule="auto"/>
              <w:ind w:firstLine="482" w:firstLineChars="200"/>
              <w:jc w:val="left"/>
              <w:rPr>
                <w:b/>
                <w:bCs/>
                <w:kern w:val="0"/>
                <w:sz w:val="24"/>
              </w:rPr>
            </w:pPr>
            <w:r>
              <w:rPr>
                <w:rFonts w:hint="eastAsia"/>
                <w:b/>
                <w:bCs/>
                <w:kern w:val="0"/>
                <w:sz w:val="24"/>
                <w:lang w:val="en-US" w:eastAsia="zh-CN"/>
              </w:rPr>
              <w:t>6</w:t>
            </w:r>
            <w:r>
              <w:rPr>
                <w:rFonts w:hint="eastAsia"/>
                <w:b/>
                <w:bCs/>
                <w:kern w:val="0"/>
                <w:sz w:val="24"/>
              </w:rPr>
              <w:t>、</w:t>
            </w:r>
            <w:r>
              <w:rPr>
                <w:rFonts w:hint="eastAsia"/>
                <w:b/>
                <w:sz w:val="24"/>
              </w:rPr>
              <w:t>与《洗染业管理办法》工艺要求符合性分析</w:t>
            </w:r>
          </w:p>
          <w:p w14:paraId="08B5AD6B">
            <w:pPr>
              <w:pStyle w:val="31"/>
              <w:ind w:firstLine="480"/>
            </w:pPr>
            <w:r>
              <w:rPr>
                <w:rFonts w:hint="eastAsia"/>
              </w:rPr>
              <w:t>《洗染业管理办法》第十八条要求“医疗卫生单位的纺织品洗涤应在专门洗涤厂区、专用洗涤设备进行加工，并严格进行消毒处理。经消毒、洗涤后的纺织品应符合国家有关卫生要求。”</w:t>
            </w:r>
          </w:p>
          <w:p w14:paraId="3CCAA66E">
            <w:pPr>
              <w:pStyle w:val="31"/>
              <w:ind w:firstLine="480"/>
            </w:pPr>
            <w:r>
              <w:rPr>
                <w:rFonts w:hint="eastAsia"/>
              </w:rPr>
              <w:t>本项目主要进行酒店布草洗涤与医疗机布草洗涤分别在不同的生产车间内进行，两者设备不共用，项目采用专门的洗脱机等设备进行医用织物的洗涤消毒工作，确保消毒、洗涤后的纺织品符合国家有关卫生要求。因此，本项目洗涤工艺与《洗染业管理办法》要求相符。</w:t>
            </w:r>
          </w:p>
          <w:p w14:paraId="455FAB84">
            <w:pPr>
              <w:pStyle w:val="31"/>
              <w:ind w:firstLine="480"/>
              <w:rPr>
                <w:rFonts w:hint="eastAsia"/>
              </w:rPr>
            </w:pPr>
            <w:r>
              <w:rPr>
                <w:rFonts w:hint="eastAsia"/>
              </w:rPr>
              <w:t>另外评价要求：建设单位应严格按照《洗染业管理办法》及其他相关法律法规要求进行医疗机构织物洗涤和消毒工作。</w:t>
            </w:r>
          </w:p>
          <w:p w14:paraId="29C5FE4D">
            <w:pPr>
              <w:autoSpaceDE w:val="0"/>
              <w:autoSpaceDN w:val="0"/>
              <w:adjustRightInd w:val="0"/>
              <w:snapToGrid w:val="0"/>
              <w:spacing w:line="360" w:lineRule="auto"/>
              <w:ind w:firstLine="482" w:firstLineChars="200"/>
              <w:jc w:val="left"/>
              <w:rPr>
                <w:rFonts w:hint="eastAsia" w:ascii="Times New Roman" w:hAnsi="Times New Roman" w:eastAsia="宋体" w:cs="Times New Roman"/>
                <w:b/>
                <w:sz w:val="24"/>
              </w:rPr>
            </w:pPr>
            <w:r>
              <w:rPr>
                <w:rFonts w:hint="eastAsia" w:cs="Times New Roman"/>
                <w:b/>
                <w:sz w:val="24"/>
                <w:lang w:val="en-US" w:eastAsia="zh-CN"/>
              </w:rPr>
              <w:t>7</w:t>
            </w:r>
            <w:r>
              <w:rPr>
                <w:rFonts w:hint="eastAsia" w:ascii="Times New Roman" w:hAnsi="Times New Roman" w:eastAsia="宋体" w:cs="Times New Roman"/>
                <w:b/>
                <w:sz w:val="24"/>
                <w:lang w:val="en-US" w:eastAsia="zh-CN"/>
              </w:rPr>
              <w:t>、</w:t>
            </w:r>
            <w:r>
              <w:rPr>
                <w:rFonts w:hint="eastAsia" w:ascii="Times New Roman" w:hAnsi="Times New Roman" w:eastAsia="宋体" w:cs="Times New Roman"/>
                <w:b/>
                <w:sz w:val="24"/>
                <w:lang w:eastAsia="zh-CN"/>
              </w:rPr>
              <w:t>《医院医用织物洗涤消毒技术规范》（WS/T 508-2016）</w:t>
            </w:r>
            <w:r>
              <w:rPr>
                <w:rFonts w:hint="eastAsia" w:ascii="Times New Roman" w:hAnsi="Times New Roman" w:eastAsia="宋体" w:cs="Times New Roman"/>
                <w:b/>
                <w:sz w:val="24"/>
              </w:rPr>
              <w:t>要求符合性分析</w:t>
            </w:r>
          </w:p>
          <w:p w14:paraId="3E57BDB5">
            <w:pPr>
              <w:spacing w:line="360" w:lineRule="auto"/>
              <w:ind w:firstLine="480" w:firstLineChars="200"/>
              <w:rPr>
                <w:sz w:val="24"/>
              </w:rPr>
            </w:pPr>
            <w:r>
              <w:rPr>
                <w:rFonts w:hint="eastAsia"/>
                <w:sz w:val="24"/>
              </w:rPr>
              <w:t>根据《医院医用织物洗涤消毒技术规范》（WS/T 508-2016）的相关要求，本项目与《医院医用织物洗涤消毒技术规范》的相符性分析见下表。</w:t>
            </w:r>
          </w:p>
          <w:p w14:paraId="68118981">
            <w:pPr>
              <w:pStyle w:val="30"/>
              <w:spacing w:before="120" w:after="120"/>
              <w:rPr>
                <w:szCs w:val="21"/>
              </w:rPr>
            </w:pPr>
            <w:r>
              <w:rPr>
                <w:rFonts w:hint="eastAsia"/>
                <w:szCs w:val="21"/>
              </w:rPr>
              <w:t>表1-</w:t>
            </w:r>
            <w:r>
              <w:rPr>
                <w:rFonts w:hint="eastAsia"/>
                <w:szCs w:val="21"/>
                <w:lang w:val="en-US" w:eastAsia="zh-CN"/>
              </w:rPr>
              <w:t>5</w:t>
            </w:r>
            <w:r>
              <w:rPr>
                <w:szCs w:val="21"/>
              </w:rPr>
              <w:t xml:space="preserve">  </w:t>
            </w:r>
            <w:r>
              <w:rPr>
                <w:rFonts w:hint="eastAsia"/>
                <w:szCs w:val="21"/>
              </w:rPr>
              <w:t>本项目与《医院医用织物洗涤消毒技术规范》的相符性</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54"/>
              <w:gridCol w:w="4650"/>
              <w:gridCol w:w="2691"/>
              <w:gridCol w:w="898"/>
            </w:tblGrid>
            <w:tr w14:paraId="77CB4F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vAlign w:val="center"/>
                </w:tcPr>
                <w:p w14:paraId="39183C47">
                  <w:pPr>
                    <w:jc w:val="center"/>
                    <w:rPr>
                      <w:rFonts w:ascii="Calibri" w:hAnsi="Calibri"/>
                      <w:b/>
                      <w:bCs/>
                      <w:sz w:val="21"/>
                      <w:szCs w:val="21"/>
                    </w:rPr>
                  </w:pPr>
                  <w:r>
                    <w:rPr>
                      <w:rFonts w:hint="eastAsia" w:ascii="Calibri" w:hAnsi="Calibri"/>
                      <w:b/>
                      <w:bCs/>
                      <w:sz w:val="21"/>
                      <w:szCs w:val="21"/>
                    </w:rPr>
                    <w:t>管控纬度</w:t>
                  </w:r>
                </w:p>
              </w:tc>
              <w:tc>
                <w:tcPr>
                  <w:tcW w:w="2501" w:type="pct"/>
                  <w:vAlign w:val="center"/>
                </w:tcPr>
                <w:p w14:paraId="28965976">
                  <w:pPr>
                    <w:jc w:val="center"/>
                    <w:rPr>
                      <w:rFonts w:ascii="Calibri" w:hAnsi="Calibri"/>
                      <w:b/>
                      <w:bCs/>
                      <w:sz w:val="21"/>
                      <w:szCs w:val="21"/>
                    </w:rPr>
                  </w:pPr>
                  <w:r>
                    <w:rPr>
                      <w:rFonts w:hint="eastAsia" w:ascii="Calibri" w:hAnsi="Calibri"/>
                      <w:b/>
                      <w:bCs/>
                      <w:sz w:val="21"/>
                      <w:szCs w:val="21"/>
                    </w:rPr>
                    <w:t>管控要求</w:t>
                  </w:r>
                </w:p>
              </w:tc>
              <w:tc>
                <w:tcPr>
                  <w:tcW w:w="1447" w:type="pct"/>
                  <w:vAlign w:val="center"/>
                </w:tcPr>
                <w:p w14:paraId="177D27E2">
                  <w:pPr>
                    <w:jc w:val="center"/>
                    <w:rPr>
                      <w:rFonts w:ascii="Calibri" w:hAnsi="Calibri"/>
                      <w:b/>
                      <w:bCs/>
                      <w:sz w:val="21"/>
                      <w:szCs w:val="21"/>
                    </w:rPr>
                  </w:pPr>
                  <w:r>
                    <w:rPr>
                      <w:rFonts w:hint="eastAsia" w:ascii="Calibri" w:hAnsi="Calibri"/>
                      <w:b/>
                      <w:bCs/>
                      <w:sz w:val="21"/>
                      <w:szCs w:val="21"/>
                    </w:rPr>
                    <w:t>本项目情况</w:t>
                  </w:r>
                </w:p>
              </w:tc>
              <w:tc>
                <w:tcPr>
                  <w:tcW w:w="483" w:type="pct"/>
                  <w:vAlign w:val="center"/>
                </w:tcPr>
                <w:p w14:paraId="390206E6">
                  <w:pPr>
                    <w:jc w:val="center"/>
                    <w:rPr>
                      <w:rFonts w:ascii="Calibri" w:hAnsi="Calibri"/>
                      <w:b/>
                      <w:bCs/>
                      <w:sz w:val="21"/>
                      <w:szCs w:val="21"/>
                    </w:rPr>
                  </w:pPr>
                  <w:r>
                    <w:rPr>
                      <w:rFonts w:hint="eastAsia" w:ascii="Calibri" w:hAnsi="Calibri"/>
                      <w:b/>
                      <w:bCs/>
                      <w:sz w:val="21"/>
                      <w:szCs w:val="21"/>
                    </w:rPr>
                    <w:t>相符性</w:t>
                  </w:r>
                </w:p>
              </w:tc>
            </w:tr>
            <w:tr w14:paraId="67FB67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vAlign w:val="center"/>
                </w:tcPr>
                <w:p w14:paraId="09F63DB5">
                  <w:pPr>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布局设置</w:t>
                  </w:r>
                </w:p>
              </w:tc>
              <w:tc>
                <w:tcPr>
                  <w:tcW w:w="2501" w:type="pct"/>
                  <w:vAlign w:val="center"/>
                </w:tcPr>
                <w:p w14:paraId="0C0154D6">
                  <w:pPr>
                    <w:jc w:val="center"/>
                    <w:rPr>
                      <w:rFonts w:hint="eastAsia"/>
                      <w:color w:val="auto"/>
                      <w:sz w:val="21"/>
                      <w:szCs w:val="21"/>
                    </w:rPr>
                  </w:pPr>
                  <w:r>
                    <w:rPr>
                      <w:rFonts w:hint="default" w:ascii="Calibri" w:hAnsi="Calibri" w:cs="Calibri"/>
                      <w:color w:val="auto"/>
                      <w:sz w:val="21"/>
                      <w:szCs w:val="21"/>
                    </w:rPr>
                    <w:t>①</w:t>
                  </w:r>
                  <w:r>
                    <w:rPr>
                      <w:rFonts w:hint="eastAsia"/>
                      <w:color w:val="auto"/>
                      <w:sz w:val="21"/>
                      <w:szCs w:val="21"/>
                    </w:rPr>
                    <w:t>分别设有污染区和清洁区</w:t>
                  </w:r>
                  <w:r>
                    <w:rPr>
                      <w:rFonts w:hint="eastAsia"/>
                      <w:color w:val="auto"/>
                      <w:sz w:val="21"/>
                      <w:szCs w:val="21"/>
                      <w:lang w:eastAsia="zh-CN"/>
                    </w:rPr>
                    <w:t>，</w:t>
                  </w:r>
                  <w:r>
                    <w:rPr>
                      <w:rFonts w:hint="eastAsia"/>
                      <w:color w:val="auto"/>
                      <w:sz w:val="21"/>
                      <w:szCs w:val="21"/>
                    </w:rPr>
                    <w:t>两区之间应有完全隔离屏障。清洁区内可设置部分隔离屏障。</w:t>
                  </w:r>
                </w:p>
                <w:p w14:paraId="3EEADE2C">
                  <w:pPr>
                    <w:jc w:val="center"/>
                    <w:rPr>
                      <w:color w:val="auto"/>
                      <w:sz w:val="21"/>
                      <w:szCs w:val="21"/>
                    </w:rPr>
                  </w:pPr>
                  <w:r>
                    <w:rPr>
                      <w:rFonts w:hint="default" w:ascii="Calibri" w:hAnsi="Calibri" w:cs="Calibri"/>
                      <w:color w:val="auto"/>
                      <w:sz w:val="21"/>
                      <w:szCs w:val="21"/>
                    </w:rPr>
                    <w:t>②</w:t>
                  </w:r>
                  <w:r>
                    <w:rPr>
                      <w:rFonts w:hint="eastAsia"/>
                      <w:color w:val="auto"/>
                      <w:sz w:val="21"/>
                      <w:szCs w:val="21"/>
                    </w:rPr>
                    <w:t>污染区应设医用织物接收与分拣间、洗涤消毒间、污车存放处和更衣</w:t>
                  </w:r>
                  <w:r>
                    <w:rPr>
                      <w:rFonts w:hint="eastAsia"/>
                      <w:color w:val="auto"/>
                      <w:sz w:val="21"/>
                      <w:szCs w:val="21"/>
                      <w:lang w:eastAsia="zh-CN"/>
                    </w:rPr>
                    <w:t>（</w:t>
                  </w:r>
                  <w:r>
                    <w:rPr>
                      <w:rFonts w:hint="eastAsia"/>
                      <w:color w:val="auto"/>
                      <w:sz w:val="21"/>
                      <w:szCs w:val="21"/>
                    </w:rPr>
                    <w:t>缓冲</w:t>
                  </w:r>
                  <w:r>
                    <w:rPr>
                      <w:rFonts w:hint="eastAsia"/>
                      <w:color w:val="auto"/>
                      <w:sz w:val="21"/>
                      <w:szCs w:val="21"/>
                      <w:lang w:eastAsia="zh-CN"/>
                    </w:rPr>
                    <w:t>）</w:t>
                  </w:r>
                  <w:r>
                    <w:rPr>
                      <w:rFonts w:hint="eastAsia"/>
                      <w:color w:val="auto"/>
                      <w:sz w:val="21"/>
                      <w:szCs w:val="21"/>
                    </w:rPr>
                    <w:t>间等</w:t>
                  </w:r>
                  <w:r>
                    <w:rPr>
                      <w:rFonts w:hint="eastAsia"/>
                      <w:color w:val="auto"/>
                      <w:sz w:val="21"/>
                      <w:szCs w:val="21"/>
                      <w:lang w:eastAsia="zh-CN"/>
                    </w:rPr>
                    <w:t>；</w:t>
                  </w:r>
                  <w:r>
                    <w:rPr>
                      <w:rFonts w:hint="eastAsia"/>
                      <w:color w:val="auto"/>
                      <w:sz w:val="21"/>
                      <w:szCs w:val="21"/>
                    </w:rPr>
                    <w:t>清洁区应设烘干间</w:t>
                  </w:r>
                  <w:r>
                    <w:rPr>
                      <w:rFonts w:hint="eastAsia"/>
                      <w:color w:val="auto"/>
                      <w:sz w:val="21"/>
                      <w:szCs w:val="21"/>
                      <w:lang w:eastAsia="zh-CN"/>
                    </w:rPr>
                    <w:t>，</w:t>
                  </w:r>
                  <w:r>
                    <w:rPr>
                      <w:rFonts w:hint="eastAsia"/>
                      <w:color w:val="auto"/>
                      <w:sz w:val="21"/>
                      <w:szCs w:val="21"/>
                    </w:rPr>
                    <w:t>熨烫、修补、折叠间</w:t>
                  </w:r>
                  <w:r>
                    <w:rPr>
                      <w:rFonts w:hint="eastAsia"/>
                      <w:color w:val="auto"/>
                      <w:sz w:val="21"/>
                      <w:szCs w:val="21"/>
                      <w:lang w:eastAsia="zh-CN"/>
                    </w:rPr>
                    <w:t>，</w:t>
                  </w:r>
                  <w:r>
                    <w:rPr>
                      <w:rFonts w:hint="eastAsia"/>
                      <w:color w:val="auto"/>
                      <w:sz w:val="21"/>
                      <w:szCs w:val="21"/>
                    </w:rPr>
                    <w:t>储存与发放间、洁车存放处及更衣</w:t>
                  </w:r>
                  <w:r>
                    <w:rPr>
                      <w:rFonts w:hint="eastAsia"/>
                      <w:color w:val="auto"/>
                      <w:sz w:val="21"/>
                      <w:szCs w:val="21"/>
                      <w:lang w:eastAsia="zh-CN"/>
                    </w:rPr>
                    <w:t>（</w:t>
                  </w:r>
                  <w:r>
                    <w:rPr>
                      <w:rFonts w:hint="eastAsia"/>
                      <w:color w:val="auto"/>
                      <w:sz w:val="21"/>
                      <w:szCs w:val="21"/>
                    </w:rPr>
                    <w:t>缓冲</w:t>
                  </w:r>
                  <w:r>
                    <w:rPr>
                      <w:rFonts w:hint="eastAsia"/>
                      <w:color w:val="auto"/>
                      <w:sz w:val="21"/>
                      <w:szCs w:val="21"/>
                      <w:lang w:eastAsia="zh-CN"/>
                    </w:rPr>
                    <w:t>）</w:t>
                  </w:r>
                  <w:r>
                    <w:rPr>
                      <w:rFonts w:hint="eastAsia"/>
                      <w:color w:val="auto"/>
                      <w:sz w:val="21"/>
                      <w:szCs w:val="21"/>
                    </w:rPr>
                    <w:t>间等。</w:t>
                  </w:r>
                </w:p>
              </w:tc>
              <w:tc>
                <w:tcPr>
                  <w:tcW w:w="1447" w:type="pct"/>
                  <w:vAlign w:val="center"/>
                </w:tcPr>
                <w:p w14:paraId="2C7326A4">
                  <w:pPr>
                    <w:jc w:val="center"/>
                    <w:rPr>
                      <w:rFonts w:hint="default" w:ascii="Calibri" w:hAnsi="Calibri" w:eastAsia="宋体"/>
                      <w:color w:val="auto"/>
                      <w:sz w:val="21"/>
                      <w:szCs w:val="21"/>
                      <w:lang w:val="en-US" w:eastAsia="zh-CN"/>
                    </w:rPr>
                  </w:pPr>
                  <w:r>
                    <w:rPr>
                      <w:rFonts w:hint="eastAsia" w:ascii="Calibri" w:hAnsi="Calibri"/>
                      <w:color w:val="auto"/>
                      <w:sz w:val="21"/>
                      <w:szCs w:val="21"/>
                      <w:lang w:val="en-US" w:eastAsia="zh-CN"/>
                    </w:rPr>
                    <w:t>项目医疗布草洗涤分感染织物洗涤区、其他织物洗涤区；分别划分污染区、清洁区、设隔离屏障；</w:t>
                  </w:r>
                </w:p>
              </w:tc>
              <w:tc>
                <w:tcPr>
                  <w:tcW w:w="483" w:type="pct"/>
                  <w:vAlign w:val="center"/>
                </w:tcPr>
                <w:p w14:paraId="6F653E09">
                  <w:pPr>
                    <w:jc w:val="center"/>
                    <w:rPr>
                      <w:rFonts w:ascii="Calibri" w:hAnsi="Calibri"/>
                      <w:color w:val="auto"/>
                      <w:sz w:val="21"/>
                      <w:szCs w:val="21"/>
                    </w:rPr>
                  </w:pPr>
                  <w:r>
                    <w:rPr>
                      <w:rFonts w:ascii="Calibri" w:hAnsi="Calibri"/>
                      <w:color w:val="auto"/>
                      <w:sz w:val="21"/>
                      <w:szCs w:val="21"/>
                    </w:rPr>
                    <w:t>相符</w:t>
                  </w:r>
                </w:p>
              </w:tc>
            </w:tr>
            <w:tr w14:paraId="05C7C5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vAlign w:val="center"/>
                </w:tcPr>
                <w:p w14:paraId="427A1FE7">
                  <w:pPr>
                    <w:jc w:val="center"/>
                    <w:rPr>
                      <w:rFonts w:ascii="Calibri" w:hAnsi="Calibri"/>
                      <w:sz w:val="21"/>
                      <w:szCs w:val="21"/>
                    </w:rPr>
                  </w:pPr>
                  <w:r>
                    <w:rPr>
                      <w:rFonts w:hint="eastAsia" w:ascii="Calibri" w:hAnsi="Calibri"/>
                      <w:sz w:val="21"/>
                      <w:szCs w:val="21"/>
                    </w:rPr>
                    <w:t>医用织物分类收集、运送与储存操作要求</w:t>
                  </w:r>
                </w:p>
              </w:tc>
              <w:tc>
                <w:tcPr>
                  <w:tcW w:w="2501" w:type="pct"/>
                  <w:vAlign w:val="center"/>
                </w:tcPr>
                <w:p w14:paraId="660C4F25">
                  <w:pPr>
                    <w:adjustRightInd w:val="0"/>
                    <w:jc w:val="center"/>
                    <w:rPr>
                      <w:rFonts w:hint="eastAsia" w:ascii="Calibri" w:hAnsi="Calibri"/>
                      <w:color w:val="auto"/>
                      <w:sz w:val="21"/>
                      <w:szCs w:val="21"/>
                    </w:rPr>
                  </w:pPr>
                  <w:r>
                    <w:rPr>
                      <w:rFonts w:hint="default" w:ascii="Calibri" w:hAnsi="Calibri" w:cs="Calibri"/>
                      <w:color w:val="auto"/>
                      <w:sz w:val="21"/>
                      <w:szCs w:val="21"/>
                    </w:rPr>
                    <w:t>①</w:t>
                  </w:r>
                  <w:r>
                    <w:rPr>
                      <w:rFonts w:hint="eastAsia" w:ascii="Calibri" w:hAnsi="Calibri"/>
                      <w:color w:val="auto"/>
                      <w:sz w:val="21"/>
                      <w:szCs w:val="21"/>
                    </w:rPr>
                    <w:t>社会化洗涤服务机构应分别配置运送使用后医用织物和清洁织物的专用车辆和容器</w:t>
                  </w:r>
                  <w:r>
                    <w:rPr>
                      <w:rFonts w:hint="eastAsia" w:ascii="Calibri" w:hAnsi="Calibri"/>
                      <w:color w:val="auto"/>
                      <w:sz w:val="21"/>
                      <w:szCs w:val="21"/>
                      <w:lang w:eastAsia="zh-CN"/>
                    </w:rPr>
                    <w:t>，</w:t>
                  </w:r>
                  <w:r>
                    <w:rPr>
                      <w:rFonts w:hint="eastAsia" w:ascii="Calibri" w:hAnsi="Calibri"/>
                      <w:color w:val="auto"/>
                      <w:sz w:val="21"/>
                      <w:szCs w:val="21"/>
                    </w:rPr>
                    <w:t>采取封闭方式运送</w:t>
                  </w:r>
                  <w:r>
                    <w:rPr>
                      <w:rFonts w:hint="eastAsia" w:ascii="Calibri" w:hAnsi="Calibri"/>
                      <w:color w:val="auto"/>
                      <w:sz w:val="21"/>
                      <w:szCs w:val="21"/>
                      <w:lang w:eastAsia="zh-CN"/>
                    </w:rPr>
                    <w:t>，</w:t>
                  </w:r>
                  <w:r>
                    <w:rPr>
                      <w:rFonts w:hint="eastAsia" w:ascii="Calibri" w:hAnsi="Calibri"/>
                      <w:color w:val="auto"/>
                      <w:sz w:val="21"/>
                      <w:szCs w:val="21"/>
                    </w:rPr>
                    <w:t>不应与非医用织物混装混运</w:t>
                  </w:r>
                  <w:r>
                    <w:rPr>
                      <w:rFonts w:hint="eastAsia" w:ascii="Calibri" w:hAnsi="Calibri"/>
                      <w:color w:val="auto"/>
                      <w:sz w:val="21"/>
                      <w:szCs w:val="21"/>
                      <w:lang w:eastAsia="zh-CN"/>
                    </w:rPr>
                    <w:t>；</w:t>
                  </w:r>
                  <w:r>
                    <w:rPr>
                      <w:rFonts w:hint="eastAsia" w:ascii="Calibri" w:hAnsi="Calibri"/>
                      <w:color w:val="auto"/>
                      <w:sz w:val="21"/>
                      <w:szCs w:val="21"/>
                    </w:rPr>
                    <w:t>对运送车辆和容器的清洗消毒要求按 5.2.1执行。</w:t>
                  </w:r>
                </w:p>
                <w:p w14:paraId="4BFF860E">
                  <w:pPr>
                    <w:adjustRightInd w:val="0"/>
                    <w:jc w:val="center"/>
                    <w:rPr>
                      <w:rFonts w:hint="eastAsia" w:ascii="Calibri" w:hAnsi="Calibri"/>
                      <w:color w:val="auto"/>
                      <w:sz w:val="21"/>
                      <w:szCs w:val="21"/>
                    </w:rPr>
                  </w:pPr>
                  <w:r>
                    <w:rPr>
                      <w:rFonts w:hint="default" w:ascii="Calibri" w:hAnsi="Calibri" w:cs="Calibri"/>
                      <w:color w:val="auto"/>
                      <w:sz w:val="21"/>
                      <w:szCs w:val="21"/>
                    </w:rPr>
                    <w:t>②</w:t>
                  </w:r>
                  <w:r>
                    <w:rPr>
                      <w:rFonts w:hint="eastAsia" w:ascii="Calibri" w:hAnsi="Calibri"/>
                      <w:color w:val="auto"/>
                      <w:sz w:val="21"/>
                      <w:szCs w:val="21"/>
                    </w:rPr>
                    <w:t>使用后医用织物和清洁织物应分别存放于使用后医用织物接收区</w:t>
                  </w:r>
                  <w:r>
                    <w:rPr>
                      <w:rFonts w:hint="eastAsia" w:ascii="Calibri" w:hAnsi="Calibri"/>
                      <w:color w:val="auto"/>
                      <w:sz w:val="21"/>
                      <w:szCs w:val="21"/>
                      <w:lang w:eastAsia="zh-CN"/>
                    </w:rPr>
                    <w:t>（</w:t>
                  </w:r>
                  <w:r>
                    <w:rPr>
                      <w:rFonts w:hint="eastAsia" w:ascii="Calibri" w:hAnsi="Calibri"/>
                      <w:color w:val="auto"/>
                      <w:sz w:val="21"/>
                      <w:szCs w:val="21"/>
                    </w:rPr>
                    <w:t>间</w:t>
                  </w:r>
                  <w:r>
                    <w:rPr>
                      <w:rFonts w:hint="eastAsia" w:ascii="Calibri" w:hAnsi="Calibri"/>
                      <w:color w:val="auto"/>
                      <w:sz w:val="21"/>
                      <w:szCs w:val="21"/>
                      <w:lang w:eastAsia="zh-CN"/>
                    </w:rPr>
                    <w:t>）</w:t>
                  </w:r>
                  <w:r>
                    <w:rPr>
                      <w:rFonts w:hint="eastAsia" w:ascii="Calibri" w:hAnsi="Calibri"/>
                      <w:color w:val="auto"/>
                      <w:sz w:val="21"/>
                      <w:szCs w:val="21"/>
                    </w:rPr>
                    <w:t>和清洁织物储存发放区</w:t>
                  </w:r>
                  <w:r>
                    <w:rPr>
                      <w:rFonts w:hint="eastAsia" w:ascii="Calibri" w:hAnsi="Calibri"/>
                      <w:color w:val="auto"/>
                      <w:sz w:val="21"/>
                      <w:szCs w:val="21"/>
                      <w:lang w:eastAsia="zh-CN"/>
                    </w:rPr>
                    <w:t>（</w:t>
                  </w:r>
                  <w:r>
                    <w:rPr>
                      <w:rFonts w:hint="eastAsia" w:ascii="Calibri" w:hAnsi="Calibri"/>
                      <w:color w:val="auto"/>
                      <w:sz w:val="21"/>
                      <w:szCs w:val="21"/>
                    </w:rPr>
                    <w:t>间</w:t>
                  </w:r>
                  <w:r>
                    <w:rPr>
                      <w:rFonts w:hint="eastAsia" w:ascii="Calibri" w:hAnsi="Calibri"/>
                      <w:color w:val="auto"/>
                      <w:sz w:val="21"/>
                      <w:szCs w:val="21"/>
                      <w:lang w:eastAsia="zh-CN"/>
                    </w:rPr>
                    <w:t>）</w:t>
                  </w:r>
                  <w:r>
                    <w:rPr>
                      <w:rFonts w:hint="eastAsia" w:ascii="Calibri" w:hAnsi="Calibri"/>
                      <w:color w:val="auto"/>
                      <w:sz w:val="21"/>
                      <w:szCs w:val="21"/>
                    </w:rPr>
                    <w:t>的专用盛装容器、柜架内</w:t>
                  </w:r>
                  <w:r>
                    <w:rPr>
                      <w:rFonts w:hint="eastAsia" w:ascii="Calibri" w:hAnsi="Calibri"/>
                      <w:color w:val="auto"/>
                      <w:sz w:val="21"/>
                      <w:szCs w:val="21"/>
                      <w:lang w:eastAsia="zh-CN"/>
                    </w:rPr>
                    <w:t>，</w:t>
                  </w:r>
                  <w:r>
                    <w:rPr>
                      <w:rFonts w:hint="eastAsia" w:ascii="Calibri" w:hAnsi="Calibri"/>
                      <w:color w:val="auto"/>
                      <w:sz w:val="21"/>
                      <w:szCs w:val="21"/>
                    </w:rPr>
                    <w:t>并有明显标识</w:t>
                  </w:r>
                  <w:r>
                    <w:rPr>
                      <w:rFonts w:hint="eastAsia" w:ascii="Calibri" w:hAnsi="Calibri"/>
                      <w:color w:val="auto"/>
                      <w:sz w:val="21"/>
                      <w:szCs w:val="21"/>
                      <w:lang w:eastAsia="zh-CN"/>
                    </w:rPr>
                    <w:t>；</w:t>
                  </w:r>
                  <w:r>
                    <w:rPr>
                      <w:rFonts w:hint="eastAsia" w:ascii="Calibri" w:hAnsi="Calibri"/>
                      <w:color w:val="auto"/>
                      <w:sz w:val="21"/>
                      <w:szCs w:val="21"/>
                    </w:rPr>
                    <w:t>清洁织物存放架或柜应距地面高度 20cm~25 cm</w:t>
                  </w:r>
                  <w:r>
                    <w:rPr>
                      <w:rFonts w:hint="eastAsia" w:ascii="Calibri" w:hAnsi="Calibri"/>
                      <w:color w:val="auto"/>
                      <w:sz w:val="21"/>
                      <w:szCs w:val="21"/>
                      <w:lang w:eastAsia="zh-CN"/>
                    </w:rPr>
                    <w:t>，</w:t>
                  </w:r>
                  <w:r>
                    <w:rPr>
                      <w:rFonts w:hint="eastAsia" w:ascii="Calibri" w:hAnsi="Calibri"/>
                      <w:color w:val="auto"/>
                      <w:sz w:val="21"/>
                      <w:szCs w:val="21"/>
                    </w:rPr>
                    <w:t>离墙5 cm~10cm</w:t>
                  </w:r>
                  <w:r>
                    <w:rPr>
                      <w:rFonts w:hint="eastAsia" w:ascii="Calibri" w:hAnsi="Calibri"/>
                      <w:color w:val="auto"/>
                      <w:sz w:val="21"/>
                      <w:szCs w:val="21"/>
                      <w:lang w:eastAsia="zh-CN"/>
                    </w:rPr>
                    <w:t>，</w:t>
                  </w:r>
                  <w:r>
                    <w:rPr>
                      <w:rFonts w:hint="eastAsia" w:ascii="Calibri" w:hAnsi="Calibri"/>
                      <w:color w:val="auto"/>
                      <w:sz w:val="21"/>
                      <w:szCs w:val="21"/>
                    </w:rPr>
                    <w:t>距天花板&gt;50 cm。</w:t>
                  </w:r>
                </w:p>
                <w:p w14:paraId="6AED8458">
                  <w:pPr>
                    <w:adjustRightInd w:val="0"/>
                    <w:jc w:val="center"/>
                    <w:rPr>
                      <w:rFonts w:hint="eastAsia" w:ascii="Calibri" w:hAnsi="Calibri"/>
                      <w:color w:val="auto"/>
                      <w:sz w:val="21"/>
                      <w:szCs w:val="21"/>
                    </w:rPr>
                  </w:pPr>
                  <w:r>
                    <w:rPr>
                      <w:rFonts w:hint="default" w:ascii="Calibri" w:hAnsi="Calibri" w:cs="Calibri"/>
                      <w:color w:val="auto"/>
                      <w:sz w:val="21"/>
                      <w:szCs w:val="21"/>
                    </w:rPr>
                    <w:t>③</w:t>
                  </w:r>
                  <w:r>
                    <w:rPr>
                      <w:rFonts w:hint="eastAsia" w:ascii="Calibri" w:hAnsi="Calibri"/>
                      <w:color w:val="auto"/>
                      <w:sz w:val="21"/>
                      <w:szCs w:val="21"/>
                    </w:rPr>
                    <w:t>使用后医用织物的暂存时间不应超过 48 h</w:t>
                  </w:r>
                  <w:r>
                    <w:rPr>
                      <w:rFonts w:hint="eastAsia" w:ascii="Calibri" w:hAnsi="Calibri"/>
                      <w:color w:val="auto"/>
                      <w:sz w:val="21"/>
                      <w:szCs w:val="21"/>
                      <w:lang w:eastAsia="zh-CN"/>
                    </w:rPr>
                    <w:t>；</w:t>
                  </w:r>
                  <w:r>
                    <w:rPr>
                      <w:rFonts w:hint="eastAsia" w:ascii="Calibri" w:hAnsi="Calibri"/>
                      <w:color w:val="auto"/>
                      <w:sz w:val="21"/>
                      <w:szCs w:val="21"/>
                    </w:rPr>
                    <w:t>清洁织物存放时间过久</w:t>
                  </w:r>
                  <w:r>
                    <w:rPr>
                      <w:rFonts w:hint="eastAsia" w:ascii="Calibri" w:hAnsi="Calibri"/>
                      <w:color w:val="auto"/>
                      <w:sz w:val="21"/>
                      <w:szCs w:val="21"/>
                      <w:lang w:eastAsia="zh-CN"/>
                    </w:rPr>
                    <w:t>，</w:t>
                  </w:r>
                  <w:r>
                    <w:rPr>
                      <w:rFonts w:hint="eastAsia" w:ascii="Calibri" w:hAnsi="Calibri"/>
                      <w:color w:val="auto"/>
                      <w:sz w:val="21"/>
                      <w:szCs w:val="21"/>
                    </w:rPr>
                    <w:t>如发现有污渍、异味等感官问题应重新洗涤。</w:t>
                  </w:r>
                </w:p>
              </w:tc>
              <w:tc>
                <w:tcPr>
                  <w:tcW w:w="1447" w:type="pct"/>
                  <w:vAlign w:val="center"/>
                </w:tcPr>
                <w:p w14:paraId="1A5E5A4F">
                  <w:pPr>
                    <w:rPr>
                      <w:rFonts w:hint="default" w:ascii="Calibri" w:hAnsi="Calibri"/>
                      <w:color w:val="auto"/>
                      <w:sz w:val="21"/>
                      <w:szCs w:val="21"/>
                      <w:lang w:val="en-US" w:eastAsia="zh-CN"/>
                    </w:rPr>
                  </w:pPr>
                  <w:r>
                    <w:rPr>
                      <w:rFonts w:hint="eastAsia" w:ascii="Calibri" w:hAnsi="Calibri"/>
                      <w:color w:val="auto"/>
                      <w:sz w:val="21"/>
                      <w:szCs w:val="21"/>
                      <w:lang w:val="en-US" w:eastAsia="zh-CN"/>
                    </w:rPr>
                    <w:t>项目对</w:t>
                  </w:r>
                  <w:r>
                    <w:rPr>
                      <w:rFonts w:hint="eastAsia" w:ascii="Calibri" w:hAnsi="Calibri"/>
                      <w:color w:val="auto"/>
                      <w:sz w:val="21"/>
                      <w:szCs w:val="21"/>
                    </w:rPr>
                    <w:t>使用后医用织物</w:t>
                  </w:r>
                  <w:r>
                    <w:rPr>
                      <w:rFonts w:hint="eastAsia" w:ascii="Calibri" w:hAnsi="Calibri"/>
                      <w:color w:val="auto"/>
                      <w:sz w:val="21"/>
                      <w:szCs w:val="21"/>
                      <w:lang w:eastAsia="zh-CN"/>
                    </w:rPr>
                    <w:t>、</w:t>
                  </w:r>
                  <w:r>
                    <w:rPr>
                      <w:rFonts w:hint="eastAsia" w:ascii="Calibri" w:hAnsi="Calibri"/>
                      <w:color w:val="auto"/>
                      <w:sz w:val="21"/>
                      <w:szCs w:val="21"/>
                    </w:rPr>
                    <w:t>清洁织物</w:t>
                  </w:r>
                  <w:r>
                    <w:rPr>
                      <w:rFonts w:hint="eastAsia" w:ascii="Calibri" w:hAnsi="Calibri"/>
                      <w:color w:val="auto"/>
                      <w:sz w:val="21"/>
                      <w:szCs w:val="21"/>
                      <w:lang w:val="en-US" w:eastAsia="zh-CN"/>
                    </w:rPr>
                    <w:t>设置专用的</w:t>
                  </w:r>
                  <w:r>
                    <w:rPr>
                      <w:rFonts w:hint="eastAsia" w:ascii="Calibri" w:hAnsi="Calibri"/>
                      <w:color w:val="auto"/>
                      <w:sz w:val="21"/>
                      <w:szCs w:val="21"/>
                    </w:rPr>
                    <w:t>车辆和容器</w:t>
                  </w:r>
                  <w:r>
                    <w:rPr>
                      <w:rFonts w:hint="eastAsia" w:ascii="Calibri" w:hAnsi="Calibri"/>
                      <w:color w:val="auto"/>
                      <w:sz w:val="21"/>
                      <w:szCs w:val="21"/>
                      <w:lang w:eastAsia="zh-CN"/>
                    </w:rPr>
                    <w:t>，</w:t>
                  </w:r>
                  <w:r>
                    <w:rPr>
                      <w:rFonts w:hint="eastAsia" w:ascii="Calibri" w:hAnsi="Calibri"/>
                      <w:color w:val="auto"/>
                      <w:sz w:val="21"/>
                      <w:szCs w:val="21"/>
                    </w:rPr>
                    <w:t>采取封闭方式运送</w:t>
                  </w:r>
                  <w:r>
                    <w:rPr>
                      <w:rFonts w:hint="eastAsia" w:ascii="Calibri" w:hAnsi="Calibri"/>
                      <w:color w:val="auto"/>
                      <w:sz w:val="21"/>
                      <w:szCs w:val="21"/>
                      <w:lang w:eastAsia="zh-CN"/>
                    </w:rPr>
                    <w:t>，</w:t>
                  </w:r>
                  <w:r>
                    <w:rPr>
                      <w:rFonts w:hint="eastAsia" w:ascii="Calibri" w:hAnsi="Calibri"/>
                      <w:color w:val="auto"/>
                      <w:sz w:val="21"/>
                      <w:szCs w:val="21"/>
                      <w:lang w:val="en-US" w:eastAsia="zh-CN"/>
                    </w:rPr>
                    <w:t>且与酒店布草部分分开进行运输；车间内，根据相关规定设专用的收集容器；医疗布草洗涤后在厂区暂存时间布草过48h。</w:t>
                  </w:r>
                </w:p>
              </w:tc>
              <w:tc>
                <w:tcPr>
                  <w:tcW w:w="483" w:type="pct"/>
                  <w:vAlign w:val="center"/>
                </w:tcPr>
                <w:p w14:paraId="056BDFC7">
                  <w:pPr>
                    <w:jc w:val="center"/>
                    <w:rPr>
                      <w:rFonts w:ascii="Calibri" w:hAnsi="Calibri"/>
                      <w:color w:val="auto"/>
                      <w:sz w:val="21"/>
                      <w:szCs w:val="21"/>
                    </w:rPr>
                  </w:pPr>
                  <w:r>
                    <w:rPr>
                      <w:rFonts w:ascii="Calibri" w:hAnsi="Calibri"/>
                      <w:color w:val="auto"/>
                      <w:sz w:val="21"/>
                      <w:szCs w:val="21"/>
                    </w:rPr>
                    <w:t>相符</w:t>
                  </w:r>
                </w:p>
              </w:tc>
            </w:tr>
            <w:tr w14:paraId="0FEC0A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7" w:type="pct"/>
                  <w:vAlign w:val="center"/>
                </w:tcPr>
                <w:p w14:paraId="76FCC07D">
                  <w:pPr>
                    <w:jc w:val="center"/>
                    <w:rPr>
                      <w:rFonts w:ascii="Calibri" w:hAnsi="Calibri"/>
                      <w:color w:val="auto"/>
                      <w:kern w:val="0"/>
                      <w:sz w:val="21"/>
                      <w:szCs w:val="21"/>
                    </w:rPr>
                  </w:pPr>
                  <w:r>
                    <w:rPr>
                      <w:rFonts w:hint="eastAsia" w:ascii="Calibri" w:hAnsi="Calibri"/>
                      <w:color w:val="auto"/>
                      <w:kern w:val="0"/>
                      <w:sz w:val="21"/>
                      <w:szCs w:val="21"/>
                    </w:rPr>
                    <w:t>洗涤、消毒的原则与方法</w:t>
                  </w:r>
                </w:p>
              </w:tc>
              <w:tc>
                <w:tcPr>
                  <w:tcW w:w="2501" w:type="pct"/>
                  <w:vAlign w:val="center"/>
                </w:tcPr>
                <w:p w14:paraId="36C5C55A">
                  <w:pPr>
                    <w:jc w:val="center"/>
                    <w:rPr>
                      <w:rFonts w:hint="eastAsia" w:eastAsiaTheme="minorEastAsia"/>
                      <w:color w:val="auto"/>
                      <w:sz w:val="21"/>
                      <w:szCs w:val="21"/>
                      <w:lang w:eastAsia="zh-CN"/>
                    </w:rPr>
                  </w:pPr>
                  <w:r>
                    <w:rPr>
                      <w:rFonts w:hint="default" w:ascii="Calibri" w:hAnsi="Calibri" w:cs="Calibri" w:eastAsiaTheme="minorEastAsia"/>
                      <w:color w:val="auto"/>
                      <w:sz w:val="21"/>
                      <w:szCs w:val="21"/>
                    </w:rPr>
                    <w:t>①</w:t>
                  </w:r>
                  <w:r>
                    <w:rPr>
                      <w:rFonts w:hint="eastAsia" w:eastAsiaTheme="minorEastAsia"/>
                      <w:color w:val="auto"/>
                      <w:sz w:val="21"/>
                      <w:szCs w:val="21"/>
                    </w:rPr>
                    <w:t>根据医用织物使用对象和污渍性质、程度不同</w:t>
                  </w:r>
                  <w:r>
                    <w:rPr>
                      <w:rFonts w:hint="eastAsia" w:eastAsiaTheme="minorEastAsia"/>
                      <w:color w:val="auto"/>
                      <w:sz w:val="21"/>
                      <w:szCs w:val="21"/>
                      <w:lang w:eastAsia="zh-CN"/>
                    </w:rPr>
                    <w:t>，</w:t>
                  </w:r>
                  <w:r>
                    <w:rPr>
                      <w:rFonts w:hint="eastAsia" w:eastAsiaTheme="minorEastAsia"/>
                      <w:color w:val="auto"/>
                      <w:sz w:val="21"/>
                      <w:szCs w:val="21"/>
                    </w:rPr>
                    <w:t>应分机或分批洗涤、消毒</w:t>
                  </w:r>
                  <w:r>
                    <w:rPr>
                      <w:rFonts w:hint="eastAsia" w:eastAsiaTheme="minorEastAsia"/>
                      <w:color w:val="auto"/>
                      <w:sz w:val="21"/>
                      <w:szCs w:val="21"/>
                      <w:lang w:eastAsia="zh-CN"/>
                    </w:rPr>
                    <w:t>；</w:t>
                  </w:r>
                </w:p>
                <w:p w14:paraId="76944D2F">
                  <w:pPr>
                    <w:jc w:val="center"/>
                    <w:rPr>
                      <w:rFonts w:hint="eastAsia" w:eastAsiaTheme="minorEastAsia"/>
                      <w:color w:val="auto"/>
                      <w:sz w:val="21"/>
                      <w:szCs w:val="21"/>
                      <w:lang w:eastAsia="zh-CN"/>
                    </w:rPr>
                  </w:pPr>
                  <w:r>
                    <w:rPr>
                      <w:rFonts w:hint="default" w:ascii="Calibri" w:hAnsi="Calibri" w:cs="Calibri" w:eastAsiaTheme="minorEastAsia"/>
                      <w:color w:val="auto"/>
                      <w:sz w:val="21"/>
                      <w:szCs w:val="21"/>
                      <w:lang w:val="en-US" w:eastAsia="zh-CN"/>
                    </w:rPr>
                    <w:t>②</w:t>
                  </w:r>
                  <w:r>
                    <w:rPr>
                      <w:rFonts w:hint="eastAsia" w:eastAsiaTheme="minorEastAsia"/>
                      <w:color w:val="auto"/>
                      <w:sz w:val="21"/>
                      <w:szCs w:val="21"/>
                      <w:lang w:val="en-US" w:eastAsia="zh-CN"/>
                    </w:rPr>
                    <w:t>感染性</w:t>
                  </w:r>
                  <w:r>
                    <w:rPr>
                      <w:rFonts w:hint="eastAsia" w:eastAsiaTheme="minorEastAsia"/>
                      <w:color w:val="auto"/>
                      <w:sz w:val="21"/>
                      <w:szCs w:val="21"/>
                    </w:rPr>
                    <w:t>织物</w:t>
                  </w:r>
                  <w:r>
                    <w:rPr>
                      <w:rFonts w:hint="eastAsia" w:eastAsiaTheme="minorEastAsia"/>
                      <w:color w:val="auto"/>
                      <w:sz w:val="21"/>
                      <w:szCs w:val="21"/>
                      <w:lang w:eastAsia="zh-CN"/>
                    </w:rPr>
                    <w:t>宜采用专机洗涤、消毒，首选热洗涤方法；有条件的宜使用卫生隔离式洗涤设备；</w:t>
                  </w:r>
                </w:p>
                <w:p w14:paraId="1D11F7A1">
                  <w:pPr>
                    <w:jc w:val="center"/>
                    <w:rPr>
                      <w:rFonts w:hint="eastAsia" w:eastAsiaTheme="minorEastAsia"/>
                      <w:color w:val="auto"/>
                      <w:sz w:val="21"/>
                      <w:szCs w:val="21"/>
                      <w:lang w:eastAsia="zh-CN"/>
                    </w:rPr>
                  </w:pPr>
                  <w:r>
                    <w:rPr>
                      <w:rFonts w:hint="default" w:ascii="Calibri" w:hAnsi="Calibri" w:cs="Calibri" w:eastAsiaTheme="minorEastAsia"/>
                      <w:color w:val="auto"/>
                      <w:sz w:val="21"/>
                      <w:szCs w:val="21"/>
                      <w:lang w:eastAsia="zh-CN"/>
                    </w:rPr>
                    <w:t>③</w:t>
                  </w:r>
                  <w:r>
                    <w:rPr>
                      <w:rFonts w:hint="eastAsia" w:eastAsiaTheme="minorEastAsia"/>
                      <w:color w:val="auto"/>
                      <w:sz w:val="21"/>
                      <w:szCs w:val="21"/>
                      <w:lang w:eastAsia="zh-CN"/>
                    </w:rPr>
                    <w:t>每天工作结束后应对污染区的地面与台面采用有效消毒剂进行拖洗/擦拭，消毒方法参照WS/T 367 执行；清洁区的地面、台面、墙面应每天保洁。</w:t>
                  </w:r>
                </w:p>
              </w:tc>
              <w:tc>
                <w:tcPr>
                  <w:tcW w:w="1447" w:type="pct"/>
                  <w:vAlign w:val="center"/>
                </w:tcPr>
                <w:p w14:paraId="345AD43F">
                  <w:pPr>
                    <w:jc w:val="center"/>
                    <w:rPr>
                      <w:rFonts w:hint="default" w:ascii="Calibri" w:hAnsi="Calibri"/>
                      <w:color w:val="auto"/>
                      <w:sz w:val="21"/>
                      <w:szCs w:val="21"/>
                      <w:lang w:val="en-US"/>
                    </w:rPr>
                  </w:pPr>
                  <w:r>
                    <w:rPr>
                      <w:rFonts w:hint="eastAsia"/>
                      <w:bCs/>
                      <w:color w:val="auto"/>
                      <w:sz w:val="21"/>
                      <w:szCs w:val="21"/>
                      <w:lang w:val="en-US" w:eastAsia="zh-CN"/>
                    </w:rPr>
                    <w:t>项目感染性织物设单独</w:t>
                  </w:r>
                  <w:r>
                    <w:rPr>
                      <w:rFonts w:hint="eastAsia" w:eastAsiaTheme="minorEastAsia"/>
                      <w:color w:val="auto"/>
                      <w:sz w:val="21"/>
                      <w:szCs w:val="21"/>
                      <w:lang w:eastAsia="zh-CN"/>
                    </w:rPr>
                    <w:t>隔离式洗涤设备，</w:t>
                  </w:r>
                  <w:r>
                    <w:rPr>
                      <w:rFonts w:hint="eastAsia" w:eastAsiaTheme="minorEastAsia"/>
                      <w:color w:val="auto"/>
                      <w:sz w:val="21"/>
                      <w:szCs w:val="21"/>
                      <w:lang w:val="en-US" w:eastAsia="zh-CN"/>
                    </w:rPr>
                    <w:t>采用</w:t>
                  </w:r>
                  <w:r>
                    <w:rPr>
                      <w:rFonts w:hint="eastAsia" w:eastAsiaTheme="minorEastAsia"/>
                      <w:color w:val="auto"/>
                      <w:sz w:val="21"/>
                      <w:szCs w:val="21"/>
                      <w:lang w:eastAsia="zh-CN"/>
                    </w:rPr>
                    <w:t>洗涤方法；</w:t>
                  </w:r>
                  <w:r>
                    <w:rPr>
                      <w:rFonts w:hint="eastAsia" w:eastAsiaTheme="minorEastAsia"/>
                      <w:color w:val="auto"/>
                      <w:sz w:val="21"/>
                      <w:szCs w:val="21"/>
                      <w:lang w:val="en-US" w:eastAsia="zh-CN"/>
                    </w:rPr>
                    <w:t>其他织物分批次洗涤消毒；每天工作区域用84消毒液进行消毒；厂房内设紫外线消毒。</w:t>
                  </w:r>
                </w:p>
              </w:tc>
              <w:tc>
                <w:tcPr>
                  <w:tcW w:w="483" w:type="pct"/>
                  <w:vAlign w:val="center"/>
                </w:tcPr>
                <w:p w14:paraId="02C0D06B">
                  <w:pPr>
                    <w:jc w:val="center"/>
                    <w:rPr>
                      <w:rFonts w:ascii="Calibri" w:hAnsi="Calibri"/>
                      <w:color w:val="auto"/>
                      <w:sz w:val="21"/>
                      <w:szCs w:val="21"/>
                    </w:rPr>
                  </w:pPr>
                  <w:r>
                    <w:rPr>
                      <w:rFonts w:ascii="Calibri" w:hAnsi="Calibri"/>
                      <w:color w:val="auto"/>
                      <w:sz w:val="21"/>
                      <w:szCs w:val="21"/>
                    </w:rPr>
                    <w:t>相符</w:t>
                  </w:r>
                </w:p>
              </w:tc>
            </w:tr>
          </w:tbl>
          <w:p w14:paraId="357E06B3">
            <w:pPr>
              <w:pStyle w:val="31"/>
              <w:ind w:firstLine="480"/>
              <w:rPr>
                <w:rFonts w:hint="default" w:eastAsia="宋体"/>
                <w:lang w:val="en-US" w:eastAsia="zh-CN"/>
              </w:rPr>
            </w:pPr>
          </w:p>
        </w:tc>
      </w:tr>
    </w:tbl>
    <w:p w14:paraId="1C6B157A">
      <w:pPr>
        <w:spacing w:line="360" w:lineRule="auto"/>
        <w:outlineLvl w:val="9"/>
        <w:rPr>
          <w:rFonts w:eastAsia="黑体"/>
          <w:sz w:val="30"/>
        </w:rPr>
        <w:sectPr>
          <w:footerReference r:id="rId5" w:type="default"/>
          <w:pgSz w:w="11906" w:h="16838"/>
          <w:pgMar w:top="1440" w:right="1080" w:bottom="1440" w:left="1080" w:header="851" w:footer="1077" w:gutter="0"/>
          <w:pgNumType w:start="1"/>
          <w:cols w:space="720" w:num="1"/>
          <w:docGrid w:linePitch="312" w:charSpace="0"/>
        </w:sectPr>
      </w:pPr>
    </w:p>
    <w:p w14:paraId="5AAEDB7D">
      <w:pPr>
        <w:pStyle w:val="2"/>
        <w:rPr>
          <w:color w:val="auto"/>
        </w:rPr>
      </w:pPr>
      <w:bookmarkStart w:id="7" w:name="_Toc30157"/>
      <w:r>
        <w:rPr>
          <w:rFonts w:hint="eastAsia"/>
          <w:color w:val="auto"/>
        </w:rPr>
        <w:t>二、建设项目工程分析</w:t>
      </w:r>
      <w:bookmarkEnd w:id="7"/>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37"/>
        <w:gridCol w:w="9525"/>
      </w:tblGrid>
      <w:tr w14:paraId="79FF11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Align w:val="center"/>
          </w:tcPr>
          <w:p w14:paraId="01274213">
            <w:pPr>
              <w:pStyle w:val="16"/>
              <w:adjustRightInd w:val="0"/>
              <w:snapToGrid w:val="0"/>
              <w:spacing w:before="0" w:beforeAutospacing="0" w:after="0" w:afterAutospacing="0"/>
              <w:jc w:val="center"/>
              <w:rPr>
                <w:rFonts w:hint="eastAsia" w:cs="宋体"/>
                <w:b/>
                <w:szCs w:val="24"/>
              </w:rPr>
            </w:pPr>
            <w:r>
              <w:rPr>
                <w:rFonts w:hint="eastAsia" w:cs="宋体"/>
                <w:b/>
                <w:szCs w:val="24"/>
              </w:rPr>
              <w:t>建设内容</w:t>
            </w:r>
          </w:p>
        </w:tc>
        <w:tc>
          <w:tcPr>
            <w:tcW w:w="0" w:type="auto"/>
          </w:tcPr>
          <w:p w14:paraId="5A1E8973">
            <w:pPr>
              <w:adjustRightInd w:val="0"/>
              <w:snapToGrid w:val="0"/>
              <w:spacing w:line="360" w:lineRule="auto"/>
              <w:ind w:firstLine="482" w:firstLineChars="200"/>
              <w:rPr>
                <w:b/>
                <w:bCs/>
                <w:sz w:val="24"/>
              </w:rPr>
            </w:pPr>
            <w:r>
              <w:rPr>
                <w:b/>
                <w:bCs/>
                <w:sz w:val="24"/>
              </w:rPr>
              <w:t>1、</w:t>
            </w:r>
            <w:r>
              <w:rPr>
                <w:rFonts w:hint="eastAsia"/>
                <w:b/>
                <w:bCs/>
                <w:sz w:val="24"/>
              </w:rPr>
              <w:t>项目由来</w:t>
            </w:r>
          </w:p>
          <w:p w14:paraId="608BE39B">
            <w:pPr>
              <w:adjustRightInd w:val="0"/>
              <w:snapToGrid w:val="0"/>
              <w:spacing w:line="360" w:lineRule="auto"/>
              <w:ind w:firstLine="480" w:firstLineChars="200"/>
              <w:rPr>
                <w:color w:val="auto"/>
                <w:sz w:val="24"/>
              </w:rPr>
            </w:pPr>
            <w:r>
              <w:rPr>
                <w:rFonts w:hint="eastAsia"/>
                <w:sz w:val="24"/>
              </w:rPr>
              <w:t>湖南康康生物科技有限公司</w:t>
            </w:r>
            <w:r>
              <w:rPr>
                <w:sz w:val="24"/>
              </w:rPr>
              <w:t>位于</w:t>
            </w:r>
            <w:r>
              <w:rPr>
                <w:rFonts w:hint="eastAsia"/>
                <w:sz w:val="24"/>
                <w:lang w:eastAsia="zh-CN"/>
              </w:rPr>
              <w:t>湖南省衡阳市衡阳县西渡镇豆陂村</w:t>
            </w:r>
            <w:r>
              <w:rPr>
                <w:sz w:val="24"/>
              </w:rPr>
              <w:t>，主要从事</w:t>
            </w:r>
            <w:r>
              <w:rPr>
                <w:rFonts w:hint="eastAsia"/>
                <w:sz w:val="24"/>
              </w:rPr>
              <w:t>碗筷、布草洗涤</w:t>
            </w:r>
            <w:r>
              <w:rPr>
                <w:sz w:val="24"/>
              </w:rPr>
              <w:t>，于201</w:t>
            </w:r>
            <w:r>
              <w:rPr>
                <w:rFonts w:hint="eastAsia"/>
                <w:sz w:val="24"/>
              </w:rPr>
              <w:t>4</w:t>
            </w:r>
            <w:r>
              <w:rPr>
                <w:sz w:val="24"/>
              </w:rPr>
              <w:t>年</w:t>
            </w:r>
            <w:r>
              <w:rPr>
                <w:rFonts w:hint="eastAsia"/>
                <w:sz w:val="24"/>
              </w:rPr>
              <w:t>10</w:t>
            </w:r>
            <w:r>
              <w:rPr>
                <w:sz w:val="24"/>
              </w:rPr>
              <w:t>月委托</w:t>
            </w:r>
            <w:r>
              <w:rPr>
                <w:rFonts w:hint="eastAsia"/>
                <w:sz w:val="24"/>
              </w:rPr>
              <w:t>深圳市宗兴环保</w:t>
            </w:r>
            <w:r>
              <w:rPr>
                <w:sz w:val="24"/>
              </w:rPr>
              <w:t>编制了《</w:t>
            </w:r>
            <w:r>
              <w:rPr>
                <w:rFonts w:hint="eastAsia"/>
                <w:sz w:val="24"/>
              </w:rPr>
              <w:t>湖南康康生物科技有限公司年清洗消毒餐具450万套及洗涤消毒布草10万套建设项目环境影响报告表</w:t>
            </w:r>
            <w:r>
              <w:rPr>
                <w:sz w:val="24"/>
              </w:rPr>
              <w:t>》，并于</w:t>
            </w:r>
            <w:r>
              <w:rPr>
                <w:rFonts w:hint="eastAsia"/>
                <w:sz w:val="24"/>
              </w:rPr>
              <w:t>2015</w:t>
            </w:r>
            <w:r>
              <w:rPr>
                <w:sz w:val="24"/>
              </w:rPr>
              <w:t>年</w:t>
            </w:r>
            <w:r>
              <w:rPr>
                <w:rFonts w:hint="eastAsia"/>
                <w:sz w:val="24"/>
              </w:rPr>
              <w:t>12</w:t>
            </w:r>
            <w:r>
              <w:rPr>
                <w:sz w:val="24"/>
              </w:rPr>
              <w:t>月</w:t>
            </w:r>
            <w:r>
              <w:rPr>
                <w:rFonts w:hint="eastAsia"/>
                <w:sz w:val="24"/>
              </w:rPr>
              <w:t>17</w:t>
            </w:r>
            <w:r>
              <w:rPr>
                <w:sz w:val="24"/>
              </w:rPr>
              <w:t>日经</w:t>
            </w:r>
            <w:r>
              <w:rPr>
                <w:rFonts w:hint="eastAsia"/>
                <w:sz w:val="24"/>
              </w:rPr>
              <w:t>衡阳县环保局</w:t>
            </w:r>
            <w:r>
              <w:rPr>
                <w:sz w:val="24"/>
              </w:rPr>
              <w:t>审批同意建设（</w:t>
            </w:r>
            <w:r>
              <w:rPr>
                <w:rFonts w:hint="eastAsia"/>
                <w:sz w:val="24"/>
              </w:rPr>
              <w:t>蒸环评发[2015]03号</w:t>
            </w:r>
            <w:r>
              <w:rPr>
                <w:sz w:val="24"/>
              </w:rPr>
              <w:t>），</w:t>
            </w:r>
            <w:r>
              <w:rPr>
                <w:rFonts w:hint="eastAsia"/>
                <w:sz w:val="24"/>
              </w:rPr>
              <w:t>2016年2月3日完成环保竣工验收（蒸环验[2016]02号）。项目属于排污许可登记管理类，已取得固定污染源排污登记回执（登记编号：91430421MA4RXB4127001X）（详见附件 4、5、6）</w:t>
            </w:r>
            <w:r>
              <w:rPr>
                <w:sz w:val="24"/>
              </w:rPr>
              <w:t>。</w:t>
            </w:r>
            <w:r>
              <w:rPr>
                <w:rFonts w:hint="eastAsia"/>
                <w:sz w:val="24"/>
              </w:rPr>
              <w:t>现有项目年洗消毒餐具45</w:t>
            </w:r>
            <w:r>
              <w:rPr>
                <w:rFonts w:hint="eastAsia"/>
                <w:color w:val="auto"/>
                <w:sz w:val="24"/>
              </w:rPr>
              <w:t>0万套及洗涤消毒布草10万套。</w:t>
            </w:r>
          </w:p>
          <w:p w14:paraId="2956E81A">
            <w:pPr>
              <w:adjustRightInd w:val="0"/>
              <w:snapToGrid w:val="0"/>
              <w:spacing w:line="360" w:lineRule="auto"/>
              <w:ind w:firstLine="480" w:firstLineChars="200"/>
              <w:rPr>
                <w:rFonts w:hint="eastAsia"/>
                <w:color w:val="auto"/>
                <w:sz w:val="24"/>
                <w:u w:val="single"/>
              </w:rPr>
            </w:pPr>
            <w:r>
              <w:rPr>
                <w:rFonts w:hint="eastAsia"/>
                <w:color w:val="auto"/>
                <w:sz w:val="24"/>
                <w:u w:val="single"/>
              </w:rPr>
              <w:t xml:space="preserve">根据《产业结构调整指导目录(2024年本)》列明的汰类锅炉，现有建设项目使用的 </w:t>
            </w:r>
            <w:r>
              <w:rPr>
                <w:rFonts w:hint="eastAsia"/>
                <w:color w:val="auto"/>
                <w:sz w:val="24"/>
                <w:u w:val="single"/>
                <w:lang w:val="en-US" w:eastAsia="zh-CN"/>
              </w:rPr>
              <w:t>2</w:t>
            </w:r>
            <w:r>
              <w:rPr>
                <w:rFonts w:hint="eastAsia"/>
                <w:color w:val="auto"/>
                <w:sz w:val="24"/>
                <w:u w:val="single"/>
              </w:rPr>
              <w:t>th 燃生物质锅炉为淘汰类锅炉。</w:t>
            </w:r>
            <w:r>
              <w:rPr>
                <w:rFonts w:hint="eastAsia"/>
                <w:color w:val="auto"/>
                <w:sz w:val="24"/>
                <w:u w:val="single"/>
                <w:lang w:eastAsia="zh-CN"/>
              </w:rPr>
              <w:t>加上</w:t>
            </w:r>
            <w:r>
              <w:rPr>
                <w:rFonts w:hint="eastAsia"/>
                <w:color w:val="auto"/>
                <w:sz w:val="24"/>
                <w:u w:val="single"/>
              </w:rPr>
              <w:t>因公司业务发展，需扩大布草洗涤业务量并增加医疗布草洗涤</w:t>
            </w:r>
            <w:r>
              <w:rPr>
                <w:rFonts w:hint="eastAsia"/>
                <w:color w:val="auto"/>
                <w:sz w:val="24"/>
                <w:u w:val="single"/>
                <w:lang w:eastAsia="zh-CN"/>
              </w:rPr>
              <w:t>，蒸汽需求量增加</w:t>
            </w:r>
            <w:r>
              <w:rPr>
                <w:rFonts w:hint="eastAsia"/>
                <w:color w:val="auto"/>
                <w:sz w:val="24"/>
                <w:u w:val="single"/>
              </w:rPr>
              <w:t>。</w:t>
            </w:r>
          </w:p>
          <w:p w14:paraId="71A7AD03">
            <w:pPr>
              <w:adjustRightInd w:val="0"/>
              <w:snapToGrid w:val="0"/>
              <w:spacing w:line="360" w:lineRule="auto"/>
              <w:ind w:firstLine="480" w:firstLineChars="200"/>
              <w:rPr>
                <w:color w:val="auto"/>
                <w:sz w:val="24"/>
                <w:u w:val="single"/>
              </w:rPr>
            </w:pPr>
            <w:r>
              <w:rPr>
                <w:rFonts w:hint="eastAsia"/>
                <w:color w:val="auto"/>
                <w:sz w:val="24"/>
                <w:u w:val="single"/>
                <w:lang w:eastAsia="zh-CN"/>
              </w:rPr>
              <w:t>现</w:t>
            </w:r>
            <w:r>
              <w:rPr>
                <w:rFonts w:hint="eastAsia"/>
                <w:color w:val="auto"/>
                <w:sz w:val="24"/>
                <w:u w:val="single"/>
              </w:rPr>
              <w:t>项目总投资</w:t>
            </w:r>
            <w:r>
              <w:rPr>
                <w:rFonts w:hint="eastAsia" w:eastAsia="仿宋_GB2312"/>
                <w:color w:val="auto"/>
                <w:sz w:val="24"/>
                <w:u w:val="single"/>
              </w:rPr>
              <w:t>2000</w:t>
            </w:r>
            <w:r>
              <w:rPr>
                <w:rFonts w:hint="eastAsia"/>
                <w:color w:val="auto"/>
                <w:sz w:val="24"/>
                <w:u w:val="single"/>
              </w:rPr>
              <w:t xml:space="preserve">万元，拟扩建一幢新厂房，采购部分新的设备并整合部分旧设备用于酒店布草洗涤，原布草洗涤车间调整为医疗布草洗涤，项目建成后产能调整为年洗消毒餐具450万套及洗涤消毒酒店布草1800t、医院布草600t。为应对工况，拟停用现有 </w:t>
            </w:r>
            <w:r>
              <w:rPr>
                <w:rFonts w:hint="eastAsia"/>
                <w:color w:val="auto"/>
                <w:sz w:val="24"/>
                <w:u w:val="single"/>
                <w:lang w:val="en-US" w:eastAsia="zh-CN"/>
              </w:rPr>
              <w:t>2</w:t>
            </w:r>
            <w:r>
              <w:rPr>
                <w:rFonts w:hint="eastAsia"/>
                <w:color w:val="auto"/>
                <w:sz w:val="24"/>
                <w:u w:val="single"/>
              </w:rPr>
              <w:t>t</w:t>
            </w:r>
            <w:r>
              <w:rPr>
                <w:rFonts w:hint="eastAsia"/>
                <w:color w:val="auto"/>
                <w:sz w:val="24"/>
                <w:u w:val="single"/>
                <w:lang w:val="en-US" w:eastAsia="zh-CN"/>
              </w:rPr>
              <w:t>/</w:t>
            </w:r>
            <w:r>
              <w:rPr>
                <w:rFonts w:hint="eastAsia"/>
                <w:color w:val="auto"/>
                <w:sz w:val="24"/>
                <w:u w:val="single"/>
              </w:rPr>
              <w:t xml:space="preserve">h 蒸汽发生器改造为 </w:t>
            </w:r>
            <w:r>
              <w:rPr>
                <w:rFonts w:hint="eastAsia"/>
                <w:color w:val="auto"/>
                <w:sz w:val="24"/>
                <w:u w:val="single"/>
                <w:lang w:val="en-US" w:eastAsia="zh-CN"/>
              </w:rPr>
              <w:t>4</w:t>
            </w:r>
            <w:r>
              <w:rPr>
                <w:rFonts w:hint="eastAsia"/>
                <w:color w:val="auto"/>
                <w:sz w:val="24"/>
                <w:u w:val="single"/>
              </w:rPr>
              <w:t>t</w:t>
            </w:r>
            <w:r>
              <w:rPr>
                <w:rFonts w:hint="eastAsia"/>
                <w:color w:val="auto"/>
                <w:sz w:val="24"/>
                <w:u w:val="single"/>
                <w:lang w:val="en-US" w:eastAsia="zh-CN"/>
              </w:rPr>
              <w:t>/</w:t>
            </w:r>
            <w:r>
              <w:rPr>
                <w:rFonts w:hint="eastAsia"/>
                <w:color w:val="auto"/>
                <w:sz w:val="24"/>
                <w:u w:val="single"/>
              </w:rPr>
              <w:t>h 燃生物质锅炉，加高排气筒</w:t>
            </w:r>
            <w:r>
              <w:rPr>
                <w:rFonts w:hint="eastAsia"/>
                <w:color w:val="auto"/>
                <w:sz w:val="24"/>
                <w:u w:val="single"/>
                <w:lang w:eastAsia="zh-CN"/>
              </w:rPr>
              <w:t>。</w:t>
            </w:r>
            <w:r>
              <w:rPr>
                <w:rFonts w:hint="eastAsia"/>
                <w:color w:val="auto"/>
                <w:sz w:val="24"/>
                <w:u w:val="single"/>
              </w:rPr>
              <w:t>项目建设内容如下：</w:t>
            </w:r>
          </w:p>
          <w:p w14:paraId="48A54805">
            <w:pPr>
              <w:adjustRightInd w:val="0"/>
              <w:snapToGrid w:val="0"/>
              <w:spacing w:line="360" w:lineRule="auto"/>
              <w:ind w:firstLine="480" w:firstLineChars="200"/>
              <w:rPr>
                <w:sz w:val="24"/>
                <w:u w:val="single"/>
              </w:rPr>
            </w:pPr>
            <w:r>
              <w:rPr>
                <w:rFonts w:hint="eastAsia"/>
                <w:sz w:val="24"/>
                <w:u w:val="single"/>
              </w:rPr>
              <w:t>①新建厂房用于酒店布草洗涤，升级部分设备替换老化设备，减少单位产品用水量。</w:t>
            </w:r>
          </w:p>
          <w:p w14:paraId="07C8D271">
            <w:pPr>
              <w:adjustRightInd w:val="0"/>
              <w:snapToGrid w:val="0"/>
              <w:spacing w:line="360" w:lineRule="auto"/>
              <w:ind w:firstLine="480" w:firstLineChars="200"/>
              <w:rPr>
                <w:sz w:val="24"/>
                <w:u w:val="single"/>
              </w:rPr>
            </w:pPr>
            <w:r>
              <w:rPr>
                <w:rFonts w:hint="eastAsia"/>
                <w:sz w:val="24"/>
                <w:u w:val="single"/>
              </w:rPr>
              <w:t>②新增医院布草洗涤业务，原酒店布草洗涤车间改造为医院布草洗涤；</w:t>
            </w:r>
          </w:p>
          <w:p w14:paraId="3E3DFEBC">
            <w:pPr>
              <w:adjustRightInd w:val="0"/>
              <w:snapToGrid w:val="0"/>
              <w:spacing w:line="360" w:lineRule="auto"/>
              <w:ind w:firstLine="480" w:firstLineChars="200"/>
              <w:rPr>
                <w:sz w:val="24"/>
                <w:u w:val="single"/>
              </w:rPr>
            </w:pPr>
            <w:r>
              <w:rPr>
                <w:rFonts w:hint="eastAsia"/>
                <w:sz w:val="24"/>
                <w:u w:val="single"/>
              </w:rPr>
              <w:t>③为配合生产需求，废水处理工艺在原有基础上后端增加消毒工艺。</w:t>
            </w:r>
          </w:p>
          <w:p w14:paraId="6B624949">
            <w:pPr>
              <w:adjustRightInd w:val="0"/>
              <w:snapToGrid w:val="0"/>
              <w:spacing w:line="360" w:lineRule="auto"/>
              <w:ind w:firstLine="480" w:firstLineChars="200"/>
              <w:rPr>
                <w:sz w:val="24"/>
                <w:u w:val="single"/>
              </w:rPr>
            </w:pPr>
            <w:r>
              <w:rPr>
                <w:rFonts w:hint="eastAsia"/>
                <w:sz w:val="24"/>
                <w:u w:val="single"/>
              </w:rPr>
              <w:t>④</w:t>
            </w:r>
            <w:r>
              <w:rPr>
                <w:rFonts w:hint="eastAsia"/>
                <w:sz w:val="24"/>
                <w:u w:val="single"/>
                <w:lang w:eastAsia="zh-CN"/>
              </w:rPr>
              <w:t>淘汰</w:t>
            </w:r>
            <w:r>
              <w:rPr>
                <w:rFonts w:hint="eastAsia"/>
                <w:sz w:val="24"/>
                <w:u w:val="single"/>
              </w:rPr>
              <w:t>2t/h锅炉调整为了4t/h锅炉。</w:t>
            </w:r>
          </w:p>
          <w:p w14:paraId="56E17382">
            <w:pPr>
              <w:adjustRightInd w:val="0"/>
              <w:snapToGrid w:val="0"/>
              <w:spacing w:line="360" w:lineRule="auto"/>
              <w:ind w:firstLine="480" w:firstLineChars="200"/>
              <w:rPr>
                <w:sz w:val="24"/>
              </w:rPr>
            </w:pPr>
            <w:r>
              <w:rPr>
                <w:rFonts w:hint="eastAsia"/>
                <w:sz w:val="24"/>
              </w:rPr>
              <w:t>根据《建设项目环境影响评价分类管理名录》（环境保护部令第16 号及2021 年版），本项目属于“四十一、电力、热力生产和供应业-91热力生产和供应工程（包括建设单位自建自用的供热工程）”类型，因此必须执行环境影响报告表的审批制度，湖南康康生物科技有限公司委托本环评单位承担该项目的环境影响评价工作，本环评单位接受委托后，在现场踏勘和研读有关资料、文件的基础上，按照有关法律法规、环境保护标准、环境影响评价技术规范的要求，编制本项目环境影响报告表。</w:t>
            </w:r>
          </w:p>
          <w:p w14:paraId="22192895">
            <w:pPr>
              <w:adjustRightInd w:val="0"/>
              <w:snapToGrid w:val="0"/>
              <w:spacing w:line="360" w:lineRule="auto"/>
              <w:ind w:firstLine="482" w:firstLineChars="200"/>
              <w:rPr>
                <w:b/>
                <w:bCs/>
                <w:sz w:val="24"/>
              </w:rPr>
            </w:pPr>
            <w:r>
              <w:rPr>
                <w:rFonts w:hint="eastAsia"/>
                <w:b/>
                <w:bCs/>
                <w:sz w:val="24"/>
              </w:rPr>
              <w:t>2</w:t>
            </w:r>
            <w:r>
              <w:rPr>
                <w:b/>
                <w:bCs/>
                <w:sz w:val="24"/>
              </w:rPr>
              <w:t>、项目工程组成及建设内容</w:t>
            </w:r>
          </w:p>
          <w:p w14:paraId="3A369440">
            <w:pPr>
              <w:adjustRightInd w:val="0"/>
              <w:snapToGrid w:val="0"/>
              <w:spacing w:line="360" w:lineRule="auto"/>
              <w:ind w:firstLine="480" w:firstLineChars="200"/>
              <w:rPr>
                <w:bCs/>
                <w:sz w:val="24"/>
              </w:rPr>
            </w:pPr>
            <w:r>
              <w:rPr>
                <w:rFonts w:hint="eastAsia"/>
                <w:bCs/>
                <w:sz w:val="24"/>
              </w:rPr>
              <w:t>项目主要工程组成情况见表2-1：</w:t>
            </w:r>
          </w:p>
          <w:p w14:paraId="5AE236F6">
            <w:pPr>
              <w:autoSpaceDE w:val="0"/>
              <w:autoSpaceDN w:val="0"/>
              <w:adjustRightInd w:val="0"/>
              <w:spacing w:before="120" w:beforeLines="50"/>
              <w:jc w:val="center"/>
              <w:rPr>
                <w:b/>
                <w:kern w:val="0"/>
                <w:szCs w:val="21"/>
              </w:rPr>
            </w:pPr>
            <w:r>
              <w:rPr>
                <w:b/>
                <w:kern w:val="0"/>
                <w:szCs w:val="21"/>
              </w:rPr>
              <w:t xml:space="preserve">表2-1  </w:t>
            </w:r>
            <w:r>
              <w:rPr>
                <w:rFonts w:hint="eastAsia"/>
                <w:b/>
                <w:kern w:val="0"/>
                <w:szCs w:val="21"/>
              </w:rPr>
              <w:t>本</w:t>
            </w:r>
            <w:r>
              <w:rPr>
                <w:b/>
                <w:kern w:val="0"/>
                <w:szCs w:val="21"/>
              </w:rPr>
              <w:t>项目组成情况一览表</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1"/>
              <w:gridCol w:w="449"/>
              <w:gridCol w:w="828"/>
              <w:gridCol w:w="2156"/>
              <w:gridCol w:w="2146"/>
              <w:gridCol w:w="2174"/>
              <w:gridCol w:w="1065"/>
            </w:tblGrid>
            <w:tr w14:paraId="1E6287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restart"/>
                  <w:shd w:val="clear" w:color="auto" w:fill="auto"/>
                  <w:vAlign w:val="center"/>
                </w:tcPr>
                <w:p w14:paraId="336361CC">
                  <w:pPr>
                    <w:adjustRightInd w:val="0"/>
                    <w:snapToGrid w:val="0"/>
                    <w:jc w:val="center"/>
                    <w:rPr>
                      <w:b/>
                      <w:bCs/>
                      <w:szCs w:val="21"/>
                    </w:rPr>
                  </w:pPr>
                  <w:r>
                    <w:rPr>
                      <w:b/>
                      <w:bCs/>
                      <w:szCs w:val="21"/>
                    </w:rPr>
                    <w:t>类别</w:t>
                  </w:r>
                </w:p>
              </w:tc>
              <w:tc>
                <w:tcPr>
                  <w:tcW w:w="0" w:type="auto"/>
                  <w:gridSpan w:val="2"/>
                  <w:vMerge w:val="restart"/>
                  <w:shd w:val="clear" w:color="auto" w:fill="auto"/>
                  <w:vAlign w:val="center"/>
                </w:tcPr>
                <w:p w14:paraId="06AB8E34">
                  <w:pPr>
                    <w:adjustRightInd w:val="0"/>
                    <w:snapToGrid w:val="0"/>
                    <w:jc w:val="center"/>
                    <w:rPr>
                      <w:b/>
                      <w:bCs/>
                      <w:szCs w:val="21"/>
                    </w:rPr>
                  </w:pPr>
                  <w:r>
                    <w:rPr>
                      <w:b/>
                      <w:bCs/>
                      <w:szCs w:val="21"/>
                    </w:rPr>
                    <w:t>工程名称</w:t>
                  </w:r>
                </w:p>
              </w:tc>
              <w:tc>
                <w:tcPr>
                  <w:tcW w:w="0" w:type="auto"/>
                  <w:gridSpan w:val="3"/>
                  <w:shd w:val="clear" w:color="auto" w:fill="auto"/>
                  <w:vAlign w:val="center"/>
                </w:tcPr>
                <w:p w14:paraId="7E7B121D">
                  <w:pPr>
                    <w:adjustRightInd w:val="0"/>
                    <w:snapToGrid w:val="0"/>
                    <w:jc w:val="center"/>
                    <w:rPr>
                      <w:b/>
                      <w:bCs/>
                      <w:szCs w:val="21"/>
                    </w:rPr>
                  </w:pPr>
                  <w:r>
                    <w:rPr>
                      <w:b/>
                      <w:bCs/>
                      <w:szCs w:val="21"/>
                    </w:rPr>
                    <w:t>工程规模</w:t>
                  </w:r>
                </w:p>
              </w:tc>
              <w:tc>
                <w:tcPr>
                  <w:tcW w:w="0" w:type="auto"/>
                  <w:vMerge w:val="restart"/>
                  <w:shd w:val="clear" w:color="auto" w:fill="auto"/>
                  <w:vAlign w:val="center"/>
                </w:tcPr>
                <w:p w14:paraId="5272EFB3">
                  <w:pPr>
                    <w:adjustRightInd w:val="0"/>
                    <w:snapToGrid w:val="0"/>
                    <w:jc w:val="center"/>
                    <w:rPr>
                      <w:b/>
                      <w:bCs/>
                      <w:szCs w:val="21"/>
                    </w:rPr>
                  </w:pPr>
                  <w:r>
                    <w:rPr>
                      <w:b/>
                      <w:bCs/>
                      <w:szCs w:val="21"/>
                    </w:rPr>
                    <w:t>备注</w:t>
                  </w:r>
                </w:p>
              </w:tc>
            </w:tr>
            <w:tr w14:paraId="651720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4506AB5A">
                  <w:pPr>
                    <w:adjustRightInd w:val="0"/>
                    <w:snapToGrid w:val="0"/>
                    <w:jc w:val="center"/>
                    <w:rPr>
                      <w:bCs/>
                      <w:szCs w:val="21"/>
                    </w:rPr>
                  </w:pPr>
                </w:p>
              </w:tc>
              <w:tc>
                <w:tcPr>
                  <w:tcW w:w="0" w:type="auto"/>
                  <w:gridSpan w:val="2"/>
                  <w:vMerge w:val="continue"/>
                  <w:shd w:val="clear" w:color="auto" w:fill="auto"/>
                  <w:vAlign w:val="center"/>
                </w:tcPr>
                <w:p w14:paraId="2BE8845F">
                  <w:pPr>
                    <w:adjustRightInd w:val="0"/>
                    <w:snapToGrid w:val="0"/>
                    <w:jc w:val="center"/>
                    <w:rPr>
                      <w:bCs/>
                      <w:szCs w:val="21"/>
                    </w:rPr>
                  </w:pPr>
                </w:p>
              </w:tc>
              <w:tc>
                <w:tcPr>
                  <w:tcW w:w="0" w:type="auto"/>
                  <w:shd w:val="clear" w:color="auto" w:fill="auto"/>
                  <w:vAlign w:val="center"/>
                </w:tcPr>
                <w:p w14:paraId="122B00D7">
                  <w:pPr>
                    <w:adjustRightInd w:val="0"/>
                    <w:snapToGrid w:val="0"/>
                    <w:jc w:val="center"/>
                    <w:rPr>
                      <w:b/>
                      <w:bCs/>
                      <w:szCs w:val="21"/>
                    </w:rPr>
                  </w:pPr>
                  <w:r>
                    <w:rPr>
                      <w:b/>
                      <w:bCs/>
                      <w:szCs w:val="21"/>
                    </w:rPr>
                    <w:t>改建前</w:t>
                  </w:r>
                </w:p>
              </w:tc>
              <w:tc>
                <w:tcPr>
                  <w:tcW w:w="0" w:type="auto"/>
                  <w:vAlign w:val="center"/>
                </w:tcPr>
                <w:p w14:paraId="16CBE0CB">
                  <w:pPr>
                    <w:adjustRightInd w:val="0"/>
                    <w:snapToGrid w:val="0"/>
                    <w:jc w:val="center"/>
                    <w:rPr>
                      <w:b/>
                      <w:bCs/>
                      <w:szCs w:val="21"/>
                    </w:rPr>
                  </w:pPr>
                  <w:r>
                    <w:rPr>
                      <w:rFonts w:hint="eastAsia"/>
                      <w:b/>
                      <w:bCs/>
                      <w:szCs w:val="21"/>
                    </w:rPr>
                    <w:t>本项目</w:t>
                  </w:r>
                </w:p>
              </w:tc>
              <w:tc>
                <w:tcPr>
                  <w:tcW w:w="0" w:type="auto"/>
                  <w:vAlign w:val="center"/>
                </w:tcPr>
                <w:p w14:paraId="267B976D">
                  <w:pPr>
                    <w:adjustRightInd w:val="0"/>
                    <w:snapToGrid w:val="0"/>
                    <w:jc w:val="center"/>
                    <w:rPr>
                      <w:b/>
                      <w:bCs/>
                      <w:szCs w:val="21"/>
                    </w:rPr>
                  </w:pPr>
                  <w:r>
                    <w:rPr>
                      <w:rFonts w:hint="eastAsia"/>
                      <w:b/>
                      <w:bCs/>
                      <w:szCs w:val="21"/>
                    </w:rPr>
                    <w:t>改扩建后</w:t>
                  </w:r>
                </w:p>
              </w:tc>
              <w:tc>
                <w:tcPr>
                  <w:tcW w:w="0" w:type="auto"/>
                  <w:vMerge w:val="continue"/>
                  <w:vAlign w:val="center"/>
                </w:tcPr>
                <w:p w14:paraId="6E6CF59B">
                  <w:pPr>
                    <w:adjustRightInd w:val="0"/>
                    <w:snapToGrid w:val="0"/>
                    <w:jc w:val="center"/>
                    <w:rPr>
                      <w:b/>
                      <w:bCs/>
                      <w:szCs w:val="21"/>
                    </w:rPr>
                  </w:pPr>
                </w:p>
              </w:tc>
            </w:tr>
            <w:tr w14:paraId="279C08C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restart"/>
                  <w:shd w:val="clear" w:color="auto" w:fill="auto"/>
                  <w:vAlign w:val="center"/>
                </w:tcPr>
                <w:p w14:paraId="433F7135">
                  <w:pPr>
                    <w:adjustRightInd w:val="0"/>
                    <w:snapToGrid w:val="0"/>
                    <w:jc w:val="center"/>
                    <w:rPr>
                      <w:bCs/>
                      <w:szCs w:val="21"/>
                    </w:rPr>
                  </w:pPr>
                  <w:r>
                    <w:rPr>
                      <w:bCs/>
                      <w:szCs w:val="21"/>
                    </w:rPr>
                    <w:t>主体工程</w:t>
                  </w:r>
                </w:p>
              </w:tc>
              <w:tc>
                <w:tcPr>
                  <w:tcW w:w="0" w:type="auto"/>
                  <w:vMerge w:val="restart"/>
                  <w:shd w:val="clear" w:color="auto" w:fill="auto"/>
                  <w:vAlign w:val="center"/>
                </w:tcPr>
                <w:p w14:paraId="73E6D76A">
                  <w:pPr>
                    <w:adjustRightInd w:val="0"/>
                    <w:snapToGrid w:val="0"/>
                    <w:jc w:val="center"/>
                    <w:rPr>
                      <w:bCs/>
                      <w:szCs w:val="21"/>
                    </w:rPr>
                  </w:pPr>
                  <w:r>
                    <w:rPr>
                      <w:rFonts w:hint="eastAsia"/>
                      <w:bCs/>
                      <w:szCs w:val="21"/>
                    </w:rPr>
                    <w:t>老厂房</w:t>
                  </w:r>
                </w:p>
              </w:tc>
              <w:tc>
                <w:tcPr>
                  <w:tcW w:w="0" w:type="auto"/>
                  <w:shd w:val="clear" w:color="auto" w:fill="auto"/>
                  <w:vAlign w:val="center"/>
                </w:tcPr>
                <w:p w14:paraId="79E3038D">
                  <w:pPr>
                    <w:adjustRightInd w:val="0"/>
                    <w:snapToGrid w:val="0"/>
                    <w:jc w:val="center"/>
                    <w:rPr>
                      <w:bCs/>
                      <w:szCs w:val="21"/>
                    </w:rPr>
                  </w:pPr>
                  <w:r>
                    <w:rPr>
                      <w:rFonts w:hint="eastAsia"/>
                      <w:bCs/>
                      <w:szCs w:val="21"/>
                    </w:rPr>
                    <w:t>餐具清洗消毒生产车间</w:t>
                  </w:r>
                </w:p>
              </w:tc>
              <w:tc>
                <w:tcPr>
                  <w:tcW w:w="0" w:type="auto"/>
                  <w:shd w:val="clear" w:color="auto" w:fill="auto"/>
                  <w:vAlign w:val="center"/>
                </w:tcPr>
                <w:p w14:paraId="150C36C8">
                  <w:pPr>
                    <w:adjustRightInd w:val="0"/>
                    <w:snapToGrid w:val="0"/>
                    <w:jc w:val="center"/>
                    <w:rPr>
                      <w:bCs/>
                      <w:szCs w:val="21"/>
                    </w:rPr>
                  </w:pPr>
                  <w:r>
                    <w:rPr>
                      <w:bCs/>
                      <w:szCs w:val="21"/>
                    </w:rPr>
                    <w:t>车间</w:t>
                  </w:r>
                  <w:r>
                    <w:rPr>
                      <w:rFonts w:hint="eastAsia"/>
                      <w:bCs/>
                      <w:szCs w:val="21"/>
                    </w:rPr>
                    <w:t>占地面积约1000m</w:t>
                  </w:r>
                  <w:r>
                    <w:rPr>
                      <w:rFonts w:hint="eastAsia"/>
                      <w:bCs/>
                      <w:szCs w:val="21"/>
                      <w:vertAlign w:val="superscript"/>
                    </w:rPr>
                    <w:t>2</w:t>
                  </w:r>
                  <w:r>
                    <w:rPr>
                      <w:rFonts w:hint="eastAsia"/>
                      <w:sz w:val="24"/>
                    </w:rPr>
                    <w:t>，1F，</w:t>
                  </w:r>
                  <w:r>
                    <w:rPr>
                      <w:bCs/>
                      <w:szCs w:val="21"/>
                    </w:rPr>
                    <w:t>建筑面积约</w:t>
                  </w:r>
                  <w:r>
                    <w:rPr>
                      <w:rFonts w:hint="eastAsia"/>
                      <w:bCs/>
                      <w:szCs w:val="21"/>
                    </w:rPr>
                    <w:t>1000m</w:t>
                  </w:r>
                  <w:r>
                    <w:rPr>
                      <w:rFonts w:hint="eastAsia"/>
                      <w:bCs/>
                      <w:szCs w:val="21"/>
                      <w:vertAlign w:val="superscript"/>
                    </w:rPr>
                    <w:t>2</w:t>
                  </w:r>
                </w:p>
              </w:tc>
              <w:tc>
                <w:tcPr>
                  <w:tcW w:w="0" w:type="auto"/>
                  <w:shd w:val="clear" w:color="auto" w:fill="auto"/>
                  <w:vAlign w:val="center"/>
                </w:tcPr>
                <w:p w14:paraId="109E4231">
                  <w:pPr>
                    <w:adjustRightInd w:val="0"/>
                    <w:snapToGrid w:val="0"/>
                    <w:jc w:val="center"/>
                    <w:rPr>
                      <w:bCs/>
                      <w:szCs w:val="21"/>
                    </w:rPr>
                  </w:pPr>
                  <w:r>
                    <w:rPr>
                      <w:rFonts w:hint="eastAsia"/>
                      <w:bCs/>
                      <w:szCs w:val="21"/>
                    </w:rPr>
                    <w:t>/</w:t>
                  </w:r>
                </w:p>
              </w:tc>
              <w:tc>
                <w:tcPr>
                  <w:tcW w:w="0" w:type="auto"/>
                  <w:shd w:val="clear" w:color="auto" w:fill="auto"/>
                  <w:vAlign w:val="center"/>
                </w:tcPr>
                <w:p w14:paraId="225E19BC">
                  <w:pPr>
                    <w:adjustRightInd w:val="0"/>
                    <w:snapToGrid w:val="0"/>
                    <w:jc w:val="center"/>
                    <w:rPr>
                      <w:bCs/>
                      <w:szCs w:val="21"/>
                    </w:rPr>
                  </w:pPr>
                  <w:r>
                    <w:rPr>
                      <w:bCs/>
                      <w:szCs w:val="21"/>
                    </w:rPr>
                    <w:t>车间</w:t>
                  </w:r>
                  <w:r>
                    <w:rPr>
                      <w:rFonts w:hint="eastAsia"/>
                      <w:bCs/>
                      <w:szCs w:val="21"/>
                    </w:rPr>
                    <w:t>占地面积约1000m</w:t>
                  </w:r>
                  <w:r>
                    <w:rPr>
                      <w:rFonts w:hint="eastAsia"/>
                      <w:bCs/>
                      <w:szCs w:val="21"/>
                      <w:vertAlign w:val="superscript"/>
                    </w:rPr>
                    <w:t>2</w:t>
                  </w:r>
                  <w:r>
                    <w:rPr>
                      <w:rFonts w:hint="eastAsia"/>
                      <w:sz w:val="24"/>
                    </w:rPr>
                    <w:t>，1F，</w:t>
                  </w:r>
                  <w:r>
                    <w:rPr>
                      <w:bCs/>
                      <w:szCs w:val="21"/>
                    </w:rPr>
                    <w:t>建筑面积约</w:t>
                  </w:r>
                  <w:r>
                    <w:rPr>
                      <w:rFonts w:hint="eastAsia"/>
                      <w:bCs/>
                      <w:szCs w:val="21"/>
                    </w:rPr>
                    <w:t>1000m</w:t>
                  </w:r>
                  <w:r>
                    <w:rPr>
                      <w:rFonts w:hint="eastAsia"/>
                      <w:bCs/>
                      <w:szCs w:val="21"/>
                      <w:vertAlign w:val="superscript"/>
                    </w:rPr>
                    <w:t>2</w:t>
                  </w:r>
                </w:p>
              </w:tc>
              <w:tc>
                <w:tcPr>
                  <w:tcW w:w="0" w:type="auto"/>
                  <w:vAlign w:val="center"/>
                </w:tcPr>
                <w:p w14:paraId="0F0E032A">
                  <w:pPr>
                    <w:adjustRightInd w:val="0"/>
                    <w:snapToGrid w:val="0"/>
                    <w:jc w:val="center"/>
                    <w:rPr>
                      <w:rFonts w:hint="eastAsia" w:eastAsia="宋体"/>
                      <w:bCs/>
                      <w:szCs w:val="21"/>
                      <w:lang w:val="en-US" w:eastAsia="zh-CN"/>
                    </w:rPr>
                  </w:pPr>
                  <w:r>
                    <w:rPr>
                      <w:rFonts w:hint="eastAsia"/>
                      <w:bCs/>
                      <w:szCs w:val="21"/>
                      <w:lang w:val="en-US" w:eastAsia="zh-CN"/>
                    </w:rPr>
                    <w:t>不变</w:t>
                  </w:r>
                </w:p>
              </w:tc>
            </w:tr>
            <w:tr w14:paraId="53662E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28095558">
                  <w:pPr>
                    <w:adjustRightInd w:val="0"/>
                    <w:snapToGrid w:val="0"/>
                    <w:jc w:val="center"/>
                    <w:rPr>
                      <w:bCs/>
                      <w:szCs w:val="21"/>
                    </w:rPr>
                  </w:pPr>
                </w:p>
              </w:tc>
              <w:tc>
                <w:tcPr>
                  <w:tcW w:w="0" w:type="auto"/>
                  <w:vMerge w:val="continue"/>
                  <w:shd w:val="clear" w:color="auto" w:fill="auto"/>
                  <w:vAlign w:val="center"/>
                </w:tcPr>
                <w:p w14:paraId="091BDA67">
                  <w:pPr>
                    <w:adjustRightInd w:val="0"/>
                    <w:snapToGrid w:val="0"/>
                    <w:jc w:val="center"/>
                    <w:rPr>
                      <w:bCs/>
                      <w:szCs w:val="21"/>
                    </w:rPr>
                  </w:pPr>
                </w:p>
              </w:tc>
              <w:tc>
                <w:tcPr>
                  <w:tcW w:w="0" w:type="auto"/>
                  <w:shd w:val="clear" w:color="auto" w:fill="auto"/>
                  <w:vAlign w:val="center"/>
                </w:tcPr>
                <w:p w14:paraId="0C965532">
                  <w:pPr>
                    <w:adjustRightInd w:val="0"/>
                    <w:snapToGrid w:val="0"/>
                    <w:jc w:val="center"/>
                    <w:rPr>
                      <w:bCs/>
                      <w:szCs w:val="21"/>
                    </w:rPr>
                  </w:pPr>
                  <w:r>
                    <w:rPr>
                      <w:rFonts w:hint="eastAsia"/>
                      <w:bCs/>
                      <w:szCs w:val="21"/>
                    </w:rPr>
                    <w:t>布草清洗消毒生产车间</w:t>
                  </w:r>
                </w:p>
              </w:tc>
              <w:tc>
                <w:tcPr>
                  <w:tcW w:w="0" w:type="auto"/>
                  <w:shd w:val="clear" w:color="auto" w:fill="auto"/>
                  <w:vAlign w:val="center"/>
                </w:tcPr>
                <w:p w14:paraId="7E4F2658">
                  <w:pPr>
                    <w:adjustRightInd w:val="0"/>
                    <w:snapToGrid w:val="0"/>
                    <w:jc w:val="center"/>
                    <w:rPr>
                      <w:bCs/>
                      <w:szCs w:val="21"/>
                    </w:rPr>
                  </w:pPr>
                  <w:r>
                    <w:rPr>
                      <w:bCs/>
                      <w:szCs w:val="21"/>
                    </w:rPr>
                    <w:t>车间</w:t>
                  </w:r>
                  <w:r>
                    <w:rPr>
                      <w:rFonts w:hint="eastAsia"/>
                      <w:bCs/>
                      <w:szCs w:val="21"/>
                    </w:rPr>
                    <w:t>占地面积约600m</w:t>
                  </w:r>
                  <w:r>
                    <w:rPr>
                      <w:rFonts w:hint="eastAsia"/>
                      <w:bCs/>
                      <w:szCs w:val="21"/>
                      <w:vertAlign w:val="superscript"/>
                    </w:rPr>
                    <w:t>2</w:t>
                  </w:r>
                  <w:r>
                    <w:rPr>
                      <w:rFonts w:hint="eastAsia"/>
                      <w:sz w:val="24"/>
                    </w:rPr>
                    <w:t>，1F，</w:t>
                  </w:r>
                  <w:r>
                    <w:rPr>
                      <w:bCs/>
                      <w:szCs w:val="21"/>
                    </w:rPr>
                    <w:t>建筑面积约</w:t>
                  </w:r>
                  <w:r>
                    <w:rPr>
                      <w:rFonts w:hint="eastAsia"/>
                      <w:bCs/>
                      <w:szCs w:val="21"/>
                    </w:rPr>
                    <w:t>600m</w:t>
                  </w:r>
                  <w:r>
                    <w:rPr>
                      <w:rFonts w:hint="eastAsia"/>
                      <w:bCs/>
                      <w:szCs w:val="21"/>
                      <w:vertAlign w:val="superscript"/>
                    </w:rPr>
                    <w:t>2</w:t>
                  </w:r>
                </w:p>
              </w:tc>
              <w:tc>
                <w:tcPr>
                  <w:tcW w:w="0" w:type="auto"/>
                  <w:shd w:val="clear" w:color="auto" w:fill="auto"/>
                  <w:vAlign w:val="center"/>
                </w:tcPr>
                <w:p w14:paraId="3D7EED3D">
                  <w:pPr>
                    <w:adjustRightInd w:val="0"/>
                    <w:snapToGrid w:val="0"/>
                    <w:jc w:val="center"/>
                    <w:rPr>
                      <w:bCs/>
                      <w:szCs w:val="21"/>
                    </w:rPr>
                  </w:pPr>
                  <w:r>
                    <w:rPr>
                      <w:rFonts w:hint="eastAsia"/>
                      <w:bCs/>
                      <w:szCs w:val="21"/>
                    </w:rPr>
                    <w:t>调整布局为医疗布草洗涤车间，</w:t>
                  </w:r>
                  <w:r>
                    <w:rPr>
                      <w:bCs/>
                      <w:szCs w:val="21"/>
                    </w:rPr>
                    <w:t>车间</w:t>
                  </w:r>
                  <w:r>
                    <w:rPr>
                      <w:rFonts w:hint="eastAsia"/>
                      <w:bCs/>
                      <w:szCs w:val="21"/>
                    </w:rPr>
                    <w:t>占地面积约600m</w:t>
                  </w:r>
                  <w:r>
                    <w:rPr>
                      <w:rFonts w:hint="eastAsia"/>
                      <w:bCs/>
                      <w:szCs w:val="21"/>
                      <w:vertAlign w:val="superscript"/>
                    </w:rPr>
                    <w:t>2</w:t>
                  </w:r>
                  <w:r>
                    <w:rPr>
                      <w:rFonts w:hint="eastAsia"/>
                      <w:sz w:val="24"/>
                    </w:rPr>
                    <w:t>，1F，</w:t>
                  </w:r>
                  <w:r>
                    <w:rPr>
                      <w:bCs/>
                      <w:szCs w:val="21"/>
                    </w:rPr>
                    <w:t>建筑面积约</w:t>
                  </w:r>
                  <w:r>
                    <w:rPr>
                      <w:rFonts w:hint="eastAsia"/>
                      <w:bCs/>
                      <w:szCs w:val="21"/>
                    </w:rPr>
                    <w:t>600m</w:t>
                  </w:r>
                  <w:r>
                    <w:rPr>
                      <w:rFonts w:hint="eastAsia"/>
                      <w:bCs/>
                      <w:szCs w:val="21"/>
                      <w:vertAlign w:val="superscript"/>
                    </w:rPr>
                    <w:t>2</w:t>
                  </w:r>
                </w:p>
              </w:tc>
              <w:tc>
                <w:tcPr>
                  <w:tcW w:w="0" w:type="auto"/>
                  <w:shd w:val="clear" w:color="auto" w:fill="auto"/>
                  <w:vAlign w:val="center"/>
                </w:tcPr>
                <w:p w14:paraId="49600CF5">
                  <w:pPr>
                    <w:adjustRightInd w:val="0"/>
                    <w:snapToGrid w:val="0"/>
                    <w:jc w:val="center"/>
                    <w:rPr>
                      <w:bCs/>
                      <w:szCs w:val="21"/>
                    </w:rPr>
                  </w:pPr>
                  <w:r>
                    <w:rPr>
                      <w:rFonts w:hint="eastAsia"/>
                      <w:bCs/>
                      <w:szCs w:val="21"/>
                    </w:rPr>
                    <w:t>调整布局为医疗布草洗涤车间，</w:t>
                  </w:r>
                  <w:r>
                    <w:rPr>
                      <w:bCs/>
                      <w:szCs w:val="21"/>
                    </w:rPr>
                    <w:t>车间</w:t>
                  </w:r>
                  <w:r>
                    <w:rPr>
                      <w:rFonts w:hint="eastAsia"/>
                      <w:bCs/>
                      <w:szCs w:val="21"/>
                    </w:rPr>
                    <w:t>占地面积约600m</w:t>
                  </w:r>
                  <w:r>
                    <w:rPr>
                      <w:rFonts w:hint="eastAsia"/>
                      <w:bCs/>
                      <w:szCs w:val="21"/>
                      <w:vertAlign w:val="superscript"/>
                    </w:rPr>
                    <w:t>2</w:t>
                  </w:r>
                  <w:r>
                    <w:rPr>
                      <w:rFonts w:hint="eastAsia"/>
                      <w:sz w:val="24"/>
                    </w:rPr>
                    <w:t>，1F，</w:t>
                  </w:r>
                  <w:r>
                    <w:rPr>
                      <w:bCs/>
                      <w:szCs w:val="21"/>
                    </w:rPr>
                    <w:t>建筑面积约</w:t>
                  </w:r>
                  <w:r>
                    <w:rPr>
                      <w:rFonts w:hint="eastAsia"/>
                      <w:bCs/>
                      <w:szCs w:val="21"/>
                    </w:rPr>
                    <w:t>600m</w:t>
                  </w:r>
                  <w:r>
                    <w:rPr>
                      <w:rFonts w:hint="eastAsia"/>
                      <w:bCs/>
                      <w:szCs w:val="21"/>
                      <w:vertAlign w:val="superscript"/>
                    </w:rPr>
                    <w:t>2</w:t>
                  </w:r>
                </w:p>
              </w:tc>
              <w:tc>
                <w:tcPr>
                  <w:tcW w:w="0" w:type="auto"/>
                  <w:vAlign w:val="center"/>
                </w:tcPr>
                <w:p w14:paraId="04DDFE01">
                  <w:pPr>
                    <w:adjustRightInd w:val="0"/>
                    <w:snapToGrid w:val="0"/>
                    <w:jc w:val="center"/>
                    <w:rPr>
                      <w:bCs/>
                      <w:szCs w:val="21"/>
                    </w:rPr>
                  </w:pPr>
                  <w:r>
                    <w:rPr>
                      <w:rFonts w:hint="eastAsia"/>
                      <w:bCs/>
                      <w:szCs w:val="21"/>
                    </w:rPr>
                    <w:t>改建，原酒店布草洗涤车间调整布局为医疗布草洗涤车间，内设洗涤剂存放区、成品存放区</w:t>
                  </w:r>
                </w:p>
              </w:tc>
            </w:tr>
            <w:tr w14:paraId="2A8DF6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0" w:type="auto"/>
                  <w:vMerge w:val="continue"/>
                  <w:shd w:val="clear" w:color="auto" w:fill="auto"/>
                  <w:vAlign w:val="center"/>
                </w:tcPr>
                <w:p w14:paraId="1213B36F">
                  <w:pPr>
                    <w:adjustRightInd w:val="0"/>
                    <w:snapToGrid w:val="0"/>
                    <w:jc w:val="center"/>
                    <w:rPr>
                      <w:bCs/>
                      <w:szCs w:val="21"/>
                    </w:rPr>
                  </w:pPr>
                </w:p>
              </w:tc>
              <w:tc>
                <w:tcPr>
                  <w:tcW w:w="0" w:type="auto"/>
                  <w:vMerge w:val="continue"/>
                  <w:shd w:val="clear" w:color="auto" w:fill="auto"/>
                  <w:vAlign w:val="center"/>
                </w:tcPr>
                <w:p w14:paraId="18D75A41">
                  <w:pPr>
                    <w:adjustRightInd w:val="0"/>
                    <w:snapToGrid w:val="0"/>
                    <w:jc w:val="center"/>
                    <w:rPr>
                      <w:bCs/>
                      <w:szCs w:val="21"/>
                    </w:rPr>
                  </w:pPr>
                </w:p>
              </w:tc>
              <w:tc>
                <w:tcPr>
                  <w:tcW w:w="0" w:type="auto"/>
                  <w:vAlign w:val="center"/>
                </w:tcPr>
                <w:p w14:paraId="18AE3A8B">
                  <w:pPr>
                    <w:adjustRightInd w:val="0"/>
                    <w:snapToGrid w:val="0"/>
                    <w:jc w:val="center"/>
                    <w:rPr>
                      <w:bCs/>
                      <w:szCs w:val="21"/>
                    </w:rPr>
                  </w:pPr>
                  <w:r>
                    <w:rPr>
                      <w:rFonts w:hint="eastAsia"/>
                      <w:bCs/>
                      <w:szCs w:val="21"/>
                    </w:rPr>
                    <w:t>锅炉房</w:t>
                  </w:r>
                </w:p>
              </w:tc>
              <w:tc>
                <w:tcPr>
                  <w:tcW w:w="0" w:type="auto"/>
                  <w:shd w:val="clear" w:color="auto" w:fill="auto"/>
                  <w:vAlign w:val="center"/>
                </w:tcPr>
                <w:p w14:paraId="6F08B28C">
                  <w:pPr>
                    <w:adjustRightInd w:val="0"/>
                    <w:snapToGrid w:val="0"/>
                    <w:jc w:val="center"/>
                    <w:rPr>
                      <w:bCs/>
                      <w:szCs w:val="21"/>
                    </w:rPr>
                  </w:pPr>
                  <w:r>
                    <w:rPr>
                      <w:bCs/>
                      <w:szCs w:val="21"/>
                    </w:rPr>
                    <w:t>车间建筑面积约</w:t>
                  </w:r>
                  <w:r>
                    <w:rPr>
                      <w:rFonts w:hint="eastAsia"/>
                      <w:bCs/>
                      <w:szCs w:val="21"/>
                    </w:rPr>
                    <w:t>140m</w:t>
                  </w:r>
                  <w:r>
                    <w:rPr>
                      <w:rFonts w:hint="eastAsia"/>
                      <w:bCs/>
                      <w:szCs w:val="21"/>
                      <w:vertAlign w:val="superscript"/>
                    </w:rPr>
                    <w:t>2</w:t>
                  </w:r>
                </w:p>
              </w:tc>
              <w:tc>
                <w:tcPr>
                  <w:tcW w:w="0" w:type="auto"/>
                  <w:vAlign w:val="center"/>
                </w:tcPr>
                <w:p w14:paraId="3BB68CB6">
                  <w:pPr>
                    <w:adjustRightInd w:val="0"/>
                    <w:snapToGrid w:val="0"/>
                    <w:jc w:val="center"/>
                    <w:rPr>
                      <w:bCs/>
                      <w:szCs w:val="21"/>
                    </w:rPr>
                  </w:pPr>
                  <w:r>
                    <w:rPr>
                      <w:rFonts w:hint="eastAsia"/>
                      <w:bCs/>
                      <w:szCs w:val="21"/>
                    </w:rPr>
                    <w:t>/</w:t>
                  </w:r>
                </w:p>
              </w:tc>
              <w:tc>
                <w:tcPr>
                  <w:tcW w:w="0" w:type="auto"/>
                  <w:vAlign w:val="center"/>
                </w:tcPr>
                <w:p w14:paraId="6540F2AA">
                  <w:pPr>
                    <w:adjustRightInd w:val="0"/>
                    <w:snapToGrid w:val="0"/>
                    <w:jc w:val="center"/>
                    <w:rPr>
                      <w:bCs/>
                      <w:szCs w:val="21"/>
                    </w:rPr>
                  </w:pPr>
                  <w:r>
                    <w:rPr>
                      <w:bCs/>
                      <w:szCs w:val="21"/>
                    </w:rPr>
                    <w:t>车间建筑面积约</w:t>
                  </w:r>
                  <w:r>
                    <w:rPr>
                      <w:rFonts w:hint="eastAsia"/>
                      <w:bCs/>
                      <w:szCs w:val="21"/>
                    </w:rPr>
                    <w:t>140m</w:t>
                  </w:r>
                  <w:r>
                    <w:rPr>
                      <w:rFonts w:hint="eastAsia"/>
                      <w:bCs/>
                      <w:szCs w:val="21"/>
                      <w:vertAlign w:val="superscript"/>
                    </w:rPr>
                    <w:t>2</w:t>
                  </w:r>
                </w:p>
              </w:tc>
              <w:tc>
                <w:tcPr>
                  <w:tcW w:w="0" w:type="auto"/>
                  <w:vAlign w:val="center"/>
                </w:tcPr>
                <w:p w14:paraId="07AA47B7">
                  <w:pPr>
                    <w:adjustRightInd w:val="0"/>
                    <w:snapToGrid w:val="0"/>
                    <w:jc w:val="center"/>
                    <w:rPr>
                      <w:bCs/>
                      <w:szCs w:val="21"/>
                    </w:rPr>
                  </w:pPr>
                  <w:r>
                    <w:rPr>
                      <w:rFonts w:hint="eastAsia"/>
                      <w:bCs/>
                      <w:szCs w:val="21"/>
                    </w:rPr>
                    <w:t>内设生物质存放区、一般固废存放区</w:t>
                  </w:r>
                </w:p>
              </w:tc>
            </w:tr>
            <w:tr w14:paraId="530D14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2341B63F">
                  <w:pPr>
                    <w:adjustRightInd w:val="0"/>
                    <w:snapToGrid w:val="0"/>
                    <w:jc w:val="center"/>
                    <w:rPr>
                      <w:bCs/>
                      <w:szCs w:val="21"/>
                    </w:rPr>
                  </w:pPr>
                </w:p>
              </w:tc>
              <w:tc>
                <w:tcPr>
                  <w:tcW w:w="0" w:type="auto"/>
                  <w:shd w:val="clear" w:color="auto" w:fill="auto"/>
                  <w:vAlign w:val="center"/>
                </w:tcPr>
                <w:p w14:paraId="2AF942F7">
                  <w:pPr>
                    <w:adjustRightInd w:val="0"/>
                    <w:snapToGrid w:val="0"/>
                    <w:jc w:val="center"/>
                    <w:rPr>
                      <w:bCs/>
                      <w:szCs w:val="21"/>
                    </w:rPr>
                  </w:pPr>
                  <w:r>
                    <w:rPr>
                      <w:bCs/>
                      <w:szCs w:val="21"/>
                    </w:rPr>
                    <w:t>新厂房</w:t>
                  </w:r>
                </w:p>
              </w:tc>
              <w:tc>
                <w:tcPr>
                  <w:tcW w:w="0" w:type="auto"/>
                  <w:vAlign w:val="center"/>
                </w:tcPr>
                <w:p w14:paraId="378ABA6C">
                  <w:pPr>
                    <w:pStyle w:val="32"/>
                    <w:rPr>
                      <w:sz w:val="21"/>
                      <w:szCs w:val="21"/>
                    </w:rPr>
                  </w:pPr>
                  <w:r>
                    <w:rPr>
                      <w:rFonts w:hint="eastAsia"/>
                      <w:sz w:val="21"/>
                      <w:szCs w:val="21"/>
                    </w:rPr>
                    <w:t>酒店布草</w:t>
                  </w:r>
                  <w:r>
                    <w:rPr>
                      <w:rFonts w:hint="eastAsia"/>
                      <w:bCs/>
                      <w:szCs w:val="21"/>
                    </w:rPr>
                    <w:t>清洗消毒生产车间</w:t>
                  </w:r>
                </w:p>
              </w:tc>
              <w:tc>
                <w:tcPr>
                  <w:tcW w:w="0" w:type="auto"/>
                  <w:shd w:val="clear" w:color="auto" w:fill="auto"/>
                  <w:vAlign w:val="center"/>
                </w:tcPr>
                <w:p w14:paraId="601EA004">
                  <w:pPr>
                    <w:adjustRightInd w:val="0"/>
                    <w:snapToGrid w:val="0"/>
                    <w:jc w:val="center"/>
                    <w:rPr>
                      <w:bCs/>
                      <w:szCs w:val="21"/>
                    </w:rPr>
                  </w:pPr>
                  <w:r>
                    <w:rPr>
                      <w:rFonts w:hint="eastAsia"/>
                      <w:bCs/>
                      <w:szCs w:val="21"/>
                    </w:rPr>
                    <w:t>0</w:t>
                  </w:r>
                </w:p>
              </w:tc>
              <w:tc>
                <w:tcPr>
                  <w:tcW w:w="0" w:type="auto"/>
                  <w:vAlign w:val="center"/>
                </w:tcPr>
                <w:p w14:paraId="11EDB10B">
                  <w:pPr>
                    <w:adjustRightInd w:val="0"/>
                    <w:snapToGrid w:val="0"/>
                    <w:jc w:val="center"/>
                    <w:rPr>
                      <w:bCs/>
                      <w:szCs w:val="21"/>
                    </w:rPr>
                  </w:pPr>
                  <w:r>
                    <w:rPr>
                      <w:bCs/>
                      <w:szCs w:val="21"/>
                    </w:rPr>
                    <w:t>车间</w:t>
                  </w:r>
                  <w:r>
                    <w:rPr>
                      <w:rFonts w:hint="eastAsia"/>
                      <w:bCs/>
                      <w:szCs w:val="21"/>
                    </w:rPr>
                    <w:t>占地面积约1500m</w:t>
                  </w:r>
                  <w:r>
                    <w:rPr>
                      <w:rFonts w:hint="eastAsia"/>
                      <w:bCs/>
                      <w:szCs w:val="21"/>
                      <w:vertAlign w:val="superscript"/>
                    </w:rPr>
                    <w:t>2</w:t>
                  </w:r>
                  <w:r>
                    <w:rPr>
                      <w:rFonts w:hint="eastAsia"/>
                      <w:szCs w:val="21"/>
                    </w:rPr>
                    <w:t>，设夹层，</w:t>
                  </w:r>
                  <w:r>
                    <w:rPr>
                      <w:bCs/>
                      <w:szCs w:val="21"/>
                    </w:rPr>
                    <w:t>建筑面积约</w:t>
                  </w:r>
                  <w:r>
                    <w:rPr>
                      <w:rFonts w:hint="eastAsia"/>
                      <w:bCs/>
                      <w:szCs w:val="21"/>
                    </w:rPr>
                    <w:t>2000m</w:t>
                  </w:r>
                  <w:r>
                    <w:rPr>
                      <w:rFonts w:hint="eastAsia"/>
                      <w:bCs/>
                      <w:szCs w:val="21"/>
                      <w:vertAlign w:val="superscript"/>
                    </w:rPr>
                    <w:t>2</w:t>
                  </w:r>
                </w:p>
              </w:tc>
              <w:tc>
                <w:tcPr>
                  <w:tcW w:w="0" w:type="auto"/>
                  <w:vAlign w:val="center"/>
                </w:tcPr>
                <w:p w14:paraId="66ADA293">
                  <w:pPr>
                    <w:adjustRightInd w:val="0"/>
                    <w:snapToGrid w:val="0"/>
                    <w:jc w:val="center"/>
                    <w:rPr>
                      <w:bCs/>
                      <w:szCs w:val="21"/>
                    </w:rPr>
                  </w:pPr>
                  <w:r>
                    <w:rPr>
                      <w:bCs/>
                      <w:szCs w:val="21"/>
                    </w:rPr>
                    <w:t>车间</w:t>
                  </w:r>
                  <w:r>
                    <w:rPr>
                      <w:rFonts w:hint="eastAsia"/>
                      <w:bCs/>
                      <w:szCs w:val="21"/>
                    </w:rPr>
                    <w:t>占地面积约1500m</w:t>
                  </w:r>
                  <w:r>
                    <w:rPr>
                      <w:rFonts w:hint="eastAsia"/>
                      <w:bCs/>
                      <w:szCs w:val="21"/>
                      <w:vertAlign w:val="superscript"/>
                    </w:rPr>
                    <w:t>2</w:t>
                  </w:r>
                  <w:r>
                    <w:rPr>
                      <w:rFonts w:hint="eastAsia"/>
                      <w:szCs w:val="21"/>
                    </w:rPr>
                    <w:t>，设夹层，</w:t>
                  </w:r>
                  <w:r>
                    <w:rPr>
                      <w:bCs/>
                      <w:szCs w:val="21"/>
                    </w:rPr>
                    <w:t>建筑面积约</w:t>
                  </w:r>
                  <w:r>
                    <w:rPr>
                      <w:rFonts w:hint="eastAsia"/>
                      <w:bCs/>
                      <w:szCs w:val="21"/>
                    </w:rPr>
                    <w:t>2000m</w:t>
                  </w:r>
                  <w:r>
                    <w:rPr>
                      <w:rFonts w:hint="eastAsia"/>
                      <w:bCs/>
                      <w:szCs w:val="21"/>
                      <w:vertAlign w:val="superscript"/>
                    </w:rPr>
                    <w:t>2</w:t>
                  </w:r>
                </w:p>
              </w:tc>
              <w:tc>
                <w:tcPr>
                  <w:tcW w:w="0" w:type="auto"/>
                  <w:vAlign w:val="center"/>
                </w:tcPr>
                <w:p w14:paraId="2E42C85B">
                  <w:pPr>
                    <w:adjustRightInd w:val="0"/>
                    <w:snapToGrid w:val="0"/>
                    <w:jc w:val="center"/>
                    <w:rPr>
                      <w:bCs/>
                      <w:szCs w:val="21"/>
                    </w:rPr>
                  </w:pPr>
                  <w:r>
                    <w:rPr>
                      <w:bCs/>
                      <w:szCs w:val="21"/>
                    </w:rPr>
                    <w:t>新建</w:t>
                  </w:r>
                  <w:r>
                    <w:rPr>
                      <w:rFonts w:hint="eastAsia"/>
                      <w:bCs/>
                      <w:szCs w:val="21"/>
                    </w:rPr>
                    <w:t>，内设洗涤剂存放区、成品存放区</w:t>
                  </w:r>
                </w:p>
              </w:tc>
            </w:tr>
            <w:tr w14:paraId="160DE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37DAB96C">
                  <w:pPr>
                    <w:adjustRightInd w:val="0"/>
                    <w:snapToGrid w:val="0"/>
                    <w:jc w:val="center"/>
                    <w:rPr>
                      <w:bCs/>
                      <w:szCs w:val="21"/>
                    </w:rPr>
                  </w:pPr>
                  <w:r>
                    <w:rPr>
                      <w:bCs/>
                      <w:szCs w:val="21"/>
                    </w:rPr>
                    <w:t>储运工程</w:t>
                  </w:r>
                </w:p>
              </w:tc>
              <w:tc>
                <w:tcPr>
                  <w:tcW w:w="0" w:type="auto"/>
                  <w:gridSpan w:val="2"/>
                  <w:shd w:val="clear" w:color="auto" w:fill="auto"/>
                  <w:vAlign w:val="center"/>
                </w:tcPr>
                <w:p w14:paraId="5D08274B">
                  <w:pPr>
                    <w:adjustRightInd w:val="0"/>
                    <w:snapToGrid w:val="0"/>
                    <w:jc w:val="center"/>
                    <w:rPr>
                      <w:bCs/>
                      <w:szCs w:val="21"/>
                    </w:rPr>
                  </w:pPr>
                  <w:r>
                    <w:rPr>
                      <w:rFonts w:hint="eastAsia"/>
                      <w:bCs/>
                      <w:szCs w:val="21"/>
                    </w:rPr>
                    <w:t>碗具成品存放区</w:t>
                  </w:r>
                </w:p>
              </w:tc>
              <w:tc>
                <w:tcPr>
                  <w:tcW w:w="0" w:type="auto"/>
                  <w:shd w:val="clear" w:color="auto" w:fill="auto"/>
                  <w:vAlign w:val="center"/>
                </w:tcPr>
                <w:p w14:paraId="1CD857E4">
                  <w:pPr>
                    <w:adjustRightInd w:val="0"/>
                    <w:snapToGrid w:val="0"/>
                    <w:jc w:val="center"/>
                    <w:rPr>
                      <w:bCs/>
                      <w:szCs w:val="21"/>
                    </w:rPr>
                  </w:pPr>
                  <w:r>
                    <w:rPr>
                      <w:rFonts w:hint="eastAsia"/>
                      <w:bCs/>
                      <w:szCs w:val="21"/>
                    </w:rPr>
                    <w:t>占地面积400m</w:t>
                  </w:r>
                  <w:r>
                    <w:rPr>
                      <w:rFonts w:hint="eastAsia"/>
                      <w:bCs/>
                      <w:szCs w:val="21"/>
                      <w:vertAlign w:val="superscript"/>
                    </w:rPr>
                    <w:t>2</w:t>
                  </w:r>
                </w:p>
              </w:tc>
              <w:tc>
                <w:tcPr>
                  <w:tcW w:w="0" w:type="auto"/>
                  <w:vAlign w:val="center"/>
                </w:tcPr>
                <w:p w14:paraId="32B09208">
                  <w:pPr>
                    <w:adjustRightInd w:val="0"/>
                    <w:snapToGrid w:val="0"/>
                    <w:jc w:val="center"/>
                    <w:rPr>
                      <w:bCs/>
                      <w:szCs w:val="21"/>
                    </w:rPr>
                  </w:pPr>
                  <w:r>
                    <w:rPr>
                      <w:rFonts w:hint="eastAsia"/>
                      <w:bCs/>
                      <w:szCs w:val="21"/>
                    </w:rPr>
                    <w:t>/</w:t>
                  </w:r>
                </w:p>
              </w:tc>
              <w:tc>
                <w:tcPr>
                  <w:tcW w:w="0" w:type="auto"/>
                  <w:vAlign w:val="center"/>
                </w:tcPr>
                <w:p w14:paraId="3ADF0C55">
                  <w:pPr>
                    <w:adjustRightInd w:val="0"/>
                    <w:snapToGrid w:val="0"/>
                    <w:jc w:val="center"/>
                    <w:rPr>
                      <w:bCs/>
                      <w:szCs w:val="21"/>
                    </w:rPr>
                  </w:pPr>
                  <w:r>
                    <w:rPr>
                      <w:rFonts w:hint="eastAsia"/>
                      <w:bCs/>
                      <w:szCs w:val="21"/>
                    </w:rPr>
                    <w:t>占地面积400m</w:t>
                  </w:r>
                  <w:r>
                    <w:rPr>
                      <w:rFonts w:hint="eastAsia"/>
                      <w:bCs/>
                      <w:szCs w:val="21"/>
                      <w:vertAlign w:val="superscript"/>
                    </w:rPr>
                    <w:t>2</w:t>
                  </w:r>
                </w:p>
              </w:tc>
              <w:tc>
                <w:tcPr>
                  <w:tcW w:w="0" w:type="auto"/>
                  <w:vAlign w:val="center"/>
                </w:tcPr>
                <w:p w14:paraId="19E8E10A">
                  <w:pPr>
                    <w:adjustRightInd w:val="0"/>
                    <w:snapToGrid w:val="0"/>
                    <w:jc w:val="center"/>
                    <w:rPr>
                      <w:bCs/>
                      <w:szCs w:val="21"/>
                    </w:rPr>
                  </w:pPr>
                  <w:r>
                    <w:rPr>
                      <w:rFonts w:hint="eastAsia"/>
                      <w:bCs/>
                      <w:szCs w:val="21"/>
                    </w:rPr>
                    <w:t>临时存放消毒后的餐具</w:t>
                  </w:r>
                </w:p>
              </w:tc>
            </w:tr>
            <w:tr w14:paraId="7DF722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restart"/>
                  <w:shd w:val="clear" w:color="auto" w:fill="auto"/>
                  <w:vAlign w:val="center"/>
                </w:tcPr>
                <w:p w14:paraId="2F4B5926">
                  <w:pPr>
                    <w:adjustRightInd w:val="0"/>
                    <w:snapToGrid w:val="0"/>
                    <w:jc w:val="center"/>
                    <w:rPr>
                      <w:bCs/>
                      <w:szCs w:val="21"/>
                    </w:rPr>
                  </w:pPr>
                  <w:r>
                    <w:rPr>
                      <w:bCs/>
                      <w:szCs w:val="21"/>
                    </w:rPr>
                    <w:t>辅助工程</w:t>
                  </w:r>
                </w:p>
              </w:tc>
              <w:tc>
                <w:tcPr>
                  <w:tcW w:w="0" w:type="auto"/>
                  <w:gridSpan w:val="2"/>
                  <w:shd w:val="clear" w:color="auto" w:fill="auto"/>
                  <w:vAlign w:val="center"/>
                </w:tcPr>
                <w:p w14:paraId="78A7C956">
                  <w:pPr>
                    <w:adjustRightInd w:val="0"/>
                    <w:snapToGrid w:val="0"/>
                    <w:jc w:val="center"/>
                    <w:rPr>
                      <w:bCs/>
                      <w:szCs w:val="21"/>
                    </w:rPr>
                  </w:pPr>
                  <w:r>
                    <w:rPr>
                      <w:rFonts w:hint="eastAsia"/>
                      <w:bCs/>
                      <w:szCs w:val="21"/>
                    </w:rPr>
                    <w:t>办公楼（4楼设宿舍）</w:t>
                  </w:r>
                </w:p>
              </w:tc>
              <w:tc>
                <w:tcPr>
                  <w:tcW w:w="0" w:type="auto"/>
                  <w:shd w:val="clear" w:color="auto" w:fill="auto"/>
                  <w:vAlign w:val="center"/>
                </w:tcPr>
                <w:p w14:paraId="57E3F3D5">
                  <w:pPr>
                    <w:adjustRightInd w:val="0"/>
                    <w:snapToGrid w:val="0"/>
                    <w:jc w:val="center"/>
                    <w:rPr>
                      <w:bCs/>
                      <w:szCs w:val="21"/>
                    </w:rPr>
                  </w:pPr>
                  <w:r>
                    <w:rPr>
                      <w:rFonts w:hint="eastAsia"/>
                      <w:bCs/>
                      <w:szCs w:val="21"/>
                    </w:rPr>
                    <w:t>4F，</w:t>
                  </w:r>
                  <w:r>
                    <w:rPr>
                      <w:bCs/>
                      <w:szCs w:val="21"/>
                    </w:rPr>
                    <w:t>建筑面积约</w:t>
                  </w:r>
                  <w:r>
                    <w:rPr>
                      <w:rFonts w:hint="eastAsia"/>
                      <w:bCs/>
                      <w:szCs w:val="21"/>
                    </w:rPr>
                    <w:t>1750m</w:t>
                  </w:r>
                  <w:r>
                    <w:rPr>
                      <w:rFonts w:hint="eastAsia"/>
                      <w:bCs/>
                      <w:szCs w:val="21"/>
                      <w:vertAlign w:val="superscript"/>
                    </w:rPr>
                    <w:t>2</w:t>
                  </w:r>
                </w:p>
              </w:tc>
              <w:tc>
                <w:tcPr>
                  <w:tcW w:w="0" w:type="auto"/>
                  <w:vAlign w:val="center"/>
                </w:tcPr>
                <w:p w14:paraId="5F0E1B80">
                  <w:pPr>
                    <w:adjustRightInd w:val="0"/>
                    <w:snapToGrid w:val="0"/>
                    <w:jc w:val="center"/>
                    <w:rPr>
                      <w:bCs/>
                      <w:szCs w:val="21"/>
                    </w:rPr>
                  </w:pPr>
                  <w:r>
                    <w:rPr>
                      <w:rFonts w:hint="eastAsia"/>
                      <w:bCs/>
                      <w:szCs w:val="21"/>
                    </w:rPr>
                    <w:t>/</w:t>
                  </w:r>
                </w:p>
              </w:tc>
              <w:tc>
                <w:tcPr>
                  <w:tcW w:w="0" w:type="auto"/>
                  <w:vAlign w:val="center"/>
                </w:tcPr>
                <w:p w14:paraId="3B41F7A2">
                  <w:pPr>
                    <w:adjustRightInd w:val="0"/>
                    <w:snapToGrid w:val="0"/>
                    <w:jc w:val="center"/>
                    <w:rPr>
                      <w:bCs/>
                      <w:szCs w:val="21"/>
                    </w:rPr>
                  </w:pPr>
                  <w:r>
                    <w:rPr>
                      <w:rFonts w:hint="eastAsia"/>
                      <w:bCs/>
                      <w:szCs w:val="21"/>
                    </w:rPr>
                    <w:t>4F，</w:t>
                  </w:r>
                  <w:r>
                    <w:rPr>
                      <w:bCs/>
                      <w:szCs w:val="21"/>
                    </w:rPr>
                    <w:t>建筑面积约</w:t>
                  </w:r>
                  <w:r>
                    <w:rPr>
                      <w:rFonts w:hint="eastAsia"/>
                      <w:bCs/>
                      <w:szCs w:val="21"/>
                    </w:rPr>
                    <w:t>1750m</w:t>
                  </w:r>
                  <w:r>
                    <w:rPr>
                      <w:rFonts w:hint="eastAsia"/>
                      <w:bCs/>
                      <w:szCs w:val="21"/>
                      <w:vertAlign w:val="superscript"/>
                    </w:rPr>
                    <w:t>2</w:t>
                  </w:r>
                </w:p>
              </w:tc>
              <w:tc>
                <w:tcPr>
                  <w:tcW w:w="0" w:type="auto"/>
                  <w:vAlign w:val="center"/>
                </w:tcPr>
                <w:p w14:paraId="6CC5DE89">
                  <w:pPr>
                    <w:adjustRightInd w:val="0"/>
                    <w:snapToGrid w:val="0"/>
                    <w:jc w:val="center"/>
                    <w:rPr>
                      <w:bCs/>
                      <w:szCs w:val="21"/>
                    </w:rPr>
                  </w:pPr>
                  <w:r>
                    <w:rPr>
                      <w:rFonts w:hint="eastAsia"/>
                      <w:bCs/>
                      <w:szCs w:val="21"/>
                    </w:rPr>
                    <w:t>依托</w:t>
                  </w:r>
                </w:p>
              </w:tc>
            </w:tr>
            <w:tr w14:paraId="6BD70F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0CE26FB2">
                  <w:pPr>
                    <w:adjustRightInd w:val="0"/>
                    <w:snapToGrid w:val="0"/>
                    <w:jc w:val="center"/>
                    <w:rPr>
                      <w:bCs/>
                      <w:szCs w:val="21"/>
                    </w:rPr>
                  </w:pPr>
                </w:p>
              </w:tc>
              <w:tc>
                <w:tcPr>
                  <w:tcW w:w="0" w:type="auto"/>
                  <w:gridSpan w:val="2"/>
                  <w:shd w:val="clear" w:color="auto" w:fill="auto"/>
                  <w:vAlign w:val="center"/>
                </w:tcPr>
                <w:p w14:paraId="65E3B5D6">
                  <w:pPr>
                    <w:adjustRightInd w:val="0"/>
                    <w:snapToGrid w:val="0"/>
                    <w:jc w:val="center"/>
                    <w:rPr>
                      <w:bCs/>
                      <w:szCs w:val="21"/>
                    </w:rPr>
                  </w:pPr>
                  <w:r>
                    <w:rPr>
                      <w:rFonts w:hint="eastAsia"/>
                      <w:bCs/>
                      <w:szCs w:val="21"/>
                    </w:rPr>
                    <w:t>食堂</w:t>
                  </w:r>
                </w:p>
              </w:tc>
              <w:tc>
                <w:tcPr>
                  <w:tcW w:w="0" w:type="auto"/>
                  <w:shd w:val="clear" w:color="auto" w:fill="auto"/>
                  <w:vAlign w:val="center"/>
                </w:tcPr>
                <w:p w14:paraId="6BC3B918">
                  <w:pPr>
                    <w:adjustRightInd w:val="0"/>
                    <w:snapToGrid w:val="0"/>
                    <w:jc w:val="center"/>
                    <w:rPr>
                      <w:bCs/>
                      <w:szCs w:val="21"/>
                    </w:rPr>
                  </w:pPr>
                  <w:r>
                    <w:rPr>
                      <w:bCs/>
                      <w:szCs w:val="21"/>
                    </w:rPr>
                    <w:t>建筑面积约</w:t>
                  </w:r>
                  <w:r>
                    <w:rPr>
                      <w:rFonts w:hint="eastAsia"/>
                      <w:bCs/>
                      <w:szCs w:val="21"/>
                    </w:rPr>
                    <w:t>200m</w:t>
                  </w:r>
                  <w:r>
                    <w:rPr>
                      <w:rFonts w:hint="eastAsia"/>
                      <w:bCs/>
                      <w:szCs w:val="21"/>
                      <w:vertAlign w:val="superscript"/>
                    </w:rPr>
                    <w:t>2</w:t>
                  </w:r>
                </w:p>
              </w:tc>
              <w:tc>
                <w:tcPr>
                  <w:tcW w:w="0" w:type="auto"/>
                  <w:vAlign w:val="center"/>
                </w:tcPr>
                <w:p w14:paraId="4EA0AC34">
                  <w:pPr>
                    <w:adjustRightInd w:val="0"/>
                    <w:snapToGrid w:val="0"/>
                    <w:jc w:val="center"/>
                    <w:rPr>
                      <w:bCs/>
                      <w:szCs w:val="21"/>
                    </w:rPr>
                  </w:pPr>
                  <w:r>
                    <w:rPr>
                      <w:rFonts w:hint="eastAsia"/>
                      <w:bCs/>
                      <w:szCs w:val="21"/>
                    </w:rPr>
                    <w:t>/</w:t>
                  </w:r>
                </w:p>
              </w:tc>
              <w:tc>
                <w:tcPr>
                  <w:tcW w:w="0" w:type="auto"/>
                  <w:vAlign w:val="center"/>
                </w:tcPr>
                <w:p w14:paraId="04FB22AF">
                  <w:pPr>
                    <w:adjustRightInd w:val="0"/>
                    <w:snapToGrid w:val="0"/>
                    <w:jc w:val="center"/>
                    <w:rPr>
                      <w:bCs/>
                      <w:szCs w:val="21"/>
                    </w:rPr>
                  </w:pPr>
                  <w:r>
                    <w:rPr>
                      <w:bCs/>
                      <w:szCs w:val="21"/>
                    </w:rPr>
                    <w:t>建筑面积约</w:t>
                  </w:r>
                  <w:r>
                    <w:rPr>
                      <w:rFonts w:hint="eastAsia"/>
                      <w:bCs/>
                      <w:szCs w:val="21"/>
                    </w:rPr>
                    <w:t>200m</w:t>
                  </w:r>
                  <w:r>
                    <w:rPr>
                      <w:rFonts w:hint="eastAsia"/>
                      <w:bCs/>
                      <w:szCs w:val="21"/>
                      <w:vertAlign w:val="superscript"/>
                    </w:rPr>
                    <w:t>2</w:t>
                  </w:r>
                </w:p>
              </w:tc>
              <w:tc>
                <w:tcPr>
                  <w:tcW w:w="0" w:type="auto"/>
                  <w:vAlign w:val="center"/>
                </w:tcPr>
                <w:p w14:paraId="316E343F">
                  <w:pPr>
                    <w:adjustRightInd w:val="0"/>
                    <w:snapToGrid w:val="0"/>
                    <w:jc w:val="center"/>
                    <w:rPr>
                      <w:bCs/>
                      <w:szCs w:val="21"/>
                    </w:rPr>
                  </w:pPr>
                  <w:r>
                    <w:rPr>
                      <w:rFonts w:hint="eastAsia"/>
                      <w:bCs/>
                      <w:szCs w:val="21"/>
                    </w:rPr>
                    <w:t>依托</w:t>
                  </w:r>
                </w:p>
              </w:tc>
            </w:tr>
            <w:tr w14:paraId="72DB0C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restart"/>
                  <w:shd w:val="clear" w:color="auto" w:fill="auto"/>
                  <w:vAlign w:val="center"/>
                </w:tcPr>
                <w:p w14:paraId="34881C87">
                  <w:pPr>
                    <w:adjustRightInd w:val="0"/>
                    <w:snapToGrid w:val="0"/>
                    <w:jc w:val="center"/>
                    <w:rPr>
                      <w:bCs/>
                      <w:szCs w:val="21"/>
                    </w:rPr>
                  </w:pPr>
                  <w:r>
                    <w:rPr>
                      <w:bCs/>
                      <w:szCs w:val="21"/>
                    </w:rPr>
                    <w:t>公用工程</w:t>
                  </w:r>
                </w:p>
              </w:tc>
              <w:tc>
                <w:tcPr>
                  <w:tcW w:w="0" w:type="auto"/>
                  <w:gridSpan w:val="2"/>
                  <w:shd w:val="clear" w:color="auto" w:fill="auto"/>
                  <w:vAlign w:val="center"/>
                </w:tcPr>
                <w:p w14:paraId="64BB241C">
                  <w:pPr>
                    <w:adjustRightInd w:val="0"/>
                    <w:snapToGrid w:val="0"/>
                    <w:jc w:val="center"/>
                    <w:rPr>
                      <w:bCs/>
                      <w:szCs w:val="21"/>
                    </w:rPr>
                  </w:pPr>
                  <w:r>
                    <w:rPr>
                      <w:bCs/>
                      <w:szCs w:val="21"/>
                    </w:rPr>
                    <w:t>给水</w:t>
                  </w:r>
                </w:p>
              </w:tc>
              <w:tc>
                <w:tcPr>
                  <w:tcW w:w="0" w:type="auto"/>
                  <w:shd w:val="clear" w:color="auto" w:fill="auto"/>
                  <w:vAlign w:val="center"/>
                </w:tcPr>
                <w:p w14:paraId="7A65216E">
                  <w:pPr>
                    <w:adjustRightInd w:val="0"/>
                    <w:snapToGrid w:val="0"/>
                    <w:jc w:val="center"/>
                    <w:rPr>
                      <w:bCs/>
                      <w:szCs w:val="21"/>
                    </w:rPr>
                  </w:pPr>
                  <w:r>
                    <w:rPr>
                      <w:bCs/>
                      <w:szCs w:val="21"/>
                    </w:rPr>
                    <w:t>市政供水</w:t>
                  </w:r>
                </w:p>
              </w:tc>
              <w:tc>
                <w:tcPr>
                  <w:tcW w:w="0" w:type="auto"/>
                  <w:vAlign w:val="center"/>
                </w:tcPr>
                <w:p w14:paraId="14C0824F">
                  <w:pPr>
                    <w:adjustRightInd w:val="0"/>
                    <w:snapToGrid w:val="0"/>
                    <w:jc w:val="center"/>
                    <w:rPr>
                      <w:bCs/>
                      <w:szCs w:val="21"/>
                    </w:rPr>
                  </w:pPr>
                  <w:r>
                    <w:rPr>
                      <w:rFonts w:hint="eastAsia"/>
                      <w:bCs/>
                      <w:szCs w:val="21"/>
                    </w:rPr>
                    <w:t>/</w:t>
                  </w:r>
                </w:p>
              </w:tc>
              <w:tc>
                <w:tcPr>
                  <w:tcW w:w="0" w:type="auto"/>
                  <w:vAlign w:val="center"/>
                </w:tcPr>
                <w:p w14:paraId="3853C23A">
                  <w:pPr>
                    <w:adjustRightInd w:val="0"/>
                    <w:snapToGrid w:val="0"/>
                    <w:jc w:val="center"/>
                    <w:rPr>
                      <w:bCs/>
                      <w:szCs w:val="21"/>
                    </w:rPr>
                  </w:pPr>
                  <w:r>
                    <w:rPr>
                      <w:bCs/>
                      <w:szCs w:val="21"/>
                    </w:rPr>
                    <w:t>市政供水</w:t>
                  </w:r>
                </w:p>
              </w:tc>
              <w:tc>
                <w:tcPr>
                  <w:tcW w:w="0" w:type="auto"/>
                  <w:vAlign w:val="center"/>
                </w:tcPr>
                <w:p w14:paraId="004F0763">
                  <w:pPr>
                    <w:adjustRightInd w:val="0"/>
                    <w:snapToGrid w:val="0"/>
                    <w:jc w:val="center"/>
                    <w:rPr>
                      <w:bCs/>
                      <w:szCs w:val="21"/>
                    </w:rPr>
                  </w:pPr>
                  <w:r>
                    <w:rPr>
                      <w:rFonts w:hint="eastAsia"/>
                      <w:bCs/>
                      <w:szCs w:val="21"/>
                    </w:rPr>
                    <w:t>/</w:t>
                  </w:r>
                </w:p>
              </w:tc>
            </w:tr>
            <w:tr w14:paraId="16D4AA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586A1335">
                  <w:pPr>
                    <w:adjustRightInd w:val="0"/>
                    <w:snapToGrid w:val="0"/>
                    <w:jc w:val="center"/>
                    <w:rPr>
                      <w:bCs/>
                      <w:szCs w:val="21"/>
                    </w:rPr>
                  </w:pPr>
                </w:p>
              </w:tc>
              <w:tc>
                <w:tcPr>
                  <w:tcW w:w="0" w:type="auto"/>
                  <w:gridSpan w:val="2"/>
                  <w:shd w:val="clear" w:color="auto" w:fill="auto"/>
                  <w:vAlign w:val="center"/>
                </w:tcPr>
                <w:p w14:paraId="786FC13A">
                  <w:pPr>
                    <w:adjustRightInd w:val="0"/>
                    <w:snapToGrid w:val="0"/>
                    <w:jc w:val="center"/>
                    <w:rPr>
                      <w:bCs/>
                      <w:szCs w:val="21"/>
                    </w:rPr>
                  </w:pPr>
                  <w:r>
                    <w:rPr>
                      <w:bCs/>
                      <w:szCs w:val="21"/>
                    </w:rPr>
                    <w:t>排水</w:t>
                  </w:r>
                </w:p>
              </w:tc>
              <w:tc>
                <w:tcPr>
                  <w:tcW w:w="0" w:type="auto"/>
                  <w:shd w:val="clear" w:color="auto" w:fill="auto"/>
                  <w:vAlign w:val="center"/>
                </w:tcPr>
                <w:p w14:paraId="7254BA44">
                  <w:pPr>
                    <w:adjustRightInd w:val="0"/>
                    <w:snapToGrid w:val="0"/>
                    <w:jc w:val="center"/>
                    <w:rPr>
                      <w:bCs/>
                      <w:szCs w:val="21"/>
                    </w:rPr>
                  </w:pPr>
                  <w:r>
                    <w:rPr>
                      <w:bCs/>
                      <w:szCs w:val="21"/>
                    </w:rPr>
                    <w:t>雨污分流</w:t>
                  </w:r>
                  <w:r>
                    <w:rPr>
                      <w:rFonts w:hint="eastAsia"/>
                      <w:bCs/>
                      <w:szCs w:val="21"/>
                    </w:rPr>
                    <w:t>，雨水进入园区雨水管网，各车间生产废水经车间外预处理，后统一经厂区废水处理站生化处理，生活污水经化粪池处理，两股废水一并经通过厂区北侧污水排放口排至市政管网，纳入衡阳西渡高新区污水处理。</w:t>
                  </w:r>
                </w:p>
              </w:tc>
              <w:tc>
                <w:tcPr>
                  <w:tcW w:w="0" w:type="auto"/>
                  <w:vAlign w:val="center"/>
                </w:tcPr>
                <w:p w14:paraId="377AA7A2">
                  <w:pPr>
                    <w:adjustRightInd w:val="0"/>
                    <w:snapToGrid w:val="0"/>
                    <w:jc w:val="center"/>
                    <w:rPr>
                      <w:bCs/>
                      <w:szCs w:val="21"/>
                    </w:rPr>
                  </w:pPr>
                  <w:r>
                    <w:rPr>
                      <w:bCs/>
                      <w:szCs w:val="21"/>
                    </w:rPr>
                    <w:t>雨污分流</w:t>
                  </w:r>
                  <w:r>
                    <w:rPr>
                      <w:rFonts w:hint="eastAsia"/>
                      <w:bCs/>
                      <w:szCs w:val="21"/>
                    </w:rPr>
                    <w:t>，雨水进入园区雨水管网，各车间生产废水经车间外预处理，后统一经厂区废水处理站生化+消毒处理，生活污水经化粪池处理，两股废水一并经通过厂区北侧污水排放口排至市政管网，纳入衡阳西渡高新区污水处理</w:t>
                  </w:r>
                </w:p>
              </w:tc>
              <w:tc>
                <w:tcPr>
                  <w:tcW w:w="0" w:type="auto"/>
                  <w:vAlign w:val="center"/>
                </w:tcPr>
                <w:p w14:paraId="777DBF19">
                  <w:pPr>
                    <w:adjustRightInd w:val="0"/>
                    <w:snapToGrid w:val="0"/>
                    <w:jc w:val="center"/>
                    <w:rPr>
                      <w:bCs/>
                      <w:szCs w:val="21"/>
                    </w:rPr>
                  </w:pPr>
                  <w:r>
                    <w:rPr>
                      <w:bCs/>
                      <w:szCs w:val="21"/>
                    </w:rPr>
                    <w:t>雨污分流</w:t>
                  </w:r>
                  <w:r>
                    <w:rPr>
                      <w:rFonts w:hint="eastAsia"/>
                      <w:bCs/>
                      <w:szCs w:val="21"/>
                    </w:rPr>
                    <w:t>，雨水进入园区雨水管网，各车间生产废水经车间外预处理，后统一经厂区废水处理站生化+消毒处理，生活污水经化粪池处理，两股废水一并经通过厂区北侧污水排放口排至市政管网，纳入衡阳西渡高新区污水处理</w:t>
                  </w:r>
                </w:p>
              </w:tc>
              <w:tc>
                <w:tcPr>
                  <w:tcW w:w="0" w:type="auto"/>
                  <w:vAlign w:val="center"/>
                </w:tcPr>
                <w:p w14:paraId="2E192CB3">
                  <w:pPr>
                    <w:adjustRightInd w:val="0"/>
                    <w:snapToGrid w:val="0"/>
                    <w:jc w:val="center"/>
                    <w:rPr>
                      <w:bCs/>
                      <w:szCs w:val="21"/>
                    </w:rPr>
                  </w:pPr>
                  <w:r>
                    <w:rPr>
                      <w:rFonts w:hint="eastAsia"/>
                      <w:bCs/>
                      <w:szCs w:val="21"/>
                    </w:rPr>
                    <w:t>排放去向不变，增加排放末端消毒处理，排放标准有调整</w:t>
                  </w:r>
                </w:p>
              </w:tc>
            </w:tr>
            <w:tr w14:paraId="3A58E3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77989BBB">
                  <w:pPr>
                    <w:adjustRightInd w:val="0"/>
                    <w:snapToGrid w:val="0"/>
                    <w:jc w:val="center"/>
                    <w:rPr>
                      <w:bCs/>
                      <w:szCs w:val="21"/>
                    </w:rPr>
                  </w:pPr>
                </w:p>
              </w:tc>
              <w:tc>
                <w:tcPr>
                  <w:tcW w:w="0" w:type="auto"/>
                  <w:gridSpan w:val="2"/>
                  <w:shd w:val="clear" w:color="auto" w:fill="auto"/>
                  <w:vAlign w:val="center"/>
                </w:tcPr>
                <w:p w14:paraId="349B4EFE">
                  <w:pPr>
                    <w:adjustRightInd w:val="0"/>
                    <w:snapToGrid w:val="0"/>
                    <w:jc w:val="center"/>
                    <w:rPr>
                      <w:bCs/>
                      <w:szCs w:val="21"/>
                    </w:rPr>
                  </w:pPr>
                  <w:r>
                    <w:rPr>
                      <w:bCs/>
                      <w:szCs w:val="21"/>
                    </w:rPr>
                    <w:t>供电</w:t>
                  </w:r>
                </w:p>
              </w:tc>
              <w:tc>
                <w:tcPr>
                  <w:tcW w:w="0" w:type="auto"/>
                  <w:shd w:val="clear" w:color="auto" w:fill="auto"/>
                  <w:vAlign w:val="center"/>
                </w:tcPr>
                <w:p w14:paraId="45323C11">
                  <w:pPr>
                    <w:adjustRightInd w:val="0"/>
                    <w:snapToGrid w:val="0"/>
                    <w:jc w:val="center"/>
                    <w:rPr>
                      <w:bCs/>
                      <w:szCs w:val="21"/>
                    </w:rPr>
                  </w:pPr>
                  <w:r>
                    <w:rPr>
                      <w:bCs/>
                      <w:szCs w:val="21"/>
                    </w:rPr>
                    <w:t>市政供电</w:t>
                  </w:r>
                </w:p>
              </w:tc>
              <w:tc>
                <w:tcPr>
                  <w:tcW w:w="0" w:type="auto"/>
                  <w:vAlign w:val="center"/>
                </w:tcPr>
                <w:p w14:paraId="33373131">
                  <w:pPr>
                    <w:adjustRightInd w:val="0"/>
                    <w:snapToGrid w:val="0"/>
                    <w:jc w:val="center"/>
                    <w:rPr>
                      <w:bCs/>
                      <w:szCs w:val="21"/>
                    </w:rPr>
                  </w:pPr>
                  <w:r>
                    <w:rPr>
                      <w:bCs/>
                      <w:szCs w:val="21"/>
                    </w:rPr>
                    <w:t>市政供电</w:t>
                  </w:r>
                </w:p>
              </w:tc>
              <w:tc>
                <w:tcPr>
                  <w:tcW w:w="0" w:type="auto"/>
                  <w:vAlign w:val="center"/>
                </w:tcPr>
                <w:p w14:paraId="6766F68C">
                  <w:pPr>
                    <w:adjustRightInd w:val="0"/>
                    <w:snapToGrid w:val="0"/>
                    <w:jc w:val="center"/>
                    <w:rPr>
                      <w:bCs/>
                      <w:szCs w:val="21"/>
                    </w:rPr>
                  </w:pPr>
                  <w:r>
                    <w:rPr>
                      <w:bCs/>
                      <w:szCs w:val="21"/>
                    </w:rPr>
                    <w:t>市政供电</w:t>
                  </w:r>
                </w:p>
              </w:tc>
              <w:tc>
                <w:tcPr>
                  <w:tcW w:w="0" w:type="auto"/>
                  <w:vAlign w:val="center"/>
                </w:tcPr>
                <w:p w14:paraId="740D3937">
                  <w:pPr>
                    <w:adjustRightInd w:val="0"/>
                    <w:snapToGrid w:val="0"/>
                    <w:jc w:val="center"/>
                    <w:rPr>
                      <w:bCs/>
                      <w:szCs w:val="21"/>
                    </w:rPr>
                  </w:pPr>
                  <w:r>
                    <w:rPr>
                      <w:rFonts w:hint="eastAsia"/>
                      <w:bCs/>
                      <w:szCs w:val="21"/>
                    </w:rPr>
                    <w:t>/</w:t>
                  </w:r>
                </w:p>
              </w:tc>
            </w:tr>
            <w:tr w14:paraId="1D00879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restart"/>
                  <w:shd w:val="clear" w:color="auto" w:fill="auto"/>
                  <w:vAlign w:val="center"/>
                </w:tcPr>
                <w:p w14:paraId="7F1A7EFA">
                  <w:pPr>
                    <w:adjustRightInd w:val="0"/>
                    <w:snapToGrid w:val="0"/>
                    <w:jc w:val="center"/>
                    <w:rPr>
                      <w:bCs/>
                      <w:szCs w:val="21"/>
                    </w:rPr>
                  </w:pPr>
                  <w:r>
                    <w:rPr>
                      <w:bCs/>
                      <w:szCs w:val="21"/>
                    </w:rPr>
                    <w:t>环保工程</w:t>
                  </w:r>
                </w:p>
              </w:tc>
              <w:tc>
                <w:tcPr>
                  <w:tcW w:w="0" w:type="auto"/>
                  <w:gridSpan w:val="2"/>
                  <w:vMerge w:val="restart"/>
                  <w:shd w:val="clear" w:color="auto" w:fill="auto"/>
                  <w:vAlign w:val="center"/>
                </w:tcPr>
                <w:p w14:paraId="3686329C">
                  <w:pPr>
                    <w:adjustRightInd w:val="0"/>
                    <w:snapToGrid w:val="0"/>
                    <w:jc w:val="center"/>
                    <w:rPr>
                      <w:bCs/>
                      <w:szCs w:val="21"/>
                    </w:rPr>
                  </w:pPr>
                  <w:r>
                    <w:rPr>
                      <w:bCs/>
                      <w:szCs w:val="21"/>
                    </w:rPr>
                    <w:t>废气</w:t>
                  </w:r>
                </w:p>
              </w:tc>
              <w:tc>
                <w:tcPr>
                  <w:tcW w:w="0" w:type="auto"/>
                  <w:shd w:val="clear" w:color="auto" w:fill="auto"/>
                  <w:vAlign w:val="center"/>
                </w:tcPr>
                <w:p w14:paraId="555052D4">
                  <w:pPr>
                    <w:adjustRightInd w:val="0"/>
                    <w:snapToGrid w:val="0"/>
                    <w:jc w:val="center"/>
                    <w:rPr>
                      <w:bCs/>
                      <w:szCs w:val="21"/>
                    </w:rPr>
                  </w:pPr>
                  <w:r>
                    <w:rPr>
                      <w:rFonts w:hint="eastAsia"/>
                      <w:bCs/>
                      <w:szCs w:val="21"/>
                    </w:rPr>
                    <w:t>锅炉烟气经布袋除尘处理后经25m高烟囱排放；</w:t>
                  </w:r>
                </w:p>
              </w:tc>
              <w:tc>
                <w:tcPr>
                  <w:tcW w:w="0" w:type="auto"/>
                  <w:vAlign w:val="center"/>
                </w:tcPr>
                <w:p w14:paraId="058665C9">
                  <w:pPr>
                    <w:adjustRightInd w:val="0"/>
                    <w:snapToGrid w:val="0"/>
                    <w:jc w:val="center"/>
                    <w:rPr>
                      <w:bCs/>
                      <w:szCs w:val="21"/>
                    </w:rPr>
                  </w:pPr>
                  <w:r>
                    <w:rPr>
                      <w:rFonts w:hint="eastAsia"/>
                      <w:bCs/>
                      <w:szCs w:val="21"/>
                    </w:rPr>
                    <w:t>锅炉烟气经布袋除尘处理后</w:t>
                  </w:r>
                  <w:r>
                    <w:rPr>
                      <w:rFonts w:hint="eastAsia"/>
                      <w:bCs/>
                      <w:szCs w:val="21"/>
                      <w:lang w:eastAsia="zh-CN"/>
                    </w:rPr>
                    <w:t>35m高</w:t>
                  </w:r>
                  <w:r>
                    <w:rPr>
                      <w:rFonts w:hint="eastAsia"/>
                      <w:bCs/>
                      <w:szCs w:val="21"/>
                    </w:rPr>
                    <w:t>烟囱排放；</w:t>
                  </w:r>
                </w:p>
              </w:tc>
              <w:tc>
                <w:tcPr>
                  <w:tcW w:w="0" w:type="auto"/>
                  <w:shd w:val="clear" w:color="auto" w:fill="auto"/>
                  <w:vAlign w:val="center"/>
                </w:tcPr>
                <w:p w14:paraId="0FFB9089">
                  <w:pPr>
                    <w:adjustRightInd w:val="0"/>
                    <w:snapToGrid w:val="0"/>
                    <w:jc w:val="center"/>
                    <w:rPr>
                      <w:bCs/>
                      <w:szCs w:val="21"/>
                    </w:rPr>
                  </w:pPr>
                  <w:r>
                    <w:rPr>
                      <w:rFonts w:hint="eastAsia"/>
                      <w:bCs/>
                      <w:szCs w:val="21"/>
                    </w:rPr>
                    <w:t>锅炉烟气经布袋除尘处理后经</w:t>
                  </w:r>
                  <w:r>
                    <w:rPr>
                      <w:rFonts w:hint="eastAsia"/>
                      <w:bCs/>
                      <w:szCs w:val="21"/>
                      <w:lang w:eastAsia="zh-CN"/>
                    </w:rPr>
                    <w:t>35m高</w:t>
                  </w:r>
                  <w:r>
                    <w:rPr>
                      <w:rFonts w:hint="eastAsia"/>
                      <w:bCs/>
                      <w:szCs w:val="21"/>
                    </w:rPr>
                    <w:t>烟囱排放；</w:t>
                  </w:r>
                </w:p>
              </w:tc>
              <w:tc>
                <w:tcPr>
                  <w:tcW w:w="0" w:type="auto"/>
                  <w:vAlign w:val="center"/>
                </w:tcPr>
                <w:p w14:paraId="40E49A4E">
                  <w:pPr>
                    <w:adjustRightInd w:val="0"/>
                    <w:snapToGrid w:val="0"/>
                    <w:jc w:val="center"/>
                    <w:rPr>
                      <w:bCs/>
                      <w:szCs w:val="21"/>
                    </w:rPr>
                  </w:pPr>
                  <w:r>
                    <w:rPr>
                      <w:rFonts w:hint="eastAsia"/>
                      <w:bCs/>
                      <w:szCs w:val="21"/>
                    </w:rPr>
                    <w:t>改造</w:t>
                  </w:r>
                </w:p>
              </w:tc>
            </w:tr>
            <w:tr w14:paraId="3E1AEC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385D885D">
                  <w:pPr>
                    <w:adjustRightInd w:val="0"/>
                    <w:snapToGrid w:val="0"/>
                    <w:jc w:val="center"/>
                    <w:rPr>
                      <w:bCs/>
                      <w:szCs w:val="21"/>
                    </w:rPr>
                  </w:pPr>
                </w:p>
              </w:tc>
              <w:tc>
                <w:tcPr>
                  <w:tcW w:w="0" w:type="auto"/>
                  <w:gridSpan w:val="2"/>
                  <w:vMerge w:val="continue"/>
                  <w:shd w:val="clear" w:color="auto" w:fill="auto"/>
                  <w:vAlign w:val="center"/>
                </w:tcPr>
                <w:p w14:paraId="77452495">
                  <w:pPr>
                    <w:adjustRightInd w:val="0"/>
                    <w:snapToGrid w:val="0"/>
                    <w:jc w:val="center"/>
                    <w:rPr>
                      <w:bCs/>
                      <w:szCs w:val="21"/>
                    </w:rPr>
                  </w:pPr>
                </w:p>
              </w:tc>
              <w:tc>
                <w:tcPr>
                  <w:tcW w:w="0" w:type="auto"/>
                  <w:shd w:val="clear" w:color="auto" w:fill="auto"/>
                  <w:vAlign w:val="center"/>
                </w:tcPr>
                <w:p w14:paraId="32996F4D">
                  <w:pPr>
                    <w:adjustRightInd w:val="0"/>
                    <w:snapToGrid w:val="0"/>
                    <w:jc w:val="center"/>
                    <w:rPr>
                      <w:bCs/>
                      <w:szCs w:val="21"/>
                    </w:rPr>
                  </w:pPr>
                  <w:r>
                    <w:rPr>
                      <w:rFonts w:hint="eastAsia"/>
                      <w:bCs/>
                      <w:szCs w:val="21"/>
                    </w:rPr>
                    <w:t>餐具自动打包过程产生的微量有机废气车间无组织排放</w:t>
                  </w:r>
                </w:p>
              </w:tc>
              <w:tc>
                <w:tcPr>
                  <w:tcW w:w="0" w:type="auto"/>
                  <w:vAlign w:val="center"/>
                </w:tcPr>
                <w:p w14:paraId="434FAA86">
                  <w:pPr>
                    <w:adjustRightInd w:val="0"/>
                    <w:snapToGrid w:val="0"/>
                    <w:jc w:val="center"/>
                    <w:rPr>
                      <w:bCs/>
                      <w:szCs w:val="21"/>
                    </w:rPr>
                  </w:pPr>
                  <w:r>
                    <w:rPr>
                      <w:rFonts w:hint="eastAsia"/>
                      <w:bCs/>
                      <w:szCs w:val="21"/>
                    </w:rPr>
                    <w:t>/</w:t>
                  </w:r>
                </w:p>
              </w:tc>
              <w:tc>
                <w:tcPr>
                  <w:tcW w:w="0" w:type="auto"/>
                  <w:shd w:val="clear" w:color="auto" w:fill="auto"/>
                  <w:vAlign w:val="center"/>
                </w:tcPr>
                <w:p w14:paraId="624DB071">
                  <w:pPr>
                    <w:adjustRightInd w:val="0"/>
                    <w:snapToGrid w:val="0"/>
                    <w:jc w:val="center"/>
                    <w:rPr>
                      <w:bCs/>
                      <w:szCs w:val="21"/>
                    </w:rPr>
                  </w:pPr>
                  <w:r>
                    <w:rPr>
                      <w:rFonts w:hint="eastAsia"/>
                      <w:bCs/>
                      <w:szCs w:val="21"/>
                    </w:rPr>
                    <w:t>餐具自动打包过程产生的微量有机废气车间无组织排放</w:t>
                  </w:r>
                </w:p>
              </w:tc>
              <w:tc>
                <w:tcPr>
                  <w:tcW w:w="0" w:type="auto"/>
                  <w:vAlign w:val="center"/>
                </w:tcPr>
                <w:p w14:paraId="5976D01E">
                  <w:pPr>
                    <w:adjustRightInd w:val="0"/>
                    <w:snapToGrid w:val="0"/>
                    <w:jc w:val="center"/>
                    <w:rPr>
                      <w:rFonts w:hint="eastAsia" w:eastAsia="宋体"/>
                      <w:bCs/>
                      <w:szCs w:val="21"/>
                      <w:lang w:eastAsia="zh-CN"/>
                    </w:rPr>
                  </w:pPr>
                  <w:r>
                    <w:rPr>
                      <w:rFonts w:hint="eastAsia"/>
                      <w:bCs/>
                      <w:szCs w:val="21"/>
                      <w:lang w:val="en-US" w:eastAsia="zh-CN"/>
                    </w:rPr>
                    <w:t>不变</w:t>
                  </w:r>
                </w:p>
              </w:tc>
            </w:tr>
            <w:tr w14:paraId="4177B12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29EC45FF">
                  <w:pPr>
                    <w:adjustRightInd w:val="0"/>
                    <w:snapToGrid w:val="0"/>
                    <w:jc w:val="center"/>
                    <w:rPr>
                      <w:bCs/>
                      <w:szCs w:val="21"/>
                    </w:rPr>
                  </w:pPr>
                </w:p>
              </w:tc>
              <w:tc>
                <w:tcPr>
                  <w:tcW w:w="0" w:type="auto"/>
                  <w:gridSpan w:val="2"/>
                  <w:vMerge w:val="continue"/>
                  <w:shd w:val="clear" w:color="auto" w:fill="auto"/>
                  <w:vAlign w:val="center"/>
                </w:tcPr>
                <w:p w14:paraId="684616E9">
                  <w:pPr>
                    <w:adjustRightInd w:val="0"/>
                    <w:snapToGrid w:val="0"/>
                    <w:jc w:val="center"/>
                    <w:rPr>
                      <w:bCs/>
                      <w:szCs w:val="21"/>
                    </w:rPr>
                  </w:pPr>
                </w:p>
              </w:tc>
              <w:tc>
                <w:tcPr>
                  <w:tcW w:w="0" w:type="auto"/>
                  <w:shd w:val="clear" w:color="auto" w:fill="auto"/>
                  <w:vAlign w:val="center"/>
                </w:tcPr>
                <w:p w14:paraId="63E9C93A">
                  <w:pPr>
                    <w:adjustRightInd w:val="0"/>
                    <w:snapToGrid w:val="0"/>
                    <w:jc w:val="center"/>
                    <w:rPr>
                      <w:bCs/>
                      <w:szCs w:val="21"/>
                    </w:rPr>
                  </w:pPr>
                  <w:r>
                    <w:rPr>
                      <w:rFonts w:hint="eastAsia"/>
                      <w:bCs/>
                      <w:szCs w:val="21"/>
                    </w:rPr>
                    <w:t>废水站恶臭：废水站为地埋式，且周边设置绿化</w:t>
                  </w:r>
                </w:p>
              </w:tc>
              <w:tc>
                <w:tcPr>
                  <w:tcW w:w="0" w:type="auto"/>
                  <w:vAlign w:val="center"/>
                </w:tcPr>
                <w:p w14:paraId="1AD99515">
                  <w:pPr>
                    <w:adjustRightInd w:val="0"/>
                    <w:snapToGrid w:val="0"/>
                    <w:jc w:val="center"/>
                    <w:rPr>
                      <w:bCs/>
                      <w:szCs w:val="21"/>
                    </w:rPr>
                  </w:pPr>
                  <w:r>
                    <w:rPr>
                      <w:rFonts w:hint="eastAsia"/>
                      <w:bCs/>
                      <w:szCs w:val="21"/>
                    </w:rPr>
                    <w:t>/</w:t>
                  </w:r>
                </w:p>
              </w:tc>
              <w:tc>
                <w:tcPr>
                  <w:tcW w:w="0" w:type="auto"/>
                  <w:shd w:val="clear" w:color="auto" w:fill="auto"/>
                  <w:vAlign w:val="center"/>
                </w:tcPr>
                <w:p w14:paraId="28390665">
                  <w:pPr>
                    <w:adjustRightInd w:val="0"/>
                    <w:snapToGrid w:val="0"/>
                    <w:jc w:val="center"/>
                    <w:rPr>
                      <w:bCs/>
                      <w:szCs w:val="21"/>
                    </w:rPr>
                  </w:pPr>
                  <w:r>
                    <w:rPr>
                      <w:rFonts w:hint="eastAsia"/>
                      <w:bCs/>
                      <w:szCs w:val="21"/>
                    </w:rPr>
                    <w:t>废水站恶臭：废水站为地埋式，且周边设置绿化</w:t>
                  </w:r>
                </w:p>
              </w:tc>
              <w:tc>
                <w:tcPr>
                  <w:tcW w:w="0" w:type="auto"/>
                  <w:vAlign w:val="center"/>
                </w:tcPr>
                <w:p w14:paraId="2EB71A46">
                  <w:pPr>
                    <w:adjustRightInd w:val="0"/>
                    <w:snapToGrid w:val="0"/>
                    <w:jc w:val="center"/>
                    <w:rPr>
                      <w:bCs/>
                      <w:szCs w:val="21"/>
                    </w:rPr>
                  </w:pPr>
                  <w:r>
                    <w:rPr>
                      <w:rFonts w:hint="eastAsia"/>
                      <w:bCs/>
                      <w:szCs w:val="21"/>
                      <w:lang w:val="en-US" w:eastAsia="zh-CN"/>
                    </w:rPr>
                    <w:t>不变</w:t>
                  </w:r>
                </w:p>
              </w:tc>
            </w:tr>
            <w:tr w14:paraId="7C411A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27D39762">
                  <w:pPr>
                    <w:adjustRightInd w:val="0"/>
                    <w:snapToGrid w:val="0"/>
                    <w:jc w:val="center"/>
                    <w:rPr>
                      <w:bCs/>
                      <w:szCs w:val="21"/>
                    </w:rPr>
                  </w:pPr>
                </w:p>
              </w:tc>
              <w:tc>
                <w:tcPr>
                  <w:tcW w:w="0" w:type="auto"/>
                  <w:gridSpan w:val="2"/>
                  <w:shd w:val="clear" w:color="auto" w:fill="auto"/>
                  <w:vAlign w:val="center"/>
                </w:tcPr>
                <w:p w14:paraId="7B635441">
                  <w:pPr>
                    <w:adjustRightInd w:val="0"/>
                    <w:snapToGrid w:val="0"/>
                    <w:jc w:val="center"/>
                    <w:rPr>
                      <w:bCs/>
                      <w:szCs w:val="21"/>
                    </w:rPr>
                  </w:pPr>
                  <w:r>
                    <w:rPr>
                      <w:bCs/>
                      <w:szCs w:val="21"/>
                    </w:rPr>
                    <w:t>废水</w:t>
                  </w:r>
                </w:p>
              </w:tc>
              <w:tc>
                <w:tcPr>
                  <w:tcW w:w="0" w:type="auto"/>
                  <w:shd w:val="clear" w:color="auto" w:fill="auto"/>
                  <w:vAlign w:val="center"/>
                </w:tcPr>
                <w:p w14:paraId="2CA430A9">
                  <w:pPr>
                    <w:adjustRightInd w:val="0"/>
                    <w:snapToGrid w:val="0"/>
                    <w:jc w:val="center"/>
                    <w:rPr>
                      <w:bCs/>
                      <w:szCs w:val="21"/>
                    </w:rPr>
                  </w:pPr>
                  <w:r>
                    <w:rPr>
                      <w:rFonts w:hint="eastAsia"/>
                      <w:bCs/>
                      <w:szCs w:val="21"/>
                    </w:rPr>
                    <w:t>各车间生产废水经车间外预处理，后统一经厂区废水处理站</w:t>
                  </w:r>
                  <w:r>
                    <w:rPr>
                      <w:rFonts w:hint="eastAsia"/>
                      <w:szCs w:val="21"/>
                    </w:rPr>
                    <w:t>气浮+</w:t>
                  </w:r>
                  <w:r>
                    <w:rPr>
                      <w:rFonts w:hint="eastAsia"/>
                      <w:bCs/>
                      <w:szCs w:val="21"/>
                    </w:rPr>
                    <w:t>生化处理，生活污水经化粪池处理，两股废水一并经通过厂区北侧污水排放口排至市政管网，纳入衡阳西渡高新区污水处理</w:t>
                  </w:r>
                </w:p>
              </w:tc>
              <w:tc>
                <w:tcPr>
                  <w:tcW w:w="0" w:type="auto"/>
                  <w:vAlign w:val="center"/>
                </w:tcPr>
                <w:p w14:paraId="31EB7E5D">
                  <w:pPr>
                    <w:adjustRightInd w:val="0"/>
                    <w:snapToGrid w:val="0"/>
                    <w:jc w:val="center"/>
                    <w:rPr>
                      <w:bCs/>
                      <w:szCs w:val="21"/>
                    </w:rPr>
                  </w:pPr>
                  <w:r>
                    <w:rPr>
                      <w:rFonts w:hint="eastAsia"/>
                      <w:bCs/>
                      <w:szCs w:val="21"/>
                    </w:rPr>
                    <w:t>各车间生产废水经车间外预处理，后统一经厂区废水处理站生化+消毒处理，生活污水经化粪池处理，两股废水一并经通过厂区北侧污水排放口排至市政管网，纳入衡阳西渡高新区污水处理</w:t>
                  </w:r>
                </w:p>
              </w:tc>
              <w:tc>
                <w:tcPr>
                  <w:tcW w:w="0" w:type="auto"/>
                  <w:vAlign w:val="center"/>
                </w:tcPr>
                <w:p w14:paraId="325B8DC1">
                  <w:pPr>
                    <w:adjustRightInd w:val="0"/>
                    <w:snapToGrid w:val="0"/>
                    <w:jc w:val="center"/>
                    <w:rPr>
                      <w:bCs/>
                      <w:szCs w:val="21"/>
                    </w:rPr>
                  </w:pPr>
                  <w:r>
                    <w:rPr>
                      <w:rFonts w:hint="eastAsia"/>
                      <w:bCs/>
                      <w:szCs w:val="21"/>
                    </w:rPr>
                    <w:t>各车间生产废水经车间外预处理，后统一经厂区废水处理站生化+消毒处理，生活污水经化粪池处理，两股废水一并经通过厂区北侧污水排放口排至市政管网，纳入衡阳西渡高新区污水处理</w:t>
                  </w:r>
                </w:p>
              </w:tc>
              <w:tc>
                <w:tcPr>
                  <w:tcW w:w="0" w:type="auto"/>
                  <w:vAlign w:val="center"/>
                </w:tcPr>
                <w:p w14:paraId="7D59E207">
                  <w:pPr>
                    <w:adjustRightInd w:val="0"/>
                    <w:snapToGrid w:val="0"/>
                    <w:jc w:val="center"/>
                    <w:rPr>
                      <w:bCs/>
                      <w:szCs w:val="21"/>
                    </w:rPr>
                  </w:pPr>
                  <w:r>
                    <w:rPr>
                      <w:rFonts w:hint="eastAsia"/>
                      <w:bCs/>
                      <w:szCs w:val="21"/>
                    </w:rPr>
                    <w:t>排放去向不变，增加排放末端消毒处理，排放标准有调整</w:t>
                  </w:r>
                </w:p>
              </w:tc>
            </w:tr>
            <w:tr w14:paraId="5B89C2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689834A7">
                  <w:pPr>
                    <w:adjustRightInd w:val="0"/>
                    <w:snapToGrid w:val="0"/>
                    <w:jc w:val="center"/>
                    <w:rPr>
                      <w:bCs/>
                      <w:szCs w:val="21"/>
                    </w:rPr>
                  </w:pPr>
                </w:p>
              </w:tc>
              <w:tc>
                <w:tcPr>
                  <w:tcW w:w="0" w:type="auto"/>
                  <w:gridSpan w:val="2"/>
                  <w:shd w:val="clear" w:color="auto" w:fill="auto"/>
                  <w:vAlign w:val="center"/>
                </w:tcPr>
                <w:p w14:paraId="3228E82D">
                  <w:pPr>
                    <w:adjustRightInd w:val="0"/>
                    <w:snapToGrid w:val="0"/>
                    <w:jc w:val="center"/>
                    <w:rPr>
                      <w:bCs/>
                      <w:szCs w:val="21"/>
                    </w:rPr>
                  </w:pPr>
                  <w:r>
                    <w:rPr>
                      <w:bCs/>
                      <w:szCs w:val="21"/>
                    </w:rPr>
                    <w:t>噪声</w:t>
                  </w:r>
                </w:p>
              </w:tc>
              <w:tc>
                <w:tcPr>
                  <w:tcW w:w="0" w:type="auto"/>
                  <w:gridSpan w:val="3"/>
                  <w:shd w:val="clear" w:color="auto" w:fill="auto"/>
                  <w:vAlign w:val="center"/>
                </w:tcPr>
                <w:p w14:paraId="665FC356">
                  <w:pPr>
                    <w:adjustRightInd w:val="0"/>
                    <w:snapToGrid w:val="0"/>
                    <w:jc w:val="center"/>
                    <w:rPr>
                      <w:bCs/>
                      <w:szCs w:val="21"/>
                    </w:rPr>
                  </w:pPr>
                  <w:r>
                    <w:rPr>
                      <w:rFonts w:hint="eastAsia"/>
                      <w:szCs w:val="21"/>
                    </w:rPr>
                    <w:t>合理布局，尽量利用厂墙体、门窗隔声，加强生产管理，并采取减振、隔声、消声等综合治理</w:t>
                  </w:r>
                </w:p>
              </w:tc>
              <w:tc>
                <w:tcPr>
                  <w:tcW w:w="0" w:type="auto"/>
                  <w:shd w:val="clear" w:color="auto" w:fill="auto"/>
                  <w:vAlign w:val="center"/>
                </w:tcPr>
                <w:p w14:paraId="02D5B4E7">
                  <w:pPr>
                    <w:adjustRightInd w:val="0"/>
                    <w:snapToGrid w:val="0"/>
                    <w:jc w:val="center"/>
                    <w:rPr>
                      <w:szCs w:val="21"/>
                    </w:rPr>
                  </w:pPr>
                  <w:r>
                    <w:rPr>
                      <w:szCs w:val="21"/>
                    </w:rPr>
                    <w:t>淘汰、新增部分设备</w:t>
                  </w:r>
                </w:p>
              </w:tc>
            </w:tr>
            <w:tr w14:paraId="4A7A365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4EFD7E79">
                  <w:pPr>
                    <w:adjustRightInd w:val="0"/>
                    <w:snapToGrid w:val="0"/>
                    <w:jc w:val="center"/>
                    <w:rPr>
                      <w:bCs/>
                      <w:szCs w:val="21"/>
                    </w:rPr>
                  </w:pPr>
                </w:p>
              </w:tc>
              <w:tc>
                <w:tcPr>
                  <w:tcW w:w="0" w:type="auto"/>
                  <w:vMerge w:val="restart"/>
                  <w:shd w:val="clear" w:color="auto" w:fill="auto"/>
                  <w:vAlign w:val="center"/>
                </w:tcPr>
                <w:p w14:paraId="6DE9D7D3">
                  <w:pPr>
                    <w:adjustRightInd w:val="0"/>
                    <w:snapToGrid w:val="0"/>
                    <w:jc w:val="center"/>
                    <w:rPr>
                      <w:bCs/>
                      <w:szCs w:val="21"/>
                    </w:rPr>
                  </w:pPr>
                  <w:r>
                    <w:rPr>
                      <w:bCs/>
                      <w:szCs w:val="21"/>
                    </w:rPr>
                    <w:t>固废</w:t>
                  </w:r>
                </w:p>
              </w:tc>
              <w:tc>
                <w:tcPr>
                  <w:tcW w:w="0" w:type="auto"/>
                  <w:shd w:val="clear" w:color="auto" w:fill="auto"/>
                  <w:vAlign w:val="center"/>
                </w:tcPr>
                <w:p w14:paraId="3F099AC3">
                  <w:pPr>
                    <w:adjustRightInd w:val="0"/>
                    <w:snapToGrid w:val="0"/>
                    <w:jc w:val="center"/>
                    <w:rPr>
                      <w:rFonts w:ascii="宋体" w:cs="宋体"/>
                      <w:kern w:val="0"/>
                      <w:szCs w:val="21"/>
                    </w:rPr>
                  </w:pPr>
                  <w:r>
                    <w:rPr>
                      <w:rFonts w:hint="eastAsia" w:ascii="宋体" w:cs="宋体"/>
                      <w:kern w:val="0"/>
                      <w:szCs w:val="21"/>
                    </w:rPr>
                    <w:t>生活垃圾</w:t>
                  </w:r>
                </w:p>
              </w:tc>
              <w:tc>
                <w:tcPr>
                  <w:tcW w:w="0" w:type="auto"/>
                  <w:shd w:val="clear" w:color="auto" w:fill="auto"/>
                  <w:vAlign w:val="center"/>
                </w:tcPr>
                <w:p w14:paraId="6E82EDE6">
                  <w:pPr>
                    <w:adjustRightInd w:val="0"/>
                    <w:snapToGrid w:val="0"/>
                    <w:jc w:val="center"/>
                    <w:rPr>
                      <w:rFonts w:ascii="宋体" w:cs="宋体"/>
                      <w:kern w:val="0"/>
                      <w:szCs w:val="21"/>
                    </w:rPr>
                  </w:pPr>
                  <w:r>
                    <w:rPr>
                      <w:rFonts w:hint="eastAsia" w:ascii="宋体" w:cs="宋体"/>
                      <w:kern w:val="0"/>
                      <w:szCs w:val="21"/>
                    </w:rPr>
                    <w:t>由垃圾桶收集后</w:t>
                  </w:r>
                  <w:r>
                    <w:rPr>
                      <w:szCs w:val="21"/>
                    </w:rPr>
                    <w:t>交环卫部门清运处理</w:t>
                  </w:r>
                </w:p>
              </w:tc>
              <w:tc>
                <w:tcPr>
                  <w:tcW w:w="0" w:type="auto"/>
                  <w:vAlign w:val="center"/>
                </w:tcPr>
                <w:p w14:paraId="2FED8033">
                  <w:pPr>
                    <w:adjustRightInd w:val="0"/>
                    <w:snapToGrid w:val="0"/>
                    <w:jc w:val="center"/>
                    <w:rPr>
                      <w:rFonts w:ascii="宋体" w:cs="宋体"/>
                      <w:kern w:val="0"/>
                      <w:szCs w:val="21"/>
                    </w:rPr>
                  </w:pPr>
                  <w:r>
                    <w:rPr>
                      <w:rFonts w:hint="eastAsia" w:ascii="宋体" w:cs="宋体"/>
                      <w:kern w:val="0"/>
                      <w:szCs w:val="21"/>
                    </w:rPr>
                    <w:t>/</w:t>
                  </w:r>
                </w:p>
              </w:tc>
              <w:tc>
                <w:tcPr>
                  <w:tcW w:w="0" w:type="auto"/>
                  <w:vAlign w:val="center"/>
                </w:tcPr>
                <w:p w14:paraId="455BF0E1">
                  <w:pPr>
                    <w:adjustRightInd w:val="0"/>
                    <w:snapToGrid w:val="0"/>
                    <w:jc w:val="center"/>
                    <w:rPr>
                      <w:rFonts w:ascii="宋体" w:cs="宋体"/>
                      <w:kern w:val="0"/>
                      <w:szCs w:val="21"/>
                    </w:rPr>
                  </w:pPr>
                  <w:r>
                    <w:rPr>
                      <w:rFonts w:hint="eastAsia" w:ascii="宋体" w:cs="宋体"/>
                      <w:kern w:val="0"/>
                      <w:szCs w:val="21"/>
                    </w:rPr>
                    <w:t>由垃圾桶收集后</w:t>
                  </w:r>
                  <w:r>
                    <w:rPr>
                      <w:szCs w:val="21"/>
                    </w:rPr>
                    <w:t>交环卫部门清运处理</w:t>
                  </w:r>
                </w:p>
              </w:tc>
              <w:tc>
                <w:tcPr>
                  <w:tcW w:w="0" w:type="auto"/>
                  <w:vAlign w:val="center"/>
                </w:tcPr>
                <w:p w14:paraId="7334C519">
                  <w:pPr>
                    <w:adjustRightInd w:val="0"/>
                    <w:snapToGrid w:val="0"/>
                    <w:jc w:val="center"/>
                    <w:rPr>
                      <w:bCs/>
                      <w:szCs w:val="21"/>
                    </w:rPr>
                  </w:pPr>
                  <w:r>
                    <w:rPr>
                      <w:bCs/>
                      <w:szCs w:val="21"/>
                    </w:rPr>
                    <w:t>不变</w:t>
                  </w:r>
                </w:p>
              </w:tc>
            </w:tr>
            <w:tr w14:paraId="1696F13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4D843F03">
                  <w:pPr>
                    <w:adjustRightInd w:val="0"/>
                    <w:snapToGrid w:val="0"/>
                    <w:jc w:val="center"/>
                    <w:rPr>
                      <w:bCs/>
                      <w:szCs w:val="21"/>
                    </w:rPr>
                  </w:pPr>
                </w:p>
              </w:tc>
              <w:tc>
                <w:tcPr>
                  <w:tcW w:w="0" w:type="auto"/>
                  <w:vMerge w:val="continue"/>
                  <w:shd w:val="clear" w:color="auto" w:fill="auto"/>
                  <w:vAlign w:val="center"/>
                </w:tcPr>
                <w:p w14:paraId="65723CE4">
                  <w:pPr>
                    <w:adjustRightInd w:val="0"/>
                    <w:snapToGrid w:val="0"/>
                    <w:jc w:val="center"/>
                    <w:rPr>
                      <w:bCs/>
                      <w:szCs w:val="21"/>
                    </w:rPr>
                  </w:pPr>
                </w:p>
              </w:tc>
              <w:tc>
                <w:tcPr>
                  <w:tcW w:w="0" w:type="auto"/>
                  <w:shd w:val="clear" w:color="auto" w:fill="auto"/>
                  <w:vAlign w:val="center"/>
                </w:tcPr>
                <w:p w14:paraId="6A96D8C2">
                  <w:pPr>
                    <w:jc w:val="center"/>
                    <w:rPr>
                      <w:szCs w:val="21"/>
                    </w:rPr>
                  </w:pPr>
                  <w:r>
                    <w:rPr>
                      <w:rFonts w:hint="eastAsia"/>
                      <w:szCs w:val="21"/>
                    </w:rPr>
                    <w:t>破损的周转箱</w:t>
                  </w:r>
                </w:p>
              </w:tc>
              <w:tc>
                <w:tcPr>
                  <w:tcW w:w="0" w:type="auto"/>
                  <w:shd w:val="clear" w:color="auto" w:fill="auto"/>
                  <w:vAlign w:val="center"/>
                </w:tcPr>
                <w:p w14:paraId="380673D4">
                  <w:pPr>
                    <w:adjustRightInd w:val="0"/>
                    <w:snapToGrid w:val="0"/>
                    <w:jc w:val="center"/>
                    <w:rPr>
                      <w:bCs/>
                      <w:szCs w:val="21"/>
                    </w:rPr>
                  </w:pPr>
                  <w:r>
                    <w:rPr>
                      <w:rFonts w:hint="eastAsia" w:ascii="宋体" w:cs="宋体"/>
                      <w:kern w:val="0"/>
                      <w:szCs w:val="21"/>
                    </w:rPr>
                    <w:t>外售综合利用</w:t>
                  </w:r>
                </w:p>
              </w:tc>
              <w:tc>
                <w:tcPr>
                  <w:tcW w:w="0" w:type="auto"/>
                  <w:vAlign w:val="center"/>
                </w:tcPr>
                <w:p w14:paraId="6A964E53">
                  <w:pPr>
                    <w:adjustRightInd w:val="0"/>
                    <w:snapToGrid w:val="0"/>
                    <w:jc w:val="center"/>
                    <w:rPr>
                      <w:bCs/>
                      <w:szCs w:val="21"/>
                    </w:rPr>
                  </w:pPr>
                  <w:r>
                    <w:rPr>
                      <w:rFonts w:hint="eastAsia"/>
                      <w:bCs/>
                      <w:szCs w:val="21"/>
                    </w:rPr>
                    <w:t>/</w:t>
                  </w:r>
                </w:p>
              </w:tc>
              <w:tc>
                <w:tcPr>
                  <w:tcW w:w="0" w:type="auto"/>
                  <w:shd w:val="clear" w:color="auto" w:fill="auto"/>
                  <w:vAlign w:val="center"/>
                </w:tcPr>
                <w:p w14:paraId="2347BCD7">
                  <w:pPr>
                    <w:adjustRightInd w:val="0"/>
                    <w:snapToGrid w:val="0"/>
                    <w:jc w:val="center"/>
                    <w:rPr>
                      <w:bCs/>
                      <w:szCs w:val="21"/>
                    </w:rPr>
                  </w:pPr>
                  <w:r>
                    <w:rPr>
                      <w:rFonts w:hint="eastAsia" w:ascii="宋体" w:cs="宋体"/>
                      <w:kern w:val="0"/>
                      <w:szCs w:val="21"/>
                    </w:rPr>
                    <w:t>外售综合利用</w:t>
                  </w:r>
                </w:p>
              </w:tc>
              <w:tc>
                <w:tcPr>
                  <w:tcW w:w="0" w:type="auto"/>
                  <w:vAlign w:val="center"/>
                </w:tcPr>
                <w:p w14:paraId="12245328">
                  <w:pPr>
                    <w:adjustRightInd w:val="0"/>
                    <w:snapToGrid w:val="0"/>
                    <w:jc w:val="center"/>
                    <w:rPr>
                      <w:bCs/>
                      <w:szCs w:val="21"/>
                    </w:rPr>
                  </w:pPr>
                  <w:r>
                    <w:rPr>
                      <w:bCs/>
                      <w:szCs w:val="21"/>
                    </w:rPr>
                    <w:t>不变</w:t>
                  </w:r>
                </w:p>
              </w:tc>
            </w:tr>
            <w:tr w14:paraId="4531494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37B069A1">
                  <w:pPr>
                    <w:adjustRightInd w:val="0"/>
                    <w:snapToGrid w:val="0"/>
                    <w:jc w:val="center"/>
                    <w:rPr>
                      <w:bCs/>
                      <w:szCs w:val="21"/>
                    </w:rPr>
                  </w:pPr>
                </w:p>
              </w:tc>
              <w:tc>
                <w:tcPr>
                  <w:tcW w:w="0" w:type="auto"/>
                  <w:vMerge w:val="continue"/>
                  <w:shd w:val="clear" w:color="auto" w:fill="auto"/>
                  <w:vAlign w:val="center"/>
                </w:tcPr>
                <w:p w14:paraId="05D10422">
                  <w:pPr>
                    <w:adjustRightInd w:val="0"/>
                    <w:snapToGrid w:val="0"/>
                    <w:jc w:val="center"/>
                    <w:rPr>
                      <w:bCs/>
                      <w:szCs w:val="21"/>
                    </w:rPr>
                  </w:pPr>
                </w:p>
              </w:tc>
              <w:tc>
                <w:tcPr>
                  <w:tcW w:w="0" w:type="auto"/>
                  <w:shd w:val="clear" w:color="auto" w:fill="auto"/>
                  <w:vAlign w:val="center"/>
                </w:tcPr>
                <w:p w14:paraId="3E983A22">
                  <w:pPr>
                    <w:jc w:val="center"/>
                    <w:rPr>
                      <w:szCs w:val="21"/>
                    </w:rPr>
                  </w:pPr>
                  <w:r>
                    <w:rPr>
                      <w:rFonts w:hint="eastAsia"/>
                      <w:szCs w:val="21"/>
                    </w:rPr>
                    <w:t>破损的碗碟</w:t>
                  </w:r>
                </w:p>
              </w:tc>
              <w:tc>
                <w:tcPr>
                  <w:tcW w:w="0" w:type="auto"/>
                  <w:shd w:val="clear" w:color="auto" w:fill="auto"/>
                  <w:vAlign w:val="center"/>
                </w:tcPr>
                <w:p w14:paraId="70FB0383">
                  <w:pPr>
                    <w:adjustRightInd w:val="0"/>
                    <w:snapToGrid w:val="0"/>
                    <w:jc w:val="center"/>
                    <w:rPr>
                      <w:bCs/>
                      <w:szCs w:val="21"/>
                    </w:rPr>
                  </w:pPr>
                  <w:r>
                    <w:rPr>
                      <w:rFonts w:hint="eastAsia"/>
                      <w:bCs/>
                      <w:szCs w:val="21"/>
                    </w:rPr>
                    <w:t>送垃圾填埋场填埋处置</w:t>
                  </w:r>
                </w:p>
              </w:tc>
              <w:tc>
                <w:tcPr>
                  <w:tcW w:w="0" w:type="auto"/>
                  <w:vAlign w:val="center"/>
                </w:tcPr>
                <w:p w14:paraId="68C2BEA2">
                  <w:pPr>
                    <w:adjustRightInd w:val="0"/>
                    <w:snapToGrid w:val="0"/>
                    <w:jc w:val="center"/>
                    <w:rPr>
                      <w:bCs/>
                      <w:szCs w:val="21"/>
                    </w:rPr>
                  </w:pPr>
                  <w:r>
                    <w:rPr>
                      <w:rFonts w:hint="eastAsia"/>
                      <w:bCs/>
                      <w:szCs w:val="21"/>
                    </w:rPr>
                    <w:t>/</w:t>
                  </w:r>
                </w:p>
              </w:tc>
              <w:tc>
                <w:tcPr>
                  <w:tcW w:w="0" w:type="auto"/>
                  <w:shd w:val="clear" w:color="auto" w:fill="auto"/>
                  <w:vAlign w:val="center"/>
                </w:tcPr>
                <w:p w14:paraId="12184B69">
                  <w:pPr>
                    <w:adjustRightInd w:val="0"/>
                    <w:snapToGrid w:val="0"/>
                    <w:jc w:val="center"/>
                    <w:rPr>
                      <w:bCs/>
                      <w:szCs w:val="21"/>
                    </w:rPr>
                  </w:pPr>
                  <w:r>
                    <w:rPr>
                      <w:rFonts w:hint="eastAsia"/>
                      <w:bCs/>
                      <w:szCs w:val="21"/>
                    </w:rPr>
                    <w:t>送垃圾填埋场填埋处置</w:t>
                  </w:r>
                </w:p>
              </w:tc>
              <w:tc>
                <w:tcPr>
                  <w:tcW w:w="0" w:type="auto"/>
                  <w:vAlign w:val="center"/>
                </w:tcPr>
                <w:p w14:paraId="4911A69A">
                  <w:pPr>
                    <w:adjustRightInd w:val="0"/>
                    <w:snapToGrid w:val="0"/>
                    <w:jc w:val="center"/>
                    <w:rPr>
                      <w:bCs/>
                      <w:szCs w:val="21"/>
                    </w:rPr>
                  </w:pPr>
                  <w:r>
                    <w:rPr>
                      <w:bCs/>
                      <w:szCs w:val="21"/>
                    </w:rPr>
                    <w:t>不变</w:t>
                  </w:r>
                </w:p>
              </w:tc>
            </w:tr>
            <w:tr w14:paraId="3DA5897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0ED4C86B">
                  <w:pPr>
                    <w:adjustRightInd w:val="0"/>
                    <w:snapToGrid w:val="0"/>
                    <w:jc w:val="center"/>
                    <w:rPr>
                      <w:bCs/>
                      <w:szCs w:val="21"/>
                    </w:rPr>
                  </w:pPr>
                </w:p>
              </w:tc>
              <w:tc>
                <w:tcPr>
                  <w:tcW w:w="0" w:type="auto"/>
                  <w:vMerge w:val="continue"/>
                  <w:shd w:val="clear" w:color="auto" w:fill="auto"/>
                  <w:vAlign w:val="center"/>
                </w:tcPr>
                <w:p w14:paraId="14195703">
                  <w:pPr>
                    <w:adjustRightInd w:val="0"/>
                    <w:snapToGrid w:val="0"/>
                    <w:jc w:val="center"/>
                    <w:rPr>
                      <w:bCs/>
                      <w:szCs w:val="21"/>
                    </w:rPr>
                  </w:pPr>
                </w:p>
              </w:tc>
              <w:tc>
                <w:tcPr>
                  <w:tcW w:w="0" w:type="auto"/>
                  <w:shd w:val="clear" w:color="auto" w:fill="auto"/>
                  <w:vAlign w:val="center"/>
                </w:tcPr>
                <w:p w14:paraId="2B2BD307">
                  <w:pPr>
                    <w:jc w:val="center"/>
                    <w:rPr>
                      <w:szCs w:val="21"/>
                    </w:rPr>
                  </w:pPr>
                  <w:r>
                    <w:rPr>
                      <w:rFonts w:hint="eastAsia"/>
                      <w:szCs w:val="21"/>
                    </w:rPr>
                    <w:t>餐具清洗除渣机除得的渣、废水站除得的渣</w:t>
                  </w:r>
                </w:p>
              </w:tc>
              <w:tc>
                <w:tcPr>
                  <w:tcW w:w="0" w:type="auto"/>
                  <w:shd w:val="clear" w:color="auto" w:fill="auto"/>
                  <w:vAlign w:val="center"/>
                </w:tcPr>
                <w:p w14:paraId="4B4B6B37">
                  <w:pPr>
                    <w:adjustRightInd w:val="0"/>
                    <w:snapToGrid w:val="0"/>
                    <w:jc w:val="center"/>
                    <w:rPr>
                      <w:bCs/>
                      <w:szCs w:val="21"/>
                    </w:rPr>
                  </w:pPr>
                  <w:r>
                    <w:rPr>
                      <w:rFonts w:hint="eastAsia" w:ascii="宋体" w:cs="宋体"/>
                      <w:kern w:val="0"/>
                      <w:szCs w:val="21"/>
                    </w:rPr>
                    <w:t>收集后送养殖场做饲料喂猪；</w:t>
                  </w:r>
                </w:p>
              </w:tc>
              <w:tc>
                <w:tcPr>
                  <w:tcW w:w="0" w:type="auto"/>
                  <w:vAlign w:val="center"/>
                </w:tcPr>
                <w:p w14:paraId="275CF53F">
                  <w:pPr>
                    <w:adjustRightInd w:val="0"/>
                    <w:snapToGrid w:val="0"/>
                    <w:jc w:val="center"/>
                    <w:rPr>
                      <w:bCs/>
                      <w:szCs w:val="21"/>
                    </w:rPr>
                  </w:pPr>
                  <w:r>
                    <w:rPr>
                      <w:rFonts w:hint="eastAsia"/>
                      <w:bCs/>
                      <w:szCs w:val="21"/>
                    </w:rPr>
                    <w:t>/</w:t>
                  </w:r>
                </w:p>
              </w:tc>
              <w:tc>
                <w:tcPr>
                  <w:tcW w:w="0" w:type="auto"/>
                  <w:shd w:val="clear" w:color="auto" w:fill="auto"/>
                  <w:vAlign w:val="center"/>
                </w:tcPr>
                <w:p w14:paraId="34394AAE">
                  <w:pPr>
                    <w:adjustRightInd w:val="0"/>
                    <w:snapToGrid w:val="0"/>
                    <w:jc w:val="center"/>
                    <w:rPr>
                      <w:bCs/>
                      <w:szCs w:val="21"/>
                    </w:rPr>
                  </w:pPr>
                  <w:r>
                    <w:rPr>
                      <w:rFonts w:hint="eastAsia" w:ascii="宋体" w:cs="宋体"/>
                      <w:kern w:val="0"/>
                      <w:szCs w:val="21"/>
                    </w:rPr>
                    <w:t>收集后送养殖场做饲料喂猪；</w:t>
                  </w:r>
                </w:p>
              </w:tc>
              <w:tc>
                <w:tcPr>
                  <w:tcW w:w="0" w:type="auto"/>
                  <w:vAlign w:val="center"/>
                </w:tcPr>
                <w:p w14:paraId="14F2B20E">
                  <w:pPr>
                    <w:adjustRightInd w:val="0"/>
                    <w:snapToGrid w:val="0"/>
                    <w:jc w:val="center"/>
                    <w:rPr>
                      <w:bCs/>
                      <w:szCs w:val="21"/>
                    </w:rPr>
                  </w:pPr>
                  <w:r>
                    <w:rPr>
                      <w:bCs/>
                      <w:szCs w:val="21"/>
                    </w:rPr>
                    <w:t>不变</w:t>
                  </w:r>
                </w:p>
              </w:tc>
            </w:tr>
            <w:tr w14:paraId="72A60A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1296A366">
                  <w:pPr>
                    <w:adjustRightInd w:val="0"/>
                    <w:snapToGrid w:val="0"/>
                    <w:jc w:val="center"/>
                    <w:rPr>
                      <w:bCs/>
                      <w:szCs w:val="21"/>
                    </w:rPr>
                  </w:pPr>
                </w:p>
              </w:tc>
              <w:tc>
                <w:tcPr>
                  <w:tcW w:w="0" w:type="auto"/>
                  <w:vMerge w:val="continue"/>
                  <w:shd w:val="clear" w:color="auto" w:fill="auto"/>
                  <w:vAlign w:val="center"/>
                </w:tcPr>
                <w:p w14:paraId="38073062">
                  <w:pPr>
                    <w:adjustRightInd w:val="0"/>
                    <w:snapToGrid w:val="0"/>
                    <w:jc w:val="center"/>
                    <w:rPr>
                      <w:bCs/>
                      <w:szCs w:val="21"/>
                    </w:rPr>
                  </w:pPr>
                </w:p>
              </w:tc>
              <w:tc>
                <w:tcPr>
                  <w:tcW w:w="0" w:type="auto"/>
                  <w:shd w:val="clear" w:color="auto" w:fill="auto"/>
                  <w:vAlign w:val="center"/>
                </w:tcPr>
                <w:p w14:paraId="06D7FF83">
                  <w:pPr>
                    <w:jc w:val="center"/>
                    <w:rPr>
                      <w:szCs w:val="21"/>
                    </w:rPr>
                  </w:pPr>
                  <w:r>
                    <w:rPr>
                      <w:rFonts w:hint="eastAsia"/>
                      <w:szCs w:val="21"/>
                    </w:rPr>
                    <w:t>生物质锅炉燃烧灰渣、除尘器除尘渣</w:t>
                  </w:r>
                </w:p>
              </w:tc>
              <w:tc>
                <w:tcPr>
                  <w:tcW w:w="0" w:type="auto"/>
                  <w:shd w:val="clear" w:color="auto" w:fill="auto"/>
                  <w:vAlign w:val="center"/>
                </w:tcPr>
                <w:p w14:paraId="27720B40">
                  <w:pPr>
                    <w:adjustRightInd w:val="0"/>
                    <w:snapToGrid w:val="0"/>
                    <w:jc w:val="center"/>
                    <w:rPr>
                      <w:bCs/>
                      <w:szCs w:val="21"/>
                    </w:rPr>
                  </w:pPr>
                  <w:r>
                    <w:rPr>
                      <w:rFonts w:hint="eastAsia" w:ascii="宋体" w:cs="宋体"/>
                      <w:kern w:val="0"/>
                      <w:szCs w:val="21"/>
                    </w:rPr>
                    <w:t>收集后用于农肥</w:t>
                  </w:r>
                </w:p>
              </w:tc>
              <w:tc>
                <w:tcPr>
                  <w:tcW w:w="0" w:type="auto"/>
                  <w:vAlign w:val="center"/>
                </w:tcPr>
                <w:p w14:paraId="5D2654BD">
                  <w:pPr>
                    <w:adjustRightInd w:val="0"/>
                    <w:snapToGrid w:val="0"/>
                    <w:jc w:val="center"/>
                    <w:rPr>
                      <w:bCs/>
                      <w:szCs w:val="21"/>
                    </w:rPr>
                  </w:pPr>
                  <w:r>
                    <w:rPr>
                      <w:rFonts w:hint="eastAsia" w:ascii="宋体" w:cs="宋体"/>
                      <w:kern w:val="0"/>
                      <w:szCs w:val="21"/>
                    </w:rPr>
                    <w:t>收集后用于农肥</w:t>
                  </w:r>
                </w:p>
              </w:tc>
              <w:tc>
                <w:tcPr>
                  <w:tcW w:w="0" w:type="auto"/>
                  <w:shd w:val="clear" w:color="auto" w:fill="auto"/>
                  <w:vAlign w:val="center"/>
                </w:tcPr>
                <w:p w14:paraId="228DC33C">
                  <w:pPr>
                    <w:adjustRightInd w:val="0"/>
                    <w:snapToGrid w:val="0"/>
                    <w:jc w:val="center"/>
                    <w:rPr>
                      <w:bCs/>
                      <w:szCs w:val="21"/>
                    </w:rPr>
                  </w:pPr>
                  <w:r>
                    <w:rPr>
                      <w:rFonts w:hint="eastAsia" w:ascii="宋体" w:cs="宋体"/>
                      <w:kern w:val="0"/>
                      <w:szCs w:val="21"/>
                    </w:rPr>
                    <w:t>收集后用于农肥</w:t>
                  </w:r>
                </w:p>
              </w:tc>
              <w:tc>
                <w:tcPr>
                  <w:tcW w:w="0" w:type="auto"/>
                  <w:vAlign w:val="center"/>
                </w:tcPr>
                <w:p w14:paraId="33878FD7">
                  <w:pPr>
                    <w:adjustRightInd w:val="0"/>
                    <w:snapToGrid w:val="0"/>
                    <w:jc w:val="center"/>
                    <w:rPr>
                      <w:bCs/>
                      <w:szCs w:val="21"/>
                    </w:rPr>
                  </w:pPr>
                  <w:r>
                    <w:rPr>
                      <w:rFonts w:hint="eastAsia"/>
                      <w:bCs/>
                      <w:szCs w:val="21"/>
                    </w:rPr>
                    <w:t>产生量增加，暂存处置方式不变</w:t>
                  </w:r>
                </w:p>
              </w:tc>
            </w:tr>
            <w:tr w14:paraId="119B7B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66DC00CA">
                  <w:pPr>
                    <w:adjustRightInd w:val="0"/>
                    <w:snapToGrid w:val="0"/>
                    <w:jc w:val="center"/>
                    <w:rPr>
                      <w:bCs/>
                      <w:szCs w:val="21"/>
                    </w:rPr>
                  </w:pPr>
                </w:p>
              </w:tc>
              <w:tc>
                <w:tcPr>
                  <w:tcW w:w="0" w:type="auto"/>
                  <w:vMerge w:val="continue"/>
                  <w:shd w:val="clear" w:color="auto" w:fill="auto"/>
                  <w:vAlign w:val="center"/>
                </w:tcPr>
                <w:p w14:paraId="21173999">
                  <w:pPr>
                    <w:adjustRightInd w:val="0"/>
                    <w:snapToGrid w:val="0"/>
                    <w:jc w:val="center"/>
                    <w:rPr>
                      <w:bCs/>
                      <w:szCs w:val="21"/>
                    </w:rPr>
                  </w:pPr>
                </w:p>
              </w:tc>
              <w:tc>
                <w:tcPr>
                  <w:tcW w:w="0" w:type="auto"/>
                  <w:shd w:val="clear" w:color="auto" w:fill="auto"/>
                  <w:vAlign w:val="center"/>
                </w:tcPr>
                <w:p w14:paraId="130971DC">
                  <w:pPr>
                    <w:jc w:val="center"/>
                    <w:rPr>
                      <w:szCs w:val="21"/>
                    </w:rPr>
                  </w:pPr>
                  <w:r>
                    <w:rPr>
                      <w:rFonts w:hint="eastAsia"/>
                      <w:szCs w:val="21"/>
                    </w:rPr>
                    <w:t>废包装物（洗洁精、消毒液包装物）</w:t>
                  </w:r>
                </w:p>
              </w:tc>
              <w:tc>
                <w:tcPr>
                  <w:tcW w:w="0" w:type="auto"/>
                  <w:shd w:val="clear" w:color="auto" w:fill="auto"/>
                  <w:vAlign w:val="center"/>
                </w:tcPr>
                <w:p w14:paraId="6C61BF24">
                  <w:pPr>
                    <w:adjustRightInd w:val="0"/>
                    <w:snapToGrid w:val="0"/>
                    <w:jc w:val="center"/>
                    <w:rPr>
                      <w:bCs/>
                      <w:szCs w:val="21"/>
                    </w:rPr>
                  </w:pPr>
                  <w:r>
                    <w:rPr>
                      <w:rFonts w:hint="eastAsia" w:ascii="宋体" w:cs="宋体"/>
                      <w:kern w:val="0"/>
                      <w:szCs w:val="21"/>
                    </w:rPr>
                    <w:t>外售综合利用</w:t>
                  </w:r>
                </w:p>
              </w:tc>
              <w:tc>
                <w:tcPr>
                  <w:tcW w:w="0" w:type="auto"/>
                  <w:shd w:val="clear" w:color="auto" w:fill="auto"/>
                  <w:vAlign w:val="center"/>
                </w:tcPr>
                <w:p w14:paraId="7CEEA715">
                  <w:pPr>
                    <w:adjustRightInd w:val="0"/>
                    <w:snapToGrid w:val="0"/>
                    <w:jc w:val="center"/>
                    <w:rPr>
                      <w:bCs/>
                      <w:szCs w:val="21"/>
                    </w:rPr>
                  </w:pPr>
                  <w:r>
                    <w:rPr>
                      <w:rFonts w:hint="eastAsia" w:ascii="宋体" w:cs="宋体"/>
                      <w:kern w:val="0"/>
                      <w:szCs w:val="21"/>
                    </w:rPr>
                    <w:t>外售综合利用</w:t>
                  </w:r>
                </w:p>
              </w:tc>
              <w:tc>
                <w:tcPr>
                  <w:tcW w:w="0" w:type="auto"/>
                  <w:shd w:val="clear" w:color="auto" w:fill="auto"/>
                  <w:vAlign w:val="center"/>
                </w:tcPr>
                <w:p w14:paraId="6A8CDD1E">
                  <w:pPr>
                    <w:adjustRightInd w:val="0"/>
                    <w:snapToGrid w:val="0"/>
                    <w:jc w:val="center"/>
                    <w:rPr>
                      <w:bCs/>
                      <w:szCs w:val="21"/>
                    </w:rPr>
                  </w:pPr>
                  <w:r>
                    <w:rPr>
                      <w:rFonts w:hint="eastAsia" w:ascii="宋体" w:cs="宋体"/>
                      <w:kern w:val="0"/>
                      <w:szCs w:val="21"/>
                    </w:rPr>
                    <w:t>外售综合利用</w:t>
                  </w:r>
                </w:p>
              </w:tc>
              <w:tc>
                <w:tcPr>
                  <w:tcW w:w="0" w:type="auto"/>
                  <w:vAlign w:val="center"/>
                </w:tcPr>
                <w:p w14:paraId="390BB7EB">
                  <w:pPr>
                    <w:adjustRightInd w:val="0"/>
                    <w:snapToGrid w:val="0"/>
                    <w:jc w:val="center"/>
                    <w:rPr>
                      <w:bCs/>
                      <w:szCs w:val="21"/>
                    </w:rPr>
                  </w:pPr>
                  <w:r>
                    <w:rPr>
                      <w:rFonts w:hint="eastAsia"/>
                      <w:bCs/>
                      <w:szCs w:val="21"/>
                    </w:rPr>
                    <w:t>产生量增加，暂存处置方式不变</w:t>
                  </w:r>
                </w:p>
              </w:tc>
            </w:tr>
            <w:tr w14:paraId="3A83AA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2E57CA9B">
                  <w:pPr>
                    <w:adjustRightInd w:val="0"/>
                    <w:snapToGrid w:val="0"/>
                    <w:jc w:val="center"/>
                    <w:rPr>
                      <w:bCs/>
                      <w:szCs w:val="21"/>
                    </w:rPr>
                  </w:pPr>
                </w:p>
              </w:tc>
              <w:tc>
                <w:tcPr>
                  <w:tcW w:w="0" w:type="auto"/>
                  <w:vMerge w:val="continue"/>
                  <w:shd w:val="clear" w:color="auto" w:fill="auto"/>
                  <w:vAlign w:val="center"/>
                </w:tcPr>
                <w:p w14:paraId="6F3F3DAB">
                  <w:pPr>
                    <w:adjustRightInd w:val="0"/>
                    <w:snapToGrid w:val="0"/>
                    <w:jc w:val="center"/>
                    <w:rPr>
                      <w:bCs/>
                      <w:szCs w:val="21"/>
                    </w:rPr>
                  </w:pPr>
                </w:p>
              </w:tc>
              <w:tc>
                <w:tcPr>
                  <w:tcW w:w="0" w:type="auto"/>
                  <w:shd w:val="clear" w:color="auto" w:fill="auto"/>
                  <w:vAlign w:val="center"/>
                </w:tcPr>
                <w:p w14:paraId="4588C87E">
                  <w:pPr>
                    <w:jc w:val="center"/>
                    <w:rPr>
                      <w:rFonts w:hint="eastAsia"/>
                      <w:color w:val="auto"/>
                      <w:szCs w:val="21"/>
                    </w:rPr>
                  </w:pPr>
                  <w:r>
                    <w:rPr>
                      <w:rFonts w:hint="eastAsia" w:ascii="Times New Roman"/>
                      <w:color w:val="auto"/>
                      <w:lang w:eastAsia="zh-CN"/>
                    </w:rPr>
                    <w:t>分拣医疗废物</w:t>
                  </w:r>
                </w:p>
              </w:tc>
              <w:tc>
                <w:tcPr>
                  <w:tcW w:w="0" w:type="auto"/>
                  <w:shd w:val="clear" w:color="auto" w:fill="auto"/>
                  <w:vAlign w:val="center"/>
                </w:tcPr>
                <w:p w14:paraId="79C8AA51">
                  <w:pPr>
                    <w:adjustRightInd w:val="0"/>
                    <w:snapToGrid w:val="0"/>
                    <w:jc w:val="center"/>
                    <w:rPr>
                      <w:rFonts w:hint="eastAsia" w:ascii="宋体" w:eastAsia="宋体" w:cs="宋体"/>
                      <w:color w:val="auto"/>
                      <w:kern w:val="0"/>
                      <w:szCs w:val="21"/>
                      <w:lang w:val="en-US" w:eastAsia="zh-CN"/>
                    </w:rPr>
                  </w:pPr>
                  <w:r>
                    <w:rPr>
                      <w:rFonts w:hint="eastAsia" w:ascii="宋体" w:cs="宋体"/>
                      <w:color w:val="auto"/>
                      <w:kern w:val="0"/>
                      <w:szCs w:val="21"/>
                      <w:lang w:val="en-US" w:eastAsia="zh-CN"/>
                    </w:rPr>
                    <w:t>/</w:t>
                  </w:r>
                </w:p>
              </w:tc>
              <w:tc>
                <w:tcPr>
                  <w:tcW w:w="0" w:type="auto"/>
                  <w:shd w:val="clear" w:color="auto" w:fill="auto"/>
                  <w:vAlign w:val="center"/>
                </w:tcPr>
                <w:p w14:paraId="2F1DE0C0">
                  <w:pPr>
                    <w:adjustRightInd w:val="0"/>
                    <w:snapToGrid w:val="0"/>
                    <w:jc w:val="center"/>
                    <w:rPr>
                      <w:rFonts w:hint="eastAsia" w:ascii="宋体" w:cs="宋体"/>
                      <w:color w:val="auto"/>
                      <w:kern w:val="0"/>
                      <w:szCs w:val="21"/>
                    </w:rPr>
                  </w:pPr>
                  <w:r>
                    <w:rPr>
                      <w:rFonts w:hint="eastAsia" w:ascii="Times New Roman"/>
                      <w:color w:val="auto"/>
                      <w:lang w:eastAsia="zh-CN"/>
                    </w:rPr>
                    <w:t>收集后</w:t>
                  </w:r>
                  <w:r>
                    <w:rPr>
                      <w:rFonts w:hint="eastAsia" w:ascii="Times New Roman"/>
                      <w:color w:val="auto"/>
                    </w:rPr>
                    <w:t>还给医院方，由医院方交给有资质单位处置</w:t>
                  </w:r>
                  <w:r>
                    <w:rPr>
                      <w:rFonts w:hint="eastAsia" w:ascii="Times New Roman"/>
                      <w:color w:val="auto"/>
                      <w:lang w:eastAsia="zh-CN"/>
                    </w:rPr>
                    <w:t>；</w:t>
                  </w:r>
                </w:p>
              </w:tc>
              <w:tc>
                <w:tcPr>
                  <w:tcW w:w="0" w:type="auto"/>
                  <w:shd w:val="clear" w:color="auto" w:fill="auto"/>
                  <w:vAlign w:val="center"/>
                </w:tcPr>
                <w:p w14:paraId="4B97DD45">
                  <w:pPr>
                    <w:adjustRightInd w:val="0"/>
                    <w:snapToGrid w:val="0"/>
                    <w:jc w:val="center"/>
                    <w:rPr>
                      <w:rFonts w:hint="eastAsia" w:ascii="宋体" w:cs="宋体"/>
                      <w:color w:val="auto"/>
                      <w:kern w:val="0"/>
                      <w:szCs w:val="21"/>
                    </w:rPr>
                  </w:pPr>
                  <w:r>
                    <w:rPr>
                      <w:rFonts w:hint="eastAsia" w:ascii="Times New Roman"/>
                      <w:color w:val="auto"/>
                      <w:lang w:eastAsia="zh-CN"/>
                    </w:rPr>
                    <w:t>收集后</w:t>
                  </w:r>
                  <w:r>
                    <w:rPr>
                      <w:rFonts w:hint="eastAsia" w:ascii="Times New Roman"/>
                      <w:color w:val="auto"/>
                    </w:rPr>
                    <w:t>还给医院方，由医院方交给有资质单位处置</w:t>
                  </w:r>
                  <w:r>
                    <w:rPr>
                      <w:rFonts w:hint="eastAsia" w:ascii="Times New Roman"/>
                      <w:color w:val="auto"/>
                      <w:lang w:eastAsia="zh-CN"/>
                    </w:rPr>
                    <w:t>；</w:t>
                  </w:r>
                </w:p>
              </w:tc>
              <w:tc>
                <w:tcPr>
                  <w:tcW w:w="0" w:type="auto"/>
                  <w:vAlign w:val="center"/>
                </w:tcPr>
                <w:p w14:paraId="33CED920">
                  <w:pPr>
                    <w:adjustRightInd w:val="0"/>
                    <w:snapToGrid w:val="0"/>
                    <w:jc w:val="center"/>
                    <w:rPr>
                      <w:rFonts w:hint="eastAsia" w:eastAsia="宋体"/>
                      <w:bCs/>
                      <w:color w:val="auto"/>
                      <w:szCs w:val="21"/>
                      <w:lang w:eastAsia="zh-CN"/>
                    </w:rPr>
                  </w:pPr>
                  <w:r>
                    <w:rPr>
                      <w:rFonts w:hint="eastAsia"/>
                      <w:bCs/>
                      <w:color w:val="auto"/>
                      <w:szCs w:val="21"/>
                      <w:lang w:eastAsia="zh-CN"/>
                    </w:rPr>
                    <w:t>新增</w:t>
                  </w:r>
                </w:p>
              </w:tc>
            </w:tr>
            <w:tr w14:paraId="14B06A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02F8F3FC">
                  <w:pPr>
                    <w:adjustRightInd w:val="0"/>
                    <w:snapToGrid w:val="0"/>
                    <w:jc w:val="center"/>
                    <w:rPr>
                      <w:bCs/>
                      <w:szCs w:val="21"/>
                    </w:rPr>
                  </w:pPr>
                </w:p>
              </w:tc>
              <w:tc>
                <w:tcPr>
                  <w:tcW w:w="0" w:type="auto"/>
                  <w:vMerge w:val="continue"/>
                  <w:shd w:val="clear" w:color="auto" w:fill="auto"/>
                  <w:vAlign w:val="center"/>
                </w:tcPr>
                <w:p w14:paraId="30E5BEB4">
                  <w:pPr>
                    <w:adjustRightInd w:val="0"/>
                    <w:snapToGrid w:val="0"/>
                    <w:jc w:val="center"/>
                    <w:rPr>
                      <w:bCs/>
                      <w:szCs w:val="21"/>
                    </w:rPr>
                  </w:pPr>
                </w:p>
              </w:tc>
              <w:tc>
                <w:tcPr>
                  <w:tcW w:w="0" w:type="auto"/>
                  <w:shd w:val="clear" w:color="auto" w:fill="auto"/>
                  <w:vAlign w:val="center"/>
                </w:tcPr>
                <w:p w14:paraId="7B9E084D">
                  <w:pPr>
                    <w:jc w:val="center"/>
                    <w:rPr>
                      <w:rFonts w:hint="eastAsia" w:ascii="Times New Roman"/>
                      <w:color w:val="auto"/>
                      <w:lang w:eastAsia="zh-CN"/>
                    </w:rPr>
                  </w:pPr>
                  <w:r>
                    <w:rPr>
                      <w:rFonts w:hint="eastAsia"/>
                      <w:color w:val="auto"/>
                      <w:lang w:eastAsia="zh-CN"/>
                    </w:rPr>
                    <w:t>纤维尘</w:t>
                  </w:r>
                </w:p>
              </w:tc>
              <w:tc>
                <w:tcPr>
                  <w:tcW w:w="0" w:type="auto"/>
                  <w:shd w:val="clear" w:color="auto" w:fill="auto"/>
                  <w:vAlign w:val="center"/>
                </w:tcPr>
                <w:p w14:paraId="6718830E">
                  <w:pPr>
                    <w:adjustRightInd w:val="0"/>
                    <w:snapToGrid w:val="0"/>
                    <w:jc w:val="center"/>
                    <w:rPr>
                      <w:rFonts w:hint="eastAsia" w:ascii="宋体" w:cs="宋体"/>
                      <w:color w:val="auto"/>
                      <w:kern w:val="0"/>
                      <w:szCs w:val="21"/>
                      <w:lang w:val="en-US" w:eastAsia="zh-CN"/>
                    </w:rPr>
                  </w:pPr>
                  <w:r>
                    <w:rPr>
                      <w:rFonts w:hint="eastAsia" w:ascii="宋体" w:cs="宋体"/>
                      <w:color w:val="auto"/>
                      <w:kern w:val="0"/>
                      <w:szCs w:val="21"/>
                      <w:lang w:val="en-US" w:eastAsia="zh-CN"/>
                    </w:rPr>
                    <w:t>环评未明确，实际未收集</w:t>
                  </w:r>
                </w:p>
              </w:tc>
              <w:tc>
                <w:tcPr>
                  <w:tcW w:w="0" w:type="auto"/>
                  <w:shd w:val="clear" w:color="auto" w:fill="auto"/>
                  <w:vAlign w:val="center"/>
                </w:tcPr>
                <w:p w14:paraId="2C80C30F">
                  <w:pPr>
                    <w:adjustRightInd w:val="0"/>
                    <w:snapToGrid w:val="0"/>
                    <w:jc w:val="center"/>
                    <w:rPr>
                      <w:rFonts w:hint="eastAsia" w:ascii="Times New Roman"/>
                      <w:color w:val="auto"/>
                      <w:lang w:eastAsia="zh-CN"/>
                    </w:rPr>
                  </w:pPr>
                  <w:r>
                    <w:rPr>
                      <w:rFonts w:hint="eastAsia" w:ascii="宋体" w:cs="宋体"/>
                      <w:kern w:val="0"/>
                      <w:szCs w:val="21"/>
                    </w:rPr>
                    <w:t>收集后</w:t>
                  </w:r>
                  <w:r>
                    <w:rPr>
                      <w:szCs w:val="21"/>
                    </w:rPr>
                    <w:t>交环卫部门清运处理</w:t>
                  </w:r>
                </w:p>
              </w:tc>
              <w:tc>
                <w:tcPr>
                  <w:tcW w:w="0" w:type="auto"/>
                  <w:shd w:val="clear" w:color="auto" w:fill="auto"/>
                  <w:vAlign w:val="center"/>
                </w:tcPr>
                <w:p w14:paraId="4D4766A1">
                  <w:pPr>
                    <w:adjustRightInd w:val="0"/>
                    <w:snapToGrid w:val="0"/>
                    <w:jc w:val="center"/>
                    <w:rPr>
                      <w:rFonts w:hint="eastAsia" w:ascii="Times New Roman"/>
                      <w:color w:val="auto"/>
                      <w:lang w:eastAsia="zh-CN"/>
                    </w:rPr>
                  </w:pPr>
                  <w:r>
                    <w:rPr>
                      <w:rFonts w:hint="eastAsia" w:ascii="宋体" w:cs="宋体"/>
                      <w:kern w:val="0"/>
                      <w:szCs w:val="21"/>
                    </w:rPr>
                    <w:t>收集后</w:t>
                  </w:r>
                  <w:r>
                    <w:rPr>
                      <w:szCs w:val="21"/>
                    </w:rPr>
                    <w:t>交环卫部门清运处理</w:t>
                  </w:r>
                </w:p>
              </w:tc>
              <w:tc>
                <w:tcPr>
                  <w:tcW w:w="0" w:type="auto"/>
                  <w:vAlign w:val="center"/>
                </w:tcPr>
                <w:p w14:paraId="6348CDD7">
                  <w:pPr>
                    <w:adjustRightInd w:val="0"/>
                    <w:snapToGrid w:val="0"/>
                    <w:jc w:val="center"/>
                    <w:rPr>
                      <w:rFonts w:hint="eastAsia"/>
                      <w:bCs/>
                      <w:color w:val="auto"/>
                      <w:szCs w:val="21"/>
                      <w:lang w:eastAsia="zh-CN"/>
                    </w:rPr>
                  </w:pPr>
                  <w:r>
                    <w:rPr>
                      <w:rFonts w:hint="eastAsia"/>
                      <w:bCs/>
                      <w:color w:val="auto"/>
                      <w:szCs w:val="21"/>
                      <w:lang w:eastAsia="zh-CN"/>
                    </w:rPr>
                    <w:t>新增收集</w:t>
                  </w:r>
                </w:p>
              </w:tc>
            </w:tr>
            <w:tr w14:paraId="3CD7F2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2" w:hRule="atLeast"/>
              </w:trPr>
              <w:tc>
                <w:tcPr>
                  <w:tcW w:w="0" w:type="auto"/>
                  <w:vMerge w:val="continue"/>
                  <w:shd w:val="clear" w:color="auto" w:fill="auto"/>
                  <w:vAlign w:val="center"/>
                </w:tcPr>
                <w:p w14:paraId="0507DDA9">
                  <w:pPr>
                    <w:adjustRightInd w:val="0"/>
                    <w:snapToGrid w:val="0"/>
                    <w:jc w:val="center"/>
                    <w:rPr>
                      <w:bCs/>
                      <w:szCs w:val="21"/>
                    </w:rPr>
                  </w:pPr>
                </w:p>
              </w:tc>
              <w:tc>
                <w:tcPr>
                  <w:tcW w:w="0" w:type="auto"/>
                  <w:vMerge w:val="continue"/>
                  <w:shd w:val="clear" w:color="auto" w:fill="auto"/>
                  <w:vAlign w:val="center"/>
                </w:tcPr>
                <w:p w14:paraId="04C6C850">
                  <w:pPr>
                    <w:adjustRightInd w:val="0"/>
                    <w:snapToGrid w:val="0"/>
                    <w:jc w:val="center"/>
                    <w:rPr>
                      <w:bCs/>
                      <w:szCs w:val="21"/>
                    </w:rPr>
                  </w:pPr>
                </w:p>
              </w:tc>
              <w:tc>
                <w:tcPr>
                  <w:tcW w:w="0" w:type="auto"/>
                  <w:shd w:val="clear" w:color="auto" w:fill="auto"/>
                  <w:vAlign w:val="center"/>
                </w:tcPr>
                <w:p w14:paraId="58FF6A38">
                  <w:pPr>
                    <w:jc w:val="center"/>
                    <w:rPr>
                      <w:color w:val="auto"/>
                      <w:szCs w:val="21"/>
                    </w:rPr>
                  </w:pPr>
                  <w:r>
                    <w:rPr>
                      <w:rFonts w:hint="eastAsia"/>
                      <w:color w:val="auto"/>
                      <w:szCs w:val="21"/>
                    </w:rPr>
                    <w:t>废水处理站污泥</w:t>
                  </w:r>
                </w:p>
              </w:tc>
              <w:tc>
                <w:tcPr>
                  <w:tcW w:w="0" w:type="auto"/>
                  <w:shd w:val="clear" w:color="auto" w:fill="auto"/>
                  <w:vAlign w:val="center"/>
                </w:tcPr>
                <w:p w14:paraId="599AD948">
                  <w:pPr>
                    <w:adjustRightInd w:val="0"/>
                    <w:snapToGrid w:val="0"/>
                    <w:jc w:val="center"/>
                    <w:rPr>
                      <w:bCs/>
                      <w:color w:val="auto"/>
                      <w:szCs w:val="21"/>
                    </w:rPr>
                  </w:pPr>
                  <w:r>
                    <w:rPr>
                      <w:rFonts w:hint="eastAsia"/>
                      <w:bCs/>
                      <w:color w:val="auto"/>
                      <w:szCs w:val="21"/>
                    </w:rPr>
                    <w:t>送垃圾填埋场填埋处置</w:t>
                  </w:r>
                </w:p>
              </w:tc>
              <w:tc>
                <w:tcPr>
                  <w:tcW w:w="0" w:type="auto"/>
                  <w:shd w:val="clear" w:color="auto" w:fill="auto"/>
                  <w:vAlign w:val="center"/>
                </w:tcPr>
                <w:p w14:paraId="248E916D">
                  <w:pPr>
                    <w:adjustRightInd w:val="0"/>
                    <w:snapToGrid w:val="0"/>
                    <w:jc w:val="center"/>
                    <w:rPr>
                      <w:bCs/>
                      <w:color w:val="auto"/>
                      <w:szCs w:val="21"/>
                    </w:rPr>
                  </w:pPr>
                  <w:r>
                    <w:rPr>
                      <w:rFonts w:hint="eastAsia" w:ascii="Times New Roman"/>
                    </w:rPr>
                    <w:t>废水处理站</w:t>
                  </w:r>
                  <w:r>
                    <w:rPr>
                      <w:rFonts w:ascii="Times New Roman"/>
                    </w:rPr>
                    <w:t>污泥：</w:t>
                  </w:r>
                  <w:r>
                    <w:rPr>
                      <w:rFonts w:hint="eastAsia" w:ascii="Times New Roman"/>
                      <w:lang w:eastAsia="zh-CN"/>
                    </w:rPr>
                    <w:t>委托水泥厂协同处置。</w:t>
                  </w:r>
                </w:p>
              </w:tc>
              <w:tc>
                <w:tcPr>
                  <w:tcW w:w="0" w:type="auto"/>
                  <w:shd w:val="clear" w:color="auto" w:fill="auto"/>
                  <w:vAlign w:val="center"/>
                </w:tcPr>
                <w:p w14:paraId="0C6DB627">
                  <w:pPr>
                    <w:adjustRightInd w:val="0"/>
                    <w:snapToGrid w:val="0"/>
                    <w:jc w:val="center"/>
                    <w:rPr>
                      <w:bCs/>
                      <w:color w:val="auto"/>
                      <w:szCs w:val="21"/>
                    </w:rPr>
                  </w:pPr>
                  <w:r>
                    <w:rPr>
                      <w:rFonts w:hint="eastAsia" w:ascii="Times New Roman"/>
                    </w:rPr>
                    <w:t>废水处理站</w:t>
                  </w:r>
                  <w:r>
                    <w:rPr>
                      <w:rFonts w:ascii="Times New Roman"/>
                    </w:rPr>
                    <w:t>污泥：</w:t>
                  </w:r>
                  <w:r>
                    <w:rPr>
                      <w:rFonts w:hint="eastAsia" w:ascii="Times New Roman"/>
                      <w:lang w:eastAsia="zh-CN"/>
                    </w:rPr>
                    <w:t>委托水泥厂协同处置。</w:t>
                  </w:r>
                </w:p>
              </w:tc>
              <w:tc>
                <w:tcPr>
                  <w:tcW w:w="0" w:type="auto"/>
                  <w:vAlign w:val="center"/>
                </w:tcPr>
                <w:p w14:paraId="67F1A871">
                  <w:pPr>
                    <w:adjustRightInd w:val="0"/>
                    <w:snapToGrid w:val="0"/>
                    <w:jc w:val="center"/>
                    <w:rPr>
                      <w:rFonts w:hint="default" w:eastAsia="宋体"/>
                      <w:bCs/>
                      <w:color w:val="auto"/>
                      <w:szCs w:val="21"/>
                      <w:lang w:val="en-US" w:eastAsia="zh-CN"/>
                    </w:rPr>
                  </w:pPr>
                  <w:r>
                    <w:rPr>
                      <w:rFonts w:hint="eastAsia"/>
                      <w:bCs/>
                      <w:color w:val="auto"/>
                      <w:szCs w:val="21"/>
                      <w:lang w:val="en-US" w:eastAsia="zh-CN"/>
                    </w:rPr>
                    <w:t>固废性质有变化，处置方式变化</w:t>
                  </w:r>
                </w:p>
              </w:tc>
            </w:tr>
            <w:tr w14:paraId="1C8C05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4385F22D">
                  <w:pPr>
                    <w:adjustRightInd w:val="0"/>
                    <w:snapToGrid w:val="0"/>
                    <w:jc w:val="center"/>
                    <w:rPr>
                      <w:bCs/>
                      <w:szCs w:val="21"/>
                    </w:rPr>
                  </w:pPr>
                </w:p>
              </w:tc>
              <w:tc>
                <w:tcPr>
                  <w:tcW w:w="0" w:type="auto"/>
                  <w:vMerge w:val="continue"/>
                  <w:shd w:val="clear" w:color="auto" w:fill="auto"/>
                  <w:vAlign w:val="center"/>
                </w:tcPr>
                <w:p w14:paraId="04A87095">
                  <w:pPr>
                    <w:adjustRightInd w:val="0"/>
                    <w:snapToGrid w:val="0"/>
                    <w:jc w:val="center"/>
                    <w:rPr>
                      <w:bCs/>
                      <w:szCs w:val="21"/>
                    </w:rPr>
                  </w:pPr>
                </w:p>
              </w:tc>
              <w:tc>
                <w:tcPr>
                  <w:tcW w:w="0" w:type="auto"/>
                  <w:shd w:val="clear" w:color="auto" w:fill="auto"/>
                  <w:vAlign w:val="center"/>
                </w:tcPr>
                <w:p w14:paraId="4CF3BB80">
                  <w:pPr>
                    <w:pStyle w:val="28"/>
                    <w:spacing w:before="24" w:after="24"/>
                    <w:jc w:val="left"/>
                    <w:rPr>
                      <w:rFonts w:ascii="Times New Roman"/>
                    </w:rPr>
                  </w:pPr>
                  <w:r>
                    <w:rPr>
                      <w:rFonts w:ascii="Times New Roman"/>
                    </w:rPr>
                    <w:t>废离子交换树脂</w:t>
                  </w:r>
                </w:p>
                <w:p w14:paraId="3D6D0042">
                  <w:pPr>
                    <w:adjustRightInd w:val="0"/>
                    <w:snapToGrid w:val="0"/>
                    <w:jc w:val="center"/>
                    <w:rPr>
                      <w:bCs/>
                      <w:szCs w:val="21"/>
                    </w:rPr>
                  </w:pPr>
                </w:p>
              </w:tc>
              <w:tc>
                <w:tcPr>
                  <w:tcW w:w="0" w:type="auto"/>
                  <w:shd w:val="clear" w:color="auto" w:fill="auto"/>
                  <w:vAlign w:val="center"/>
                </w:tcPr>
                <w:p w14:paraId="19AFA6E4">
                  <w:pPr>
                    <w:adjustRightInd w:val="0"/>
                    <w:snapToGrid w:val="0"/>
                    <w:jc w:val="center"/>
                    <w:rPr>
                      <w:bCs/>
                      <w:szCs w:val="21"/>
                    </w:rPr>
                  </w:pPr>
                  <w:r>
                    <w:rPr>
                      <w:rFonts w:hint="eastAsia"/>
                      <w:bCs/>
                      <w:szCs w:val="21"/>
                    </w:rPr>
                    <w:t>原环评未提及</w:t>
                  </w:r>
                </w:p>
              </w:tc>
              <w:tc>
                <w:tcPr>
                  <w:tcW w:w="0" w:type="auto"/>
                  <w:vAlign w:val="center"/>
                </w:tcPr>
                <w:p w14:paraId="02A2342D">
                  <w:pPr>
                    <w:adjustRightInd w:val="0"/>
                    <w:snapToGrid w:val="0"/>
                    <w:jc w:val="center"/>
                    <w:rPr>
                      <w:bCs/>
                      <w:szCs w:val="21"/>
                    </w:rPr>
                  </w:pPr>
                  <w:r>
                    <w:t>由原厂家直接回收处理；</w:t>
                  </w:r>
                </w:p>
              </w:tc>
              <w:tc>
                <w:tcPr>
                  <w:tcW w:w="0" w:type="auto"/>
                  <w:shd w:val="clear" w:color="auto" w:fill="auto"/>
                  <w:vAlign w:val="center"/>
                </w:tcPr>
                <w:p w14:paraId="23B8506E">
                  <w:pPr>
                    <w:adjustRightInd w:val="0"/>
                    <w:snapToGrid w:val="0"/>
                    <w:jc w:val="center"/>
                    <w:rPr>
                      <w:bCs/>
                      <w:szCs w:val="21"/>
                    </w:rPr>
                  </w:pPr>
                  <w:r>
                    <w:t>由原厂家直接回收处理；</w:t>
                  </w:r>
                </w:p>
              </w:tc>
              <w:tc>
                <w:tcPr>
                  <w:tcW w:w="0" w:type="auto"/>
                  <w:vAlign w:val="center"/>
                </w:tcPr>
                <w:p w14:paraId="70F25AA3">
                  <w:pPr>
                    <w:adjustRightInd w:val="0"/>
                    <w:snapToGrid w:val="0"/>
                    <w:jc w:val="center"/>
                    <w:rPr>
                      <w:bCs/>
                      <w:szCs w:val="21"/>
                    </w:rPr>
                  </w:pPr>
                  <w:r>
                    <w:rPr>
                      <w:rFonts w:hint="eastAsia"/>
                      <w:bCs/>
                      <w:szCs w:val="21"/>
                    </w:rPr>
                    <w:t>产生量增加，暂存处置方式不变</w:t>
                  </w:r>
                </w:p>
              </w:tc>
            </w:tr>
          </w:tbl>
          <w:p w14:paraId="42B8AA6B">
            <w:pPr>
              <w:adjustRightInd w:val="0"/>
              <w:snapToGrid w:val="0"/>
              <w:spacing w:line="360" w:lineRule="auto"/>
              <w:ind w:firstLine="482" w:firstLineChars="200"/>
              <w:rPr>
                <w:b/>
                <w:bCs/>
                <w:sz w:val="24"/>
              </w:rPr>
            </w:pPr>
            <w:r>
              <w:rPr>
                <w:rFonts w:hint="eastAsia"/>
                <w:b/>
                <w:bCs/>
                <w:sz w:val="24"/>
              </w:rPr>
              <w:t>3</w:t>
            </w:r>
            <w:r>
              <w:rPr>
                <w:b/>
                <w:bCs/>
                <w:sz w:val="24"/>
              </w:rPr>
              <w:t>、项目生产规模及产品方案</w:t>
            </w:r>
          </w:p>
          <w:p w14:paraId="416EAED3">
            <w:pPr>
              <w:adjustRightInd w:val="0"/>
              <w:snapToGrid w:val="0"/>
              <w:spacing w:line="360" w:lineRule="auto"/>
              <w:ind w:firstLine="480" w:firstLineChars="200"/>
              <w:rPr>
                <w:b/>
                <w:bCs/>
                <w:sz w:val="24"/>
              </w:rPr>
            </w:pPr>
            <w:r>
              <w:rPr>
                <w:rFonts w:hint="eastAsia"/>
                <w:sz w:val="24"/>
              </w:rPr>
              <w:t>根据建设单位提供的资料，项目改建前后的生产规模及产品方案详见表</w:t>
            </w:r>
            <w:r>
              <w:rPr>
                <w:sz w:val="24"/>
              </w:rPr>
              <w:t>2-2</w:t>
            </w:r>
            <w:r>
              <w:rPr>
                <w:rFonts w:hint="eastAsia"/>
                <w:sz w:val="24"/>
              </w:rPr>
              <w:t>。</w:t>
            </w:r>
            <w:r>
              <w:rPr>
                <w:sz w:val="24"/>
              </w:rPr>
              <w:t xml:space="preserve"> </w:t>
            </w:r>
          </w:p>
          <w:p w14:paraId="4E35BA54">
            <w:pPr>
              <w:autoSpaceDE w:val="0"/>
              <w:autoSpaceDN w:val="0"/>
              <w:adjustRightInd w:val="0"/>
              <w:spacing w:before="120" w:beforeLines="50"/>
              <w:jc w:val="center"/>
              <w:rPr>
                <w:b/>
                <w:kern w:val="0"/>
                <w:szCs w:val="21"/>
              </w:rPr>
            </w:pPr>
            <w:r>
              <w:rPr>
                <w:b/>
                <w:kern w:val="0"/>
                <w:szCs w:val="21"/>
              </w:rPr>
              <w:t>表2-</w:t>
            </w:r>
            <w:r>
              <w:rPr>
                <w:rFonts w:hint="eastAsia"/>
                <w:b/>
                <w:kern w:val="0"/>
                <w:szCs w:val="21"/>
              </w:rPr>
              <w:t>2</w:t>
            </w:r>
            <w:r>
              <w:rPr>
                <w:b/>
                <w:kern w:val="0"/>
                <w:szCs w:val="21"/>
              </w:rPr>
              <w:t xml:space="preserve">  </w:t>
            </w:r>
            <w:r>
              <w:rPr>
                <w:rFonts w:hint="eastAsia"/>
                <w:b/>
                <w:kern w:val="0"/>
                <w:szCs w:val="21"/>
              </w:rPr>
              <w:t>项目改建前后的生产规模及产品方案</w:t>
            </w:r>
            <w:r>
              <w:rPr>
                <w:b/>
                <w:kern w:val="0"/>
                <w:szCs w:val="21"/>
              </w:rPr>
              <w:t>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1"/>
              <w:gridCol w:w="560"/>
              <w:gridCol w:w="2913"/>
              <w:gridCol w:w="562"/>
              <w:gridCol w:w="1537"/>
              <w:gridCol w:w="1310"/>
              <w:gridCol w:w="906"/>
              <w:gridCol w:w="950"/>
            </w:tblGrid>
            <w:tr w14:paraId="76685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2" w:hRule="atLeast"/>
                <w:jc w:val="center"/>
              </w:trPr>
              <w:tc>
                <w:tcPr>
                  <w:tcW w:w="0" w:type="auto"/>
                  <w:vMerge w:val="restart"/>
                  <w:vAlign w:val="center"/>
                </w:tcPr>
                <w:p w14:paraId="7E3A1502">
                  <w:pPr>
                    <w:adjustRightInd w:val="0"/>
                    <w:snapToGrid w:val="0"/>
                    <w:jc w:val="center"/>
                    <w:rPr>
                      <w:b/>
                      <w:bCs/>
                      <w:szCs w:val="21"/>
                    </w:rPr>
                  </w:pPr>
                  <w:r>
                    <w:rPr>
                      <w:rFonts w:hint="eastAsia"/>
                      <w:b/>
                      <w:bCs/>
                      <w:szCs w:val="21"/>
                    </w:rPr>
                    <w:t>序号</w:t>
                  </w:r>
                </w:p>
              </w:tc>
              <w:tc>
                <w:tcPr>
                  <w:tcW w:w="0" w:type="auto"/>
                  <w:gridSpan w:val="2"/>
                  <w:vMerge w:val="restart"/>
                  <w:vAlign w:val="center"/>
                </w:tcPr>
                <w:p w14:paraId="1544EE88">
                  <w:pPr>
                    <w:adjustRightInd w:val="0"/>
                    <w:snapToGrid w:val="0"/>
                    <w:jc w:val="center"/>
                    <w:rPr>
                      <w:b/>
                      <w:bCs/>
                      <w:szCs w:val="21"/>
                    </w:rPr>
                  </w:pPr>
                  <w:r>
                    <w:rPr>
                      <w:rFonts w:hint="eastAsia"/>
                      <w:b/>
                      <w:bCs/>
                      <w:szCs w:val="21"/>
                    </w:rPr>
                    <w:t>产品名称</w:t>
                  </w:r>
                </w:p>
              </w:tc>
              <w:tc>
                <w:tcPr>
                  <w:tcW w:w="0" w:type="auto"/>
                  <w:vMerge w:val="restart"/>
                  <w:vAlign w:val="center"/>
                </w:tcPr>
                <w:p w14:paraId="107F942D">
                  <w:pPr>
                    <w:adjustRightInd w:val="0"/>
                    <w:snapToGrid w:val="0"/>
                    <w:jc w:val="center"/>
                    <w:rPr>
                      <w:b/>
                      <w:bCs/>
                      <w:szCs w:val="21"/>
                    </w:rPr>
                  </w:pPr>
                  <w:r>
                    <w:rPr>
                      <w:b/>
                      <w:bCs/>
                      <w:szCs w:val="21"/>
                    </w:rPr>
                    <w:t>规格</w:t>
                  </w:r>
                </w:p>
              </w:tc>
              <w:tc>
                <w:tcPr>
                  <w:tcW w:w="0" w:type="auto"/>
                  <w:gridSpan w:val="3"/>
                  <w:vAlign w:val="center"/>
                </w:tcPr>
                <w:p w14:paraId="096441BE">
                  <w:pPr>
                    <w:adjustRightInd w:val="0"/>
                    <w:snapToGrid w:val="0"/>
                    <w:jc w:val="center"/>
                    <w:rPr>
                      <w:b/>
                      <w:bCs/>
                      <w:szCs w:val="21"/>
                    </w:rPr>
                  </w:pPr>
                  <w:r>
                    <w:rPr>
                      <w:rFonts w:hint="eastAsia"/>
                      <w:b/>
                      <w:bCs/>
                      <w:szCs w:val="21"/>
                    </w:rPr>
                    <w:t>年生产能力</w:t>
                  </w:r>
                </w:p>
              </w:tc>
              <w:tc>
                <w:tcPr>
                  <w:tcW w:w="0" w:type="auto"/>
                  <w:vMerge w:val="restart"/>
                  <w:vAlign w:val="center"/>
                </w:tcPr>
                <w:p w14:paraId="663ABCC2">
                  <w:pPr>
                    <w:adjustRightInd w:val="0"/>
                    <w:snapToGrid w:val="0"/>
                    <w:jc w:val="center"/>
                    <w:rPr>
                      <w:b/>
                      <w:bCs/>
                      <w:szCs w:val="21"/>
                    </w:rPr>
                  </w:pPr>
                  <w:r>
                    <w:rPr>
                      <w:rFonts w:hint="eastAsia"/>
                      <w:b/>
                      <w:bCs/>
                      <w:szCs w:val="21"/>
                    </w:rPr>
                    <w:t>变化情况</w:t>
                  </w:r>
                </w:p>
              </w:tc>
            </w:tr>
            <w:tr w14:paraId="7415A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0" w:type="auto"/>
                  <w:vMerge w:val="continue"/>
                  <w:vAlign w:val="center"/>
                </w:tcPr>
                <w:p w14:paraId="1C7DF0F7">
                  <w:pPr>
                    <w:adjustRightInd w:val="0"/>
                    <w:snapToGrid w:val="0"/>
                    <w:jc w:val="center"/>
                  </w:pPr>
                </w:p>
              </w:tc>
              <w:tc>
                <w:tcPr>
                  <w:tcW w:w="0" w:type="auto"/>
                  <w:gridSpan w:val="2"/>
                  <w:vMerge w:val="continue"/>
                  <w:vAlign w:val="center"/>
                </w:tcPr>
                <w:p w14:paraId="2691E8B5">
                  <w:pPr>
                    <w:adjustRightInd w:val="0"/>
                    <w:snapToGrid w:val="0"/>
                    <w:jc w:val="center"/>
                  </w:pPr>
                </w:p>
              </w:tc>
              <w:tc>
                <w:tcPr>
                  <w:tcW w:w="0" w:type="auto"/>
                  <w:vMerge w:val="continue"/>
                  <w:vAlign w:val="center"/>
                </w:tcPr>
                <w:p w14:paraId="46992B57">
                  <w:pPr>
                    <w:adjustRightInd w:val="0"/>
                    <w:snapToGrid w:val="0"/>
                    <w:jc w:val="center"/>
                  </w:pPr>
                </w:p>
              </w:tc>
              <w:tc>
                <w:tcPr>
                  <w:tcW w:w="0" w:type="auto"/>
                  <w:vAlign w:val="center"/>
                </w:tcPr>
                <w:p w14:paraId="7D207C4C">
                  <w:pPr>
                    <w:adjustRightInd w:val="0"/>
                    <w:snapToGrid w:val="0"/>
                    <w:jc w:val="center"/>
                    <w:rPr>
                      <w:b/>
                      <w:bCs/>
                      <w:szCs w:val="21"/>
                    </w:rPr>
                  </w:pPr>
                  <w:r>
                    <w:rPr>
                      <w:rFonts w:hint="eastAsia"/>
                      <w:b/>
                      <w:bCs/>
                      <w:szCs w:val="21"/>
                    </w:rPr>
                    <w:t>改扩建前</w:t>
                  </w:r>
                </w:p>
              </w:tc>
              <w:tc>
                <w:tcPr>
                  <w:tcW w:w="0" w:type="auto"/>
                  <w:vAlign w:val="center"/>
                </w:tcPr>
                <w:p w14:paraId="624D6BB0">
                  <w:pPr>
                    <w:adjustRightInd w:val="0"/>
                    <w:snapToGrid w:val="0"/>
                    <w:jc w:val="center"/>
                    <w:rPr>
                      <w:b/>
                      <w:bCs/>
                      <w:szCs w:val="21"/>
                    </w:rPr>
                  </w:pPr>
                  <w:r>
                    <w:rPr>
                      <w:rFonts w:hint="eastAsia"/>
                      <w:b/>
                      <w:bCs/>
                      <w:szCs w:val="21"/>
                    </w:rPr>
                    <w:t>本次改扩建内容</w:t>
                  </w:r>
                </w:p>
              </w:tc>
              <w:tc>
                <w:tcPr>
                  <w:tcW w:w="0" w:type="auto"/>
                  <w:vAlign w:val="center"/>
                </w:tcPr>
                <w:p w14:paraId="4F293759">
                  <w:pPr>
                    <w:adjustRightInd w:val="0"/>
                    <w:snapToGrid w:val="0"/>
                    <w:jc w:val="center"/>
                    <w:rPr>
                      <w:b/>
                      <w:bCs/>
                      <w:szCs w:val="21"/>
                    </w:rPr>
                  </w:pPr>
                  <w:r>
                    <w:rPr>
                      <w:rFonts w:hint="eastAsia"/>
                      <w:b/>
                      <w:bCs/>
                      <w:szCs w:val="21"/>
                    </w:rPr>
                    <w:t>改扩建后</w:t>
                  </w:r>
                </w:p>
              </w:tc>
              <w:tc>
                <w:tcPr>
                  <w:tcW w:w="0" w:type="auto"/>
                  <w:vMerge w:val="continue"/>
                  <w:vAlign w:val="center"/>
                </w:tcPr>
                <w:p w14:paraId="7B3D2732">
                  <w:pPr>
                    <w:adjustRightInd w:val="0"/>
                    <w:snapToGrid w:val="0"/>
                    <w:jc w:val="center"/>
                    <w:rPr>
                      <w:b/>
                      <w:bCs/>
                      <w:szCs w:val="21"/>
                    </w:rPr>
                  </w:pPr>
                </w:p>
              </w:tc>
            </w:tr>
            <w:tr w14:paraId="181AE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14:paraId="7EFB0249">
                  <w:pPr>
                    <w:adjustRightInd w:val="0"/>
                    <w:snapToGrid w:val="0"/>
                    <w:jc w:val="center"/>
                    <w:rPr>
                      <w:szCs w:val="21"/>
                    </w:rPr>
                  </w:pPr>
                  <w:r>
                    <w:rPr>
                      <w:szCs w:val="21"/>
                    </w:rPr>
                    <w:t>1</w:t>
                  </w:r>
                </w:p>
              </w:tc>
              <w:tc>
                <w:tcPr>
                  <w:tcW w:w="0" w:type="auto"/>
                  <w:vMerge w:val="restart"/>
                  <w:vAlign w:val="center"/>
                </w:tcPr>
                <w:p w14:paraId="7E93B8A8">
                  <w:pPr>
                    <w:adjustRightInd w:val="0"/>
                    <w:snapToGrid w:val="0"/>
                    <w:jc w:val="center"/>
                    <w:rPr>
                      <w:szCs w:val="21"/>
                    </w:rPr>
                  </w:pPr>
                  <w:r>
                    <w:rPr>
                      <w:rFonts w:hint="eastAsia"/>
                      <w:szCs w:val="21"/>
                    </w:rPr>
                    <w:t>餐具</w:t>
                  </w:r>
                </w:p>
              </w:tc>
              <w:tc>
                <w:tcPr>
                  <w:tcW w:w="0" w:type="auto"/>
                  <w:vAlign w:val="center"/>
                </w:tcPr>
                <w:p w14:paraId="041FF4E7">
                  <w:pPr>
                    <w:adjustRightInd w:val="0"/>
                    <w:snapToGrid w:val="0"/>
                    <w:jc w:val="center"/>
                    <w:rPr>
                      <w:szCs w:val="21"/>
                    </w:rPr>
                  </w:pPr>
                  <w:r>
                    <w:rPr>
                      <w:rFonts w:hint="eastAsia"/>
                      <w:szCs w:val="21"/>
                    </w:rPr>
                    <w:t>陶瓷餐具（含筷子）</w:t>
                  </w:r>
                </w:p>
              </w:tc>
              <w:tc>
                <w:tcPr>
                  <w:tcW w:w="0" w:type="auto"/>
                  <w:vAlign w:val="center"/>
                </w:tcPr>
                <w:p w14:paraId="5902FCBC">
                  <w:pPr>
                    <w:adjustRightInd w:val="0"/>
                    <w:snapToGrid w:val="0"/>
                    <w:jc w:val="center"/>
                    <w:rPr>
                      <w:szCs w:val="21"/>
                    </w:rPr>
                  </w:pPr>
                  <w:r>
                    <w:rPr>
                      <w:rFonts w:hint="eastAsia"/>
                      <w:szCs w:val="21"/>
                    </w:rPr>
                    <w:t>万套</w:t>
                  </w:r>
                </w:p>
              </w:tc>
              <w:tc>
                <w:tcPr>
                  <w:tcW w:w="0" w:type="auto"/>
                  <w:shd w:val="clear" w:color="auto" w:fill="auto"/>
                  <w:vAlign w:val="center"/>
                </w:tcPr>
                <w:p w14:paraId="62A6A8B0">
                  <w:pPr>
                    <w:adjustRightInd w:val="0"/>
                    <w:snapToGrid w:val="0"/>
                    <w:jc w:val="center"/>
                    <w:rPr>
                      <w:szCs w:val="21"/>
                    </w:rPr>
                  </w:pPr>
                  <w:r>
                    <w:rPr>
                      <w:rFonts w:hint="eastAsia"/>
                      <w:szCs w:val="21"/>
                    </w:rPr>
                    <w:t>300</w:t>
                  </w:r>
                </w:p>
              </w:tc>
              <w:tc>
                <w:tcPr>
                  <w:tcW w:w="0" w:type="auto"/>
                  <w:shd w:val="clear" w:color="auto" w:fill="auto"/>
                  <w:vAlign w:val="center"/>
                </w:tcPr>
                <w:p w14:paraId="2EA25376">
                  <w:pPr>
                    <w:adjustRightInd w:val="0"/>
                    <w:snapToGrid w:val="0"/>
                    <w:jc w:val="center"/>
                    <w:rPr>
                      <w:szCs w:val="21"/>
                    </w:rPr>
                  </w:pPr>
                  <w:r>
                    <w:rPr>
                      <w:rFonts w:hint="eastAsia"/>
                      <w:szCs w:val="21"/>
                    </w:rPr>
                    <w:t>/</w:t>
                  </w:r>
                </w:p>
              </w:tc>
              <w:tc>
                <w:tcPr>
                  <w:tcW w:w="0" w:type="auto"/>
                  <w:shd w:val="clear" w:color="auto" w:fill="auto"/>
                  <w:vAlign w:val="center"/>
                </w:tcPr>
                <w:p w14:paraId="2468A272">
                  <w:pPr>
                    <w:adjustRightInd w:val="0"/>
                    <w:snapToGrid w:val="0"/>
                    <w:jc w:val="center"/>
                    <w:rPr>
                      <w:szCs w:val="21"/>
                    </w:rPr>
                  </w:pPr>
                  <w:r>
                    <w:rPr>
                      <w:rFonts w:hint="eastAsia"/>
                      <w:szCs w:val="21"/>
                    </w:rPr>
                    <w:t>300</w:t>
                  </w:r>
                </w:p>
              </w:tc>
              <w:tc>
                <w:tcPr>
                  <w:tcW w:w="0" w:type="auto"/>
                  <w:shd w:val="clear" w:color="auto" w:fill="auto"/>
                  <w:vAlign w:val="center"/>
                </w:tcPr>
                <w:p w14:paraId="5D2CBB51">
                  <w:pPr>
                    <w:adjustRightInd w:val="0"/>
                    <w:snapToGrid w:val="0"/>
                    <w:jc w:val="center"/>
                    <w:rPr>
                      <w:szCs w:val="21"/>
                    </w:rPr>
                  </w:pPr>
                  <w:r>
                    <w:rPr>
                      <w:rFonts w:hint="eastAsia"/>
                      <w:szCs w:val="21"/>
                    </w:rPr>
                    <w:t>+0</w:t>
                  </w:r>
                </w:p>
              </w:tc>
            </w:tr>
            <w:tr w14:paraId="1153D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14:paraId="5BE99E3F">
                  <w:pPr>
                    <w:adjustRightInd w:val="0"/>
                    <w:snapToGrid w:val="0"/>
                    <w:jc w:val="center"/>
                    <w:rPr>
                      <w:szCs w:val="21"/>
                    </w:rPr>
                  </w:pPr>
                  <w:r>
                    <w:rPr>
                      <w:szCs w:val="21"/>
                    </w:rPr>
                    <w:t>2</w:t>
                  </w:r>
                </w:p>
              </w:tc>
              <w:tc>
                <w:tcPr>
                  <w:tcW w:w="0" w:type="auto"/>
                  <w:vMerge w:val="continue"/>
                  <w:vAlign w:val="center"/>
                </w:tcPr>
                <w:p w14:paraId="2C68AC28">
                  <w:pPr>
                    <w:adjustRightInd w:val="0"/>
                    <w:snapToGrid w:val="0"/>
                    <w:jc w:val="center"/>
                    <w:rPr>
                      <w:szCs w:val="21"/>
                    </w:rPr>
                  </w:pPr>
                </w:p>
              </w:tc>
              <w:tc>
                <w:tcPr>
                  <w:tcW w:w="0" w:type="auto"/>
                  <w:vAlign w:val="center"/>
                </w:tcPr>
                <w:p w14:paraId="46A14922">
                  <w:pPr>
                    <w:adjustRightInd w:val="0"/>
                    <w:snapToGrid w:val="0"/>
                    <w:jc w:val="center"/>
                    <w:rPr>
                      <w:szCs w:val="21"/>
                    </w:rPr>
                  </w:pPr>
                  <w:r>
                    <w:rPr>
                      <w:rFonts w:hint="eastAsia"/>
                      <w:szCs w:val="21"/>
                    </w:rPr>
                    <w:t>不锈钢饭碗（不含早餐用碗的不锈钢饭碗）</w:t>
                  </w:r>
                </w:p>
              </w:tc>
              <w:tc>
                <w:tcPr>
                  <w:tcW w:w="0" w:type="auto"/>
                  <w:vAlign w:val="center"/>
                </w:tcPr>
                <w:p w14:paraId="347F6595">
                  <w:pPr>
                    <w:adjustRightInd w:val="0"/>
                    <w:snapToGrid w:val="0"/>
                    <w:jc w:val="center"/>
                    <w:rPr>
                      <w:szCs w:val="21"/>
                    </w:rPr>
                  </w:pPr>
                  <w:r>
                    <w:rPr>
                      <w:rFonts w:hint="eastAsia"/>
                      <w:szCs w:val="21"/>
                    </w:rPr>
                    <w:t>万套</w:t>
                  </w:r>
                </w:p>
              </w:tc>
              <w:tc>
                <w:tcPr>
                  <w:tcW w:w="0" w:type="auto"/>
                  <w:shd w:val="clear" w:color="auto" w:fill="auto"/>
                  <w:vAlign w:val="center"/>
                </w:tcPr>
                <w:p w14:paraId="1668E2DE">
                  <w:pPr>
                    <w:adjustRightInd w:val="0"/>
                    <w:snapToGrid w:val="0"/>
                    <w:jc w:val="center"/>
                    <w:rPr>
                      <w:szCs w:val="21"/>
                    </w:rPr>
                  </w:pPr>
                  <w:r>
                    <w:rPr>
                      <w:rFonts w:hint="eastAsia"/>
                      <w:szCs w:val="21"/>
                    </w:rPr>
                    <w:t>150</w:t>
                  </w:r>
                </w:p>
              </w:tc>
              <w:tc>
                <w:tcPr>
                  <w:tcW w:w="0" w:type="auto"/>
                  <w:shd w:val="clear" w:color="auto" w:fill="auto"/>
                  <w:vAlign w:val="center"/>
                </w:tcPr>
                <w:p w14:paraId="50D41B0A">
                  <w:pPr>
                    <w:adjustRightInd w:val="0"/>
                    <w:snapToGrid w:val="0"/>
                    <w:jc w:val="center"/>
                    <w:rPr>
                      <w:szCs w:val="21"/>
                    </w:rPr>
                  </w:pPr>
                  <w:r>
                    <w:rPr>
                      <w:rFonts w:hint="eastAsia"/>
                      <w:szCs w:val="21"/>
                    </w:rPr>
                    <w:t>/</w:t>
                  </w:r>
                </w:p>
              </w:tc>
              <w:tc>
                <w:tcPr>
                  <w:tcW w:w="0" w:type="auto"/>
                  <w:shd w:val="clear" w:color="auto" w:fill="auto"/>
                  <w:vAlign w:val="center"/>
                </w:tcPr>
                <w:p w14:paraId="741E37E7">
                  <w:pPr>
                    <w:adjustRightInd w:val="0"/>
                    <w:snapToGrid w:val="0"/>
                    <w:jc w:val="center"/>
                    <w:rPr>
                      <w:szCs w:val="21"/>
                    </w:rPr>
                  </w:pPr>
                  <w:r>
                    <w:rPr>
                      <w:rFonts w:hint="eastAsia"/>
                      <w:szCs w:val="21"/>
                    </w:rPr>
                    <w:t>150</w:t>
                  </w:r>
                </w:p>
              </w:tc>
              <w:tc>
                <w:tcPr>
                  <w:tcW w:w="0" w:type="auto"/>
                  <w:shd w:val="clear" w:color="auto" w:fill="auto"/>
                  <w:vAlign w:val="center"/>
                </w:tcPr>
                <w:p w14:paraId="4653A0FD">
                  <w:pPr>
                    <w:adjustRightInd w:val="0"/>
                    <w:snapToGrid w:val="0"/>
                    <w:jc w:val="center"/>
                    <w:rPr>
                      <w:szCs w:val="21"/>
                    </w:rPr>
                  </w:pPr>
                  <w:r>
                    <w:rPr>
                      <w:rFonts w:hint="eastAsia"/>
                      <w:szCs w:val="21"/>
                    </w:rPr>
                    <w:t>+0</w:t>
                  </w:r>
                </w:p>
              </w:tc>
            </w:tr>
            <w:tr w14:paraId="328F9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14:paraId="598617BB">
                  <w:pPr>
                    <w:adjustRightInd w:val="0"/>
                    <w:snapToGrid w:val="0"/>
                    <w:jc w:val="center"/>
                    <w:rPr>
                      <w:szCs w:val="21"/>
                    </w:rPr>
                  </w:pPr>
                  <w:r>
                    <w:rPr>
                      <w:rFonts w:hint="eastAsia"/>
                      <w:szCs w:val="21"/>
                    </w:rPr>
                    <w:t>3</w:t>
                  </w:r>
                </w:p>
              </w:tc>
              <w:tc>
                <w:tcPr>
                  <w:tcW w:w="0" w:type="auto"/>
                  <w:vMerge w:val="restart"/>
                  <w:vAlign w:val="center"/>
                </w:tcPr>
                <w:p w14:paraId="08495680">
                  <w:pPr>
                    <w:adjustRightInd w:val="0"/>
                    <w:snapToGrid w:val="0"/>
                    <w:jc w:val="center"/>
                    <w:rPr>
                      <w:szCs w:val="21"/>
                    </w:rPr>
                  </w:pPr>
                  <w:r>
                    <w:rPr>
                      <w:rFonts w:hint="eastAsia"/>
                      <w:szCs w:val="21"/>
                    </w:rPr>
                    <w:t>布草</w:t>
                  </w:r>
                </w:p>
              </w:tc>
              <w:tc>
                <w:tcPr>
                  <w:tcW w:w="0" w:type="auto"/>
                  <w:vAlign w:val="center"/>
                </w:tcPr>
                <w:p w14:paraId="00881FC1">
                  <w:pPr>
                    <w:adjustRightInd w:val="0"/>
                    <w:snapToGrid w:val="0"/>
                    <w:jc w:val="center"/>
                    <w:rPr>
                      <w:szCs w:val="21"/>
                    </w:rPr>
                  </w:pPr>
                  <w:r>
                    <w:rPr>
                      <w:rFonts w:hint="eastAsia"/>
                      <w:szCs w:val="21"/>
                    </w:rPr>
                    <w:t>医疗布草</w:t>
                  </w:r>
                </w:p>
              </w:tc>
              <w:tc>
                <w:tcPr>
                  <w:tcW w:w="0" w:type="auto"/>
                  <w:vAlign w:val="center"/>
                </w:tcPr>
                <w:p w14:paraId="0136EBE2">
                  <w:pPr>
                    <w:adjustRightInd w:val="0"/>
                    <w:snapToGrid w:val="0"/>
                    <w:jc w:val="center"/>
                    <w:rPr>
                      <w:szCs w:val="21"/>
                    </w:rPr>
                  </w:pPr>
                  <w:r>
                    <w:rPr>
                      <w:rFonts w:hint="eastAsia"/>
                      <w:szCs w:val="21"/>
                    </w:rPr>
                    <w:t>吨</w:t>
                  </w:r>
                </w:p>
              </w:tc>
              <w:tc>
                <w:tcPr>
                  <w:tcW w:w="0" w:type="auto"/>
                  <w:vAlign w:val="center"/>
                </w:tcPr>
                <w:p w14:paraId="3303FC7E">
                  <w:pPr>
                    <w:adjustRightInd w:val="0"/>
                    <w:snapToGrid w:val="0"/>
                    <w:jc w:val="center"/>
                    <w:rPr>
                      <w:szCs w:val="21"/>
                    </w:rPr>
                  </w:pPr>
                  <w:r>
                    <w:rPr>
                      <w:rFonts w:hint="eastAsia"/>
                      <w:szCs w:val="21"/>
                    </w:rPr>
                    <w:t>/</w:t>
                  </w:r>
                </w:p>
              </w:tc>
              <w:tc>
                <w:tcPr>
                  <w:tcW w:w="0" w:type="auto"/>
                  <w:vAlign w:val="center"/>
                </w:tcPr>
                <w:p w14:paraId="3AFA4660">
                  <w:pPr>
                    <w:adjustRightInd w:val="0"/>
                    <w:snapToGrid w:val="0"/>
                    <w:jc w:val="center"/>
                    <w:rPr>
                      <w:szCs w:val="21"/>
                    </w:rPr>
                  </w:pPr>
                  <w:r>
                    <w:rPr>
                      <w:rFonts w:hint="eastAsia"/>
                      <w:szCs w:val="21"/>
                    </w:rPr>
                    <w:t>600</w:t>
                  </w:r>
                </w:p>
              </w:tc>
              <w:tc>
                <w:tcPr>
                  <w:tcW w:w="0" w:type="auto"/>
                  <w:shd w:val="clear" w:color="auto" w:fill="auto"/>
                  <w:vAlign w:val="center"/>
                </w:tcPr>
                <w:p w14:paraId="2E6A9ED7">
                  <w:pPr>
                    <w:adjustRightInd w:val="0"/>
                    <w:snapToGrid w:val="0"/>
                    <w:jc w:val="center"/>
                    <w:rPr>
                      <w:szCs w:val="21"/>
                    </w:rPr>
                  </w:pPr>
                  <w:r>
                    <w:rPr>
                      <w:rFonts w:hint="eastAsia"/>
                      <w:szCs w:val="21"/>
                    </w:rPr>
                    <w:t>600</w:t>
                  </w:r>
                </w:p>
              </w:tc>
              <w:tc>
                <w:tcPr>
                  <w:tcW w:w="0" w:type="auto"/>
                  <w:shd w:val="clear" w:color="auto" w:fill="auto"/>
                  <w:vAlign w:val="center"/>
                </w:tcPr>
                <w:p w14:paraId="4B5C64B0">
                  <w:pPr>
                    <w:adjustRightInd w:val="0"/>
                    <w:snapToGrid w:val="0"/>
                    <w:jc w:val="center"/>
                    <w:rPr>
                      <w:szCs w:val="21"/>
                    </w:rPr>
                  </w:pPr>
                  <w:r>
                    <w:rPr>
                      <w:rFonts w:hint="eastAsia"/>
                      <w:szCs w:val="21"/>
                    </w:rPr>
                    <w:t>+600</w:t>
                  </w:r>
                </w:p>
              </w:tc>
            </w:tr>
            <w:tr w14:paraId="775B5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Align w:val="center"/>
                </w:tcPr>
                <w:p w14:paraId="48DA15FB">
                  <w:pPr>
                    <w:adjustRightInd w:val="0"/>
                    <w:snapToGrid w:val="0"/>
                    <w:jc w:val="center"/>
                    <w:rPr>
                      <w:szCs w:val="21"/>
                    </w:rPr>
                  </w:pPr>
                  <w:r>
                    <w:rPr>
                      <w:rFonts w:hint="eastAsia"/>
                      <w:szCs w:val="21"/>
                    </w:rPr>
                    <w:t>4</w:t>
                  </w:r>
                </w:p>
              </w:tc>
              <w:tc>
                <w:tcPr>
                  <w:tcW w:w="0" w:type="auto"/>
                  <w:vMerge w:val="continue"/>
                  <w:vAlign w:val="center"/>
                </w:tcPr>
                <w:p w14:paraId="718A1F37">
                  <w:pPr>
                    <w:adjustRightInd w:val="0"/>
                    <w:snapToGrid w:val="0"/>
                    <w:jc w:val="center"/>
                    <w:rPr>
                      <w:szCs w:val="21"/>
                    </w:rPr>
                  </w:pPr>
                </w:p>
              </w:tc>
              <w:tc>
                <w:tcPr>
                  <w:tcW w:w="0" w:type="auto"/>
                  <w:vAlign w:val="center"/>
                </w:tcPr>
                <w:p w14:paraId="5ADC636F">
                  <w:pPr>
                    <w:adjustRightInd w:val="0"/>
                    <w:snapToGrid w:val="0"/>
                    <w:jc w:val="center"/>
                    <w:rPr>
                      <w:szCs w:val="21"/>
                    </w:rPr>
                  </w:pPr>
                  <w:r>
                    <w:rPr>
                      <w:rFonts w:hint="eastAsia"/>
                      <w:szCs w:val="21"/>
                    </w:rPr>
                    <w:t>酒店布草</w:t>
                  </w:r>
                </w:p>
              </w:tc>
              <w:tc>
                <w:tcPr>
                  <w:tcW w:w="0" w:type="auto"/>
                  <w:vAlign w:val="center"/>
                </w:tcPr>
                <w:p w14:paraId="53DF8D3D">
                  <w:pPr>
                    <w:adjustRightInd w:val="0"/>
                    <w:snapToGrid w:val="0"/>
                    <w:jc w:val="center"/>
                    <w:rPr>
                      <w:szCs w:val="21"/>
                    </w:rPr>
                  </w:pPr>
                  <w:r>
                    <w:rPr>
                      <w:rFonts w:hint="eastAsia"/>
                      <w:szCs w:val="21"/>
                    </w:rPr>
                    <w:t>吨</w:t>
                  </w:r>
                </w:p>
              </w:tc>
              <w:tc>
                <w:tcPr>
                  <w:tcW w:w="0" w:type="auto"/>
                  <w:vAlign w:val="center"/>
                </w:tcPr>
                <w:p w14:paraId="423A36ED">
                  <w:pPr>
                    <w:adjustRightInd w:val="0"/>
                    <w:snapToGrid w:val="0"/>
                    <w:jc w:val="center"/>
                    <w:rPr>
                      <w:szCs w:val="21"/>
                    </w:rPr>
                  </w:pPr>
                  <w:r>
                    <w:rPr>
                      <w:rFonts w:hint="eastAsia"/>
                      <w:szCs w:val="21"/>
                    </w:rPr>
                    <w:t>10万套（</w:t>
                  </w:r>
                  <w:r>
                    <w:rPr>
                      <w:rFonts w:hint="eastAsia"/>
                      <w:szCs w:val="21"/>
                      <w:lang w:eastAsia="zh-CN"/>
                    </w:rPr>
                    <w:t>约800t</w:t>
                  </w:r>
                  <w:r>
                    <w:rPr>
                      <w:rFonts w:hint="eastAsia"/>
                      <w:szCs w:val="21"/>
                    </w:rPr>
                    <w:t>）</w:t>
                  </w:r>
                </w:p>
              </w:tc>
              <w:tc>
                <w:tcPr>
                  <w:tcW w:w="0" w:type="auto"/>
                  <w:vAlign w:val="center"/>
                </w:tcPr>
                <w:p w14:paraId="4E59ECCD">
                  <w:pPr>
                    <w:adjustRightInd w:val="0"/>
                    <w:snapToGrid w:val="0"/>
                    <w:jc w:val="center"/>
                    <w:rPr>
                      <w:szCs w:val="21"/>
                    </w:rPr>
                  </w:pPr>
                  <w:r>
                    <w:rPr>
                      <w:rFonts w:hint="eastAsia"/>
                      <w:szCs w:val="21"/>
                    </w:rPr>
                    <w:t>1800</w:t>
                  </w:r>
                </w:p>
              </w:tc>
              <w:tc>
                <w:tcPr>
                  <w:tcW w:w="0" w:type="auto"/>
                  <w:shd w:val="clear" w:color="auto" w:fill="auto"/>
                  <w:vAlign w:val="center"/>
                </w:tcPr>
                <w:p w14:paraId="6ADE51FB">
                  <w:pPr>
                    <w:adjustRightInd w:val="0"/>
                    <w:snapToGrid w:val="0"/>
                    <w:jc w:val="center"/>
                    <w:rPr>
                      <w:szCs w:val="21"/>
                    </w:rPr>
                  </w:pPr>
                  <w:r>
                    <w:rPr>
                      <w:rFonts w:hint="eastAsia"/>
                      <w:szCs w:val="21"/>
                    </w:rPr>
                    <w:t>1800</w:t>
                  </w:r>
                </w:p>
              </w:tc>
              <w:tc>
                <w:tcPr>
                  <w:tcW w:w="0" w:type="auto"/>
                  <w:shd w:val="clear" w:color="auto" w:fill="auto"/>
                  <w:vAlign w:val="center"/>
                </w:tcPr>
                <w:p w14:paraId="6DFBFE65">
                  <w:pPr>
                    <w:adjustRightInd w:val="0"/>
                    <w:snapToGrid w:val="0"/>
                    <w:jc w:val="center"/>
                    <w:rPr>
                      <w:rFonts w:hint="default" w:eastAsia="宋体"/>
                      <w:szCs w:val="21"/>
                      <w:lang w:val="en-US" w:eastAsia="zh-CN"/>
                    </w:rPr>
                  </w:pPr>
                  <w:r>
                    <w:rPr>
                      <w:rFonts w:hint="eastAsia"/>
                      <w:szCs w:val="21"/>
                    </w:rPr>
                    <w:t>+</w:t>
                  </w:r>
                  <w:r>
                    <w:rPr>
                      <w:rFonts w:hint="eastAsia"/>
                      <w:szCs w:val="21"/>
                      <w:lang w:val="en-US" w:eastAsia="zh-CN"/>
                    </w:rPr>
                    <w:t>1000</w:t>
                  </w:r>
                </w:p>
              </w:tc>
            </w:tr>
          </w:tbl>
          <w:p w14:paraId="07417D0C">
            <w:pPr>
              <w:numPr>
                <w:ilvl w:val="0"/>
                <w:numId w:val="4"/>
              </w:numPr>
              <w:adjustRightInd w:val="0"/>
              <w:snapToGrid w:val="0"/>
              <w:spacing w:line="360" w:lineRule="auto"/>
              <w:ind w:firstLine="482" w:firstLineChars="200"/>
              <w:rPr>
                <w:b/>
                <w:bCs/>
                <w:sz w:val="24"/>
              </w:rPr>
            </w:pPr>
            <w:r>
              <w:rPr>
                <w:b/>
                <w:bCs/>
                <w:sz w:val="24"/>
              </w:rPr>
              <w:t>主要原辅材料</w:t>
            </w:r>
          </w:p>
          <w:p w14:paraId="7666F0ED">
            <w:pPr>
              <w:adjustRightInd w:val="0"/>
              <w:snapToGrid w:val="0"/>
              <w:spacing w:line="360" w:lineRule="auto"/>
              <w:ind w:firstLine="480" w:firstLineChars="200"/>
              <w:rPr>
                <w:b/>
                <w:bCs/>
                <w:sz w:val="24"/>
              </w:rPr>
            </w:pPr>
            <w:r>
              <w:rPr>
                <w:rFonts w:hint="eastAsia"/>
                <w:sz w:val="24"/>
              </w:rPr>
              <w:t>根据建设单位提供的资料，项目改建前后的生产规模及产品方案详见表</w:t>
            </w:r>
            <w:r>
              <w:rPr>
                <w:sz w:val="24"/>
              </w:rPr>
              <w:t>2-</w:t>
            </w:r>
            <w:r>
              <w:rPr>
                <w:rFonts w:hint="eastAsia"/>
                <w:sz w:val="24"/>
              </w:rPr>
              <w:t>3。</w:t>
            </w:r>
            <w:r>
              <w:rPr>
                <w:sz w:val="24"/>
              </w:rPr>
              <w:t xml:space="preserve"> </w:t>
            </w:r>
          </w:p>
          <w:p w14:paraId="66359D72">
            <w:pPr>
              <w:autoSpaceDE w:val="0"/>
              <w:autoSpaceDN w:val="0"/>
              <w:adjustRightInd w:val="0"/>
              <w:spacing w:before="120" w:beforeLines="50"/>
              <w:jc w:val="center"/>
              <w:rPr>
                <w:b/>
                <w:kern w:val="0"/>
                <w:szCs w:val="21"/>
              </w:rPr>
            </w:pPr>
            <w:r>
              <w:rPr>
                <w:b/>
                <w:kern w:val="0"/>
                <w:szCs w:val="21"/>
              </w:rPr>
              <w:t>表2-</w:t>
            </w:r>
            <w:r>
              <w:rPr>
                <w:rFonts w:hint="eastAsia"/>
                <w:b/>
                <w:kern w:val="0"/>
                <w:szCs w:val="21"/>
              </w:rPr>
              <w:t>3</w:t>
            </w:r>
            <w:r>
              <w:rPr>
                <w:b/>
                <w:kern w:val="0"/>
                <w:szCs w:val="21"/>
              </w:rPr>
              <w:t xml:space="preserve">  </w:t>
            </w:r>
            <w:r>
              <w:rPr>
                <w:rFonts w:hint="eastAsia"/>
                <w:b/>
                <w:kern w:val="0"/>
                <w:szCs w:val="21"/>
              </w:rPr>
              <w:t>项目改建前后的生产规模及产品方案</w:t>
            </w:r>
            <w:r>
              <w:rPr>
                <w:b/>
                <w:kern w:val="0"/>
                <w:szCs w:val="21"/>
              </w:rPr>
              <w:t>一览表</w:t>
            </w:r>
          </w:p>
          <w:tbl>
            <w:tblPr>
              <w:tblStyle w:val="20"/>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4"/>
              <w:gridCol w:w="2462"/>
              <w:gridCol w:w="2462"/>
              <w:gridCol w:w="673"/>
              <w:gridCol w:w="668"/>
              <w:gridCol w:w="848"/>
              <w:gridCol w:w="854"/>
              <w:gridCol w:w="851"/>
            </w:tblGrid>
            <w:tr w14:paraId="52F83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55" w:type="pct"/>
                  <w:vMerge w:val="restart"/>
                  <w:vAlign w:val="center"/>
                </w:tcPr>
                <w:p w14:paraId="31E6073D">
                  <w:pPr>
                    <w:adjustRightInd w:val="0"/>
                    <w:snapToGrid w:val="0"/>
                    <w:jc w:val="center"/>
                    <w:rPr>
                      <w:szCs w:val="21"/>
                      <w:u w:val="single"/>
                    </w:rPr>
                  </w:pPr>
                  <w:r>
                    <w:rPr>
                      <w:rFonts w:hint="eastAsia"/>
                      <w:szCs w:val="21"/>
                      <w:u w:val="single"/>
                    </w:rPr>
                    <w:t>序号</w:t>
                  </w:r>
                </w:p>
              </w:tc>
              <w:tc>
                <w:tcPr>
                  <w:tcW w:w="1324" w:type="pct"/>
                  <w:vMerge w:val="restart"/>
                  <w:vAlign w:val="center"/>
                </w:tcPr>
                <w:p w14:paraId="60B08D6B">
                  <w:pPr>
                    <w:adjustRightInd w:val="0"/>
                    <w:snapToGrid w:val="0"/>
                    <w:jc w:val="center"/>
                    <w:rPr>
                      <w:szCs w:val="21"/>
                      <w:u w:val="single"/>
                    </w:rPr>
                  </w:pPr>
                  <w:r>
                    <w:rPr>
                      <w:rFonts w:hint="eastAsia"/>
                      <w:szCs w:val="21"/>
                      <w:u w:val="single"/>
                    </w:rPr>
                    <w:t>使用生产线</w:t>
                  </w:r>
                </w:p>
              </w:tc>
              <w:tc>
                <w:tcPr>
                  <w:tcW w:w="1324" w:type="pct"/>
                  <w:vMerge w:val="restart"/>
                  <w:vAlign w:val="center"/>
                </w:tcPr>
                <w:p w14:paraId="702E2F0A">
                  <w:pPr>
                    <w:adjustRightInd w:val="0"/>
                    <w:snapToGrid w:val="0"/>
                    <w:jc w:val="center"/>
                    <w:rPr>
                      <w:szCs w:val="21"/>
                      <w:u w:val="single"/>
                    </w:rPr>
                  </w:pPr>
                  <w:r>
                    <w:rPr>
                      <w:rFonts w:hint="eastAsia"/>
                      <w:szCs w:val="21"/>
                      <w:u w:val="single"/>
                    </w:rPr>
                    <w:t>名称</w:t>
                  </w:r>
                </w:p>
              </w:tc>
              <w:tc>
                <w:tcPr>
                  <w:tcW w:w="362" w:type="pct"/>
                  <w:vMerge w:val="restart"/>
                  <w:vAlign w:val="center"/>
                </w:tcPr>
                <w:p w14:paraId="36CF856D">
                  <w:pPr>
                    <w:adjustRightInd w:val="0"/>
                    <w:snapToGrid w:val="0"/>
                    <w:jc w:val="center"/>
                    <w:rPr>
                      <w:szCs w:val="21"/>
                      <w:u w:val="single"/>
                    </w:rPr>
                  </w:pPr>
                  <w:r>
                    <w:rPr>
                      <w:rFonts w:hint="eastAsia"/>
                      <w:szCs w:val="21"/>
                      <w:u w:val="single"/>
                    </w:rPr>
                    <w:t>单位</w:t>
                  </w:r>
                </w:p>
              </w:tc>
              <w:tc>
                <w:tcPr>
                  <w:tcW w:w="1274" w:type="pct"/>
                  <w:gridSpan w:val="3"/>
                  <w:vAlign w:val="center"/>
                </w:tcPr>
                <w:p w14:paraId="523E6490">
                  <w:pPr>
                    <w:adjustRightInd w:val="0"/>
                    <w:snapToGrid w:val="0"/>
                    <w:jc w:val="center"/>
                    <w:rPr>
                      <w:szCs w:val="21"/>
                      <w:u w:val="single"/>
                    </w:rPr>
                  </w:pPr>
                  <w:r>
                    <w:rPr>
                      <w:rFonts w:hint="eastAsia"/>
                      <w:szCs w:val="21"/>
                      <w:u w:val="single"/>
                    </w:rPr>
                    <w:t>年用量</w:t>
                  </w:r>
                </w:p>
              </w:tc>
              <w:tc>
                <w:tcPr>
                  <w:tcW w:w="457" w:type="pct"/>
                  <w:vMerge w:val="restart"/>
                  <w:vAlign w:val="center"/>
                </w:tcPr>
                <w:p w14:paraId="3EA4CA78">
                  <w:pPr>
                    <w:adjustRightInd w:val="0"/>
                    <w:snapToGrid w:val="0"/>
                    <w:jc w:val="center"/>
                    <w:rPr>
                      <w:szCs w:val="21"/>
                      <w:u w:val="single"/>
                    </w:rPr>
                  </w:pPr>
                  <w:r>
                    <w:rPr>
                      <w:rFonts w:hint="eastAsia"/>
                      <w:szCs w:val="21"/>
                      <w:u w:val="single"/>
                    </w:rPr>
                    <w:t>备注</w:t>
                  </w:r>
                </w:p>
              </w:tc>
            </w:tr>
            <w:tr w14:paraId="208E6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255" w:type="pct"/>
                  <w:vMerge w:val="continue"/>
                  <w:vAlign w:val="center"/>
                </w:tcPr>
                <w:p w14:paraId="1728B25D">
                  <w:pPr>
                    <w:adjustRightInd w:val="0"/>
                    <w:snapToGrid w:val="0"/>
                    <w:jc w:val="center"/>
                    <w:rPr>
                      <w:u w:val="single"/>
                    </w:rPr>
                  </w:pPr>
                </w:p>
              </w:tc>
              <w:tc>
                <w:tcPr>
                  <w:tcW w:w="1324" w:type="pct"/>
                  <w:vMerge w:val="continue"/>
                  <w:vAlign w:val="center"/>
                </w:tcPr>
                <w:p w14:paraId="0F4F44DF">
                  <w:pPr>
                    <w:adjustRightInd w:val="0"/>
                    <w:snapToGrid w:val="0"/>
                    <w:jc w:val="center"/>
                    <w:rPr>
                      <w:u w:val="single"/>
                    </w:rPr>
                  </w:pPr>
                </w:p>
              </w:tc>
              <w:tc>
                <w:tcPr>
                  <w:tcW w:w="1324" w:type="pct"/>
                  <w:vMerge w:val="continue"/>
                  <w:vAlign w:val="center"/>
                </w:tcPr>
                <w:p w14:paraId="6F11E37E">
                  <w:pPr>
                    <w:adjustRightInd w:val="0"/>
                    <w:snapToGrid w:val="0"/>
                    <w:jc w:val="center"/>
                    <w:rPr>
                      <w:u w:val="single"/>
                    </w:rPr>
                  </w:pPr>
                </w:p>
              </w:tc>
              <w:tc>
                <w:tcPr>
                  <w:tcW w:w="362" w:type="pct"/>
                  <w:vMerge w:val="continue"/>
                  <w:vAlign w:val="center"/>
                </w:tcPr>
                <w:p w14:paraId="1C5159BA">
                  <w:pPr>
                    <w:adjustRightInd w:val="0"/>
                    <w:snapToGrid w:val="0"/>
                    <w:jc w:val="center"/>
                    <w:rPr>
                      <w:u w:val="single"/>
                    </w:rPr>
                  </w:pPr>
                </w:p>
              </w:tc>
              <w:tc>
                <w:tcPr>
                  <w:tcW w:w="359" w:type="pct"/>
                  <w:shd w:val="clear" w:color="auto" w:fill="auto"/>
                  <w:vAlign w:val="center"/>
                </w:tcPr>
                <w:p w14:paraId="77EBFF45">
                  <w:pPr>
                    <w:adjustRightInd w:val="0"/>
                    <w:snapToGrid w:val="0"/>
                    <w:jc w:val="center"/>
                    <w:rPr>
                      <w:b/>
                      <w:bCs/>
                      <w:szCs w:val="21"/>
                      <w:u w:val="single"/>
                    </w:rPr>
                  </w:pPr>
                  <w:r>
                    <w:rPr>
                      <w:rFonts w:hint="eastAsia"/>
                      <w:b/>
                      <w:bCs/>
                      <w:szCs w:val="21"/>
                      <w:u w:val="single"/>
                    </w:rPr>
                    <w:t>改扩建前</w:t>
                  </w:r>
                </w:p>
              </w:tc>
              <w:tc>
                <w:tcPr>
                  <w:tcW w:w="456" w:type="pct"/>
                  <w:shd w:val="clear" w:color="auto" w:fill="auto"/>
                  <w:vAlign w:val="center"/>
                </w:tcPr>
                <w:p w14:paraId="33ACFDF1">
                  <w:pPr>
                    <w:adjustRightInd w:val="0"/>
                    <w:snapToGrid w:val="0"/>
                    <w:jc w:val="center"/>
                    <w:rPr>
                      <w:b/>
                      <w:bCs/>
                      <w:szCs w:val="21"/>
                      <w:u w:val="single"/>
                    </w:rPr>
                  </w:pPr>
                  <w:r>
                    <w:rPr>
                      <w:rFonts w:hint="eastAsia"/>
                      <w:b/>
                      <w:bCs/>
                      <w:szCs w:val="21"/>
                      <w:u w:val="single"/>
                    </w:rPr>
                    <w:t>本次改扩建内容</w:t>
                  </w:r>
                </w:p>
              </w:tc>
              <w:tc>
                <w:tcPr>
                  <w:tcW w:w="459" w:type="pct"/>
                  <w:shd w:val="clear" w:color="auto" w:fill="auto"/>
                  <w:vAlign w:val="center"/>
                </w:tcPr>
                <w:p w14:paraId="0E96D468">
                  <w:pPr>
                    <w:adjustRightInd w:val="0"/>
                    <w:snapToGrid w:val="0"/>
                    <w:jc w:val="center"/>
                    <w:rPr>
                      <w:b/>
                      <w:bCs/>
                      <w:szCs w:val="21"/>
                      <w:u w:val="single"/>
                    </w:rPr>
                  </w:pPr>
                  <w:r>
                    <w:rPr>
                      <w:rFonts w:hint="eastAsia"/>
                      <w:b/>
                      <w:bCs/>
                      <w:szCs w:val="21"/>
                      <w:u w:val="single"/>
                    </w:rPr>
                    <w:t>改扩建后</w:t>
                  </w:r>
                </w:p>
              </w:tc>
              <w:tc>
                <w:tcPr>
                  <w:tcW w:w="457" w:type="pct"/>
                  <w:vMerge w:val="continue"/>
                  <w:vAlign w:val="center"/>
                </w:tcPr>
                <w:p w14:paraId="4B5F42B1">
                  <w:pPr>
                    <w:adjustRightInd w:val="0"/>
                    <w:snapToGrid w:val="0"/>
                    <w:jc w:val="center"/>
                    <w:rPr>
                      <w:szCs w:val="21"/>
                      <w:u w:val="single"/>
                    </w:rPr>
                  </w:pPr>
                </w:p>
              </w:tc>
            </w:tr>
            <w:tr w14:paraId="32F79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11279D1D">
                  <w:pPr>
                    <w:adjustRightInd w:val="0"/>
                    <w:snapToGrid w:val="0"/>
                    <w:jc w:val="center"/>
                    <w:rPr>
                      <w:szCs w:val="21"/>
                      <w:u w:val="single"/>
                    </w:rPr>
                  </w:pPr>
                  <w:r>
                    <w:rPr>
                      <w:rFonts w:hint="eastAsia"/>
                      <w:szCs w:val="21"/>
                      <w:u w:val="single"/>
                    </w:rPr>
                    <w:t>1</w:t>
                  </w:r>
                </w:p>
              </w:tc>
              <w:tc>
                <w:tcPr>
                  <w:tcW w:w="1324" w:type="pct"/>
                  <w:vMerge w:val="restart"/>
                  <w:vAlign w:val="center"/>
                </w:tcPr>
                <w:p w14:paraId="37C3214D">
                  <w:pPr>
                    <w:adjustRightInd w:val="0"/>
                    <w:snapToGrid w:val="0"/>
                    <w:jc w:val="center"/>
                    <w:rPr>
                      <w:szCs w:val="21"/>
                      <w:u w:val="single"/>
                    </w:rPr>
                  </w:pPr>
                  <w:r>
                    <w:rPr>
                      <w:rFonts w:hint="eastAsia"/>
                      <w:szCs w:val="21"/>
                      <w:u w:val="single"/>
                    </w:rPr>
                    <w:t>餐具洗涤</w:t>
                  </w:r>
                </w:p>
              </w:tc>
              <w:tc>
                <w:tcPr>
                  <w:tcW w:w="1324" w:type="pct"/>
                  <w:vAlign w:val="center"/>
                </w:tcPr>
                <w:p w14:paraId="53E1508D">
                  <w:pPr>
                    <w:adjustRightInd w:val="0"/>
                    <w:snapToGrid w:val="0"/>
                    <w:jc w:val="center"/>
                    <w:rPr>
                      <w:szCs w:val="21"/>
                      <w:u w:val="single"/>
                    </w:rPr>
                  </w:pPr>
                  <w:r>
                    <w:rPr>
                      <w:rFonts w:hint="eastAsia"/>
                      <w:szCs w:val="21"/>
                      <w:u w:val="single"/>
                    </w:rPr>
                    <w:t>雕牌洗洁精</w:t>
                  </w:r>
                </w:p>
              </w:tc>
              <w:tc>
                <w:tcPr>
                  <w:tcW w:w="362" w:type="pct"/>
                  <w:vAlign w:val="center"/>
                </w:tcPr>
                <w:p w14:paraId="05DC194D">
                  <w:pPr>
                    <w:adjustRightInd w:val="0"/>
                    <w:snapToGrid w:val="0"/>
                    <w:jc w:val="center"/>
                    <w:rPr>
                      <w:szCs w:val="21"/>
                      <w:u w:val="single"/>
                    </w:rPr>
                  </w:pPr>
                  <w:r>
                    <w:rPr>
                      <w:rFonts w:hint="eastAsia"/>
                      <w:szCs w:val="21"/>
                      <w:u w:val="single"/>
                    </w:rPr>
                    <w:t>吨</w:t>
                  </w:r>
                </w:p>
              </w:tc>
              <w:tc>
                <w:tcPr>
                  <w:tcW w:w="359" w:type="pct"/>
                  <w:vAlign w:val="center"/>
                </w:tcPr>
                <w:p w14:paraId="67C35DE9">
                  <w:pPr>
                    <w:adjustRightInd w:val="0"/>
                    <w:snapToGrid w:val="0"/>
                    <w:jc w:val="center"/>
                    <w:rPr>
                      <w:szCs w:val="21"/>
                      <w:u w:val="single"/>
                    </w:rPr>
                  </w:pPr>
                  <w:r>
                    <w:rPr>
                      <w:rFonts w:hint="eastAsia"/>
                      <w:szCs w:val="21"/>
                      <w:u w:val="single"/>
                    </w:rPr>
                    <w:t>2.4</w:t>
                  </w:r>
                </w:p>
              </w:tc>
              <w:tc>
                <w:tcPr>
                  <w:tcW w:w="844" w:type="dxa"/>
                  <w:vAlign w:val="center"/>
                </w:tcPr>
                <w:p w14:paraId="4CF6A3A9">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2CF17971">
                  <w:pPr>
                    <w:adjustRightInd w:val="0"/>
                    <w:snapToGrid w:val="0"/>
                    <w:jc w:val="center"/>
                    <w:rPr>
                      <w:szCs w:val="21"/>
                      <w:u w:val="single"/>
                    </w:rPr>
                  </w:pPr>
                  <w:r>
                    <w:rPr>
                      <w:rFonts w:hint="eastAsia"/>
                      <w:szCs w:val="21"/>
                      <w:u w:val="single"/>
                    </w:rPr>
                    <w:t>2.4</w:t>
                  </w:r>
                </w:p>
              </w:tc>
              <w:tc>
                <w:tcPr>
                  <w:tcW w:w="846" w:type="dxa"/>
                  <w:vAlign w:val="center"/>
                </w:tcPr>
                <w:p w14:paraId="46CC9EDF">
                  <w:pPr>
                    <w:adjustRightInd w:val="0"/>
                    <w:snapToGrid w:val="0"/>
                    <w:jc w:val="center"/>
                    <w:rPr>
                      <w:szCs w:val="21"/>
                      <w:u w:val="single"/>
                    </w:rPr>
                  </w:pPr>
                  <w:r>
                    <w:rPr>
                      <w:rFonts w:hint="eastAsia"/>
                      <w:szCs w:val="21"/>
                      <w:u w:val="single"/>
                    </w:rPr>
                    <w:t>/</w:t>
                  </w:r>
                </w:p>
              </w:tc>
            </w:tr>
            <w:tr w14:paraId="1532A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6003BA27">
                  <w:pPr>
                    <w:adjustRightInd w:val="0"/>
                    <w:snapToGrid w:val="0"/>
                    <w:jc w:val="center"/>
                    <w:rPr>
                      <w:szCs w:val="21"/>
                      <w:u w:val="single"/>
                    </w:rPr>
                  </w:pPr>
                  <w:r>
                    <w:rPr>
                      <w:rFonts w:hint="eastAsia"/>
                      <w:szCs w:val="21"/>
                      <w:u w:val="single"/>
                    </w:rPr>
                    <w:t>2</w:t>
                  </w:r>
                </w:p>
              </w:tc>
              <w:tc>
                <w:tcPr>
                  <w:tcW w:w="1324" w:type="pct"/>
                  <w:vMerge w:val="continue"/>
                  <w:vAlign w:val="center"/>
                </w:tcPr>
                <w:p w14:paraId="0A095D1D">
                  <w:pPr>
                    <w:adjustRightInd w:val="0"/>
                    <w:snapToGrid w:val="0"/>
                    <w:jc w:val="center"/>
                    <w:rPr>
                      <w:szCs w:val="21"/>
                      <w:u w:val="single"/>
                    </w:rPr>
                  </w:pPr>
                </w:p>
              </w:tc>
              <w:tc>
                <w:tcPr>
                  <w:tcW w:w="1324" w:type="pct"/>
                  <w:vAlign w:val="center"/>
                </w:tcPr>
                <w:p w14:paraId="2445C714">
                  <w:pPr>
                    <w:adjustRightInd w:val="0"/>
                    <w:snapToGrid w:val="0"/>
                    <w:jc w:val="center"/>
                    <w:rPr>
                      <w:szCs w:val="21"/>
                      <w:u w:val="single"/>
                    </w:rPr>
                  </w:pPr>
                  <w:r>
                    <w:rPr>
                      <w:rFonts w:hint="eastAsia"/>
                      <w:szCs w:val="21"/>
                      <w:u w:val="single"/>
                    </w:rPr>
                    <w:t>84消毒液</w:t>
                  </w:r>
                </w:p>
              </w:tc>
              <w:tc>
                <w:tcPr>
                  <w:tcW w:w="362" w:type="pct"/>
                  <w:vAlign w:val="center"/>
                </w:tcPr>
                <w:p w14:paraId="23F2FDD1">
                  <w:pPr>
                    <w:adjustRightInd w:val="0"/>
                    <w:snapToGrid w:val="0"/>
                    <w:jc w:val="center"/>
                    <w:rPr>
                      <w:szCs w:val="21"/>
                      <w:u w:val="single"/>
                    </w:rPr>
                  </w:pPr>
                  <w:r>
                    <w:rPr>
                      <w:rFonts w:hint="eastAsia"/>
                      <w:szCs w:val="21"/>
                      <w:u w:val="single"/>
                    </w:rPr>
                    <w:t>吨</w:t>
                  </w:r>
                </w:p>
              </w:tc>
              <w:tc>
                <w:tcPr>
                  <w:tcW w:w="359" w:type="pct"/>
                  <w:vAlign w:val="center"/>
                </w:tcPr>
                <w:p w14:paraId="3C001391">
                  <w:pPr>
                    <w:adjustRightInd w:val="0"/>
                    <w:snapToGrid w:val="0"/>
                    <w:jc w:val="center"/>
                    <w:rPr>
                      <w:szCs w:val="21"/>
                      <w:u w:val="single"/>
                    </w:rPr>
                  </w:pPr>
                  <w:r>
                    <w:rPr>
                      <w:rFonts w:hint="eastAsia"/>
                      <w:szCs w:val="21"/>
                      <w:u w:val="single"/>
                    </w:rPr>
                    <w:t>0.1</w:t>
                  </w:r>
                </w:p>
              </w:tc>
              <w:tc>
                <w:tcPr>
                  <w:tcW w:w="844" w:type="dxa"/>
                  <w:vAlign w:val="center"/>
                </w:tcPr>
                <w:p w14:paraId="69FB76F1">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6F0EF083">
                  <w:pPr>
                    <w:adjustRightInd w:val="0"/>
                    <w:snapToGrid w:val="0"/>
                    <w:jc w:val="center"/>
                    <w:rPr>
                      <w:szCs w:val="21"/>
                      <w:u w:val="single"/>
                    </w:rPr>
                  </w:pPr>
                  <w:r>
                    <w:rPr>
                      <w:rFonts w:hint="eastAsia"/>
                      <w:szCs w:val="21"/>
                      <w:u w:val="single"/>
                    </w:rPr>
                    <w:t>0.1</w:t>
                  </w:r>
                </w:p>
              </w:tc>
              <w:tc>
                <w:tcPr>
                  <w:tcW w:w="846" w:type="dxa"/>
                  <w:vAlign w:val="center"/>
                </w:tcPr>
                <w:p w14:paraId="2B2DC030">
                  <w:pPr>
                    <w:adjustRightInd w:val="0"/>
                    <w:snapToGrid w:val="0"/>
                    <w:jc w:val="center"/>
                    <w:rPr>
                      <w:szCs w:val="21"/>
                      <w:u w:val="single"/>
                    </w:rPr>
                  </w:pPr>
                  <w:r>
                    <w:rPr>
                      <w:rFonts w:hint="eastAsia"/>
                      <w:szCs w:val="21"/>
                      <w:u w:val="single"/>
                    </w:rPr>
                    <w:t>/</w:t>
                  </w:r>
                </w:p>
              </w:tc>
            </w:tr>
            <w:tr w14:paraId="41F75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5382EFF4">
                  <w:pPr>
                    <w:adjustRightInd w:val="0"/>
                    <w:snapToGrid w:val="0"/>
                    <w:jc w:val="center"/>
                    <w:rPr>
                      <w:szCs w:val="21"/>
                      <w:u w:val="single"/>
                    </w:rPr>
                  </w:pPr>
                  <w:r>
                    <w:rPr>
                      <w:rFonts w:hint="eastAsia"/>
                      <w:szCs w:val="21"/>
                      <w:u w:val="single"/>
                    </w:rPr>
                    <w:t>3</w:t>
                  </w:r>
                </w:p>
              </w:tc>
              <w:tc>
                <w:tcPr>
                  <w:tcW w:w="1324" w:type="pct"/>
                  <w:vMerge w:val="continue"/>
                  <w:vAlign w:val="center"/>
                </w:tcPr>
                <w:p w14:paraId="613C4CEA">
                  <w:pPr>
                    <w:adjustRightInd w:val="0"/>
                    <w:snapToGrid w:val="0"/>
                    <w:jc w:val="center"/>
                    <w:rPr>
                      <w:szCs w:val="21"/>
                      <w:u w:val="single"/>
                    </w:rPr>
                  </w:pPr>
                </w:p>
              </w:tc>
              <w:tc>
                <w:tcPr>
                  <w:tcW w:w="1324" w:type="pct"/>
                  <w:vAlign w:val="center"/>
                </w:tcPr>
                <w:p w14:paraId="615F8EB6">
                  <w:pPr>
                    <w:adjustRightInd w:val="0"/>
                    <w:snapToGrid w:val="0"/>
                    <w:jc w:val="center"/>
                    <w:rPr>
                      <w:szCs w:val="21"/>
                      <w:u w:val="single"/>
                    </w:rPr>
                  </w:pPr>
                  <w:r>
                    <w:rPr>
                      <w:rFonts w:hint="eastAsia"/>
                      <w:szCs w:val="21"/>
                      <w:u w:val="single"/>
                    </w:rPr>
                    <w:t>包装膜</w:t>
                  </w:r>
                </w:p>
              </w:tc>
              <w:tc>
                <w:tcPr>
                  <w:tcW w:w="362" w:type="pct"/>
                  <w:vAlign w:val="center"/>
                </w:tcPr>
                <w:p w14:paraId="29F2D6ED">
                  <w:pPr>
                    <w:adjustRightInd w:val="0"/>
                    <w:snapToGrid w:val="0"/>
                    <w:jc w:val="center"/>
                    <w:rPr>
                      <w:szCs w:val="21"/>
                      <w:u w:val="single"/>
                    </w:rPr>
                  </w:pPr>
                  <w:r>
                    <w:rPr>
                      <w:rFonts w:hint="eastAsia"/>
                      <w:szCs w:val="21"/>
                      <w:u w:val="single"/>
                    </w:rPr>
                    <w:t>吨</w:t>
                  </w:r>
                </w:p>
              </w:tc>
              <w:tc>
                <w:tcPr>
                  <w:tcW w:w="359" w:type="pct"/>
                  <w:vAlign w:val="center"/>
                </w:tcPr>
                <w:p w14:paraId="642C10C5">
                  <w:pPr>
                    <w:adjustRightInd w:val="0"/>
                    <w:snapToGrid w:val="0"/>
                    <w:jc w:val="center"/>
                    <w:rPr>
                      <w:szCs w:val="21"/>
                      <w:u w:val="single"/>
                    </w:rPr>
                  </w:pPr>
                  <w:r>
                    <w:rPr>
                      <w:rFonts w:hint="eastAsia"/>
                      <w:szCs w:val="21"/>
                      <w:u w:val="single"/>
                    </w:rPr>
                    <w:t>6.6</w:t>
                  </w:r>
                </w:p>
              </w:tc>
              <w:tc>
                <w:tcPr>
                  <w:tcW w:w="844" w:type="dxa"/>
                  <w:vAlign w:val="center"/>
                </w:tcPr>
                <w:p w14:paraId="098C4B22">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662B0A9A">
                  <w:pPr>
                    <w:adjustRightInd w:val="0"/>
                    <w:snapToGrid w:val="0"/>
                    <w:jc w:val="center"/>
                    <w:rPr>
                      <w:szCs w:val="21"/>
                      <w:u w:val="single"/>
                    </w:rPr>
                  </w:pPr>
                  <w:r>
                    <w:rPr>
                      <w:rFonts w:hint="eastAsia"/>
                      <w:szCs w:val="21"/>
                      <w:u w:val="single"/>
                    </w:rPr>
                    <w:t>6.6</w:t>
                  </w:r>
                </w:p>
              </w:tc>
              <w:tc>
                <w:tcPr>
                  <w:tcW w:w="846" w:type="dxa"/>
                  <w:vAlign w:val="center"/>
                </w:tcPr>
                <w:p w14:paraId="1C429914">
                  <w:pPr>
                    <w:adjustRightInd w:val="0"/>
                    <w:snapToGrid w:val="0"/>
                    <w:jc w:val="center"/>
                    <w:rPr>
                      <w:szCs w:val="21"/>
                      <w:u w:val="single"/>
                    </w:rPr>
                  </w:pPr>
                  <w:r>
                    <w:rPr>
                      <w:rFonts w:hint="eastAsia"/>
                      <w:szCs w:val="21"/>
                      <w:u w:val="single"/>
                    </w:rPr>
                    <w:t>/</w:t>
                  </w:r>
                </w:p>
              </w:tc>
            </w:tr>
            <w:tr w14:paraId="77C2A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48512122">
                  <w:pPr>
                    <w:adjustRightInd w:val="0"/>
                    <w:snapToGrid w:val="0"/>
                    <w:jc w:val="center"/>
                    <w:rPr>
                      <w:szCs w:val="21"/>
                      <w:u w:val="single"/>
                    </w:rPr>
                  </w:pPr>
                  <w:r>
                    <w:rPr>
                      <w:rFonts w:hint="eastAsia"/>
                      <w:szCs w:val="21"/>
                      <w:u w:val="single"/>
                    </w:rPr>
                    <w:t>4</w:t>
                  </w:r>
                </w:p>
              </w:tc>
              <w:tc>
                <w:tcPr>
                  <w:tcW w:w="1324" w:type="pct"/>
                  <w:vMerge w:val="continue"/>
                  <w:vAlign w:val="center"/>
                </w:tcPr>
                <w:p w14:paraId="6B70EBAB">
                  <w:pPr>
                    <w:adjustRightInd w:val="0"/>
                    <w:snapToGrid w:val="0"/>
                    <w:jc w:val="center"/>
                    <w:rPr>
                      <w:szCs w:val="21"/>
                      <w:u w:val="single"/>
                    </w:rPr>
                  </w:pPr>
                </w:p>
              </w:tc>
              <w:tc>
                <w:tcPr>
                  <w:tcW w:w="1324" w:type="pct"/>
                  <w:vAlign w:val="center"/>
                </w:tcPr>
                <w:p w14:paraId="660DE28D">
                  <w:pPr>
                    <w:adjustRightInd w:val="0"/>
                    <w:snapToGrid w:val="0"/>
                    <w:jc w:val="center"/>
                    <w:rPr>
                      <w:szCs w:val="21"/>
                      <w:u w:val="single"/>
                    </w:rPr>
                  </w:pPr>
                  <w:r>
                    <w:rPr>
                      <w:rFonts w:hint="eastAsia"/>
                      <w:szCs w:val="21"/>
                      <w:u w:val="single"/>
                    </w:rPr>
                    <w:t>装产品用塑料筐（周转箱）</w:t>
                  </w:r>
                </w:p>
              </w:tc>
              <w:tc>
                <w:tcPr>
                  <w:tcW w:w="362" w:type="pct"/>
                  <w:vAlign w:val="center"/>
                </w:tcPr>
                <w:p w14:paraId="3DB91690">
                  <w:pPr>
                    <w:adjustRightInd w:val="0"/>
                    <w:snapToGrid w:val="0"/>
                    <w:jc w:val="center"/>
                    <w:rPr>
                      <w:szCs w:val="21"/>
                      <w:u w:val="single"/>
                    </w:rPr>
                  </w:pPr>
                  <w:r>
                    <w:rPr>
                      <w:rFonts w:hint="eastAsia"/>
                      <w:szCs w:val="21"/>
                      <w:u w:val="single"/>
                    </w:rPr>
                    <w:t>个</w:t>
                  </w:r>
                </w:p>
              </w:tc>
              <w:tc>
                <w:tcPr>
                  <w:tcW w:w="359" w:type="pct"/>
                  <w:vAlign w:val="center"/>
                </w:tcPr>
                <w:p w14:paraId="00A355E7">
                  <w:pPr>
                    <w:adjustRightInd w:val="0"/>
                    <w:snapToGrid w:val="0"/>
                    <w:jc w:val="center"/>
                    <w:rPr>
                      <w:szCs w:val="21"/>
                      <w:u w:val="single"/>
                    </w:rPr>
                  </w:pPr>
                  <w:r>
                    <w:rPr>
                      <w:rFonts w:hint="eastAsia"/>
                      <w:szCs w:val="21"/>
                      <w:u w:val="single"/>
                    </w:rPr>
                    <w:t>5000</w:t>
                  </w:r>
                </w:p>
              </w:tc>
              <w:tc>
                <w:tcPr>
                  <w:tcW w:w="844" w:type="dxa"/>
                  <w:vAlign w:val="center"/>
                </w:tcPr>
                <w:p w14:paraId="15232C41">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016568F9">
                  <w:pPr>
                    <w:adjustRightInd w:val="0"/>
                    <w:snapToGrid w:val="0"/>
                    <w:jc w:val="center"/>
                    <w:rPr>
                      <w:szCs w:val="21"/>
                      <w:u w:val="single"/>
                    </w:rPr>
                  </w:pPr>
                  <w:r>
                    <w:rPr>
                      <w:rFonts w:hint="eastAsia"/>
                      <w:szCs w:val="21"/>
                      <w:u w:val="single"/>
                    </w:rPr>
                    <w:t>5000</w:t>
                  </w:r>
                </w:p>
              </w:tc>
              <w:tc>
                <w:tcPr>
                  <w:tcW w:w="846" w:type="dxa"/>
                  <w:vAlign w:val="center"/>
                </w:tcPr>
                <w:p w14:paraId="2A78CFA5">
                  <w:pPr>
                    <w:adjustRightInd w:val="0"/>
                    <w:snapToGrid w:val="0"/>
                    <w:jc w:val="center"/>
                    <w:rPr>
                      <w:szCs w:val="21"/>
                      <w:u w:val="single"/>
                    </w:rPr>
                  </w:pPr>
                  <w:r>
                    <w:rPr>
                      <w:rFonts w:hint="eastAsia"/>
                      <w:szCs w:val="21"/>
                      <w:u w:val="single"/>
                    </w:rPr>
                    <w:t>/</w:t>
                  </w:r>
                </w:p>
              </w:tc>
            </w:tr>
            <w:tr w14:paraId="636E8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022AA39F">
                  <w:pPr>
                    <w:adjustRightInd w:val="0"/>
                    <w:snapToGrid w:val="0"/>
                    <w:jc w:val="center"/>
                    <w:rPr>
                      <w:szCs w:val="21"/>
                      <w:u w:val="single"/>
                    </w:rPr>
                  </w:pPr>
                  <w:r>
                    <w:rPr>
                      <w:rFonts w:hint="eastAsia"/>
                      <w:szCs w:val="21"/>
                      <w:u w:val="single"/>
                    </w:rPr>
                    <w:t>5</w:t>
                  </w:r>
                </w:p>
              </w:tc>
              <w:tc>
                <w:tcPr>
                  <w:tcW w:w="1324" w:type="pct"/>
                  <w:vMerge w:val="restart"/>
                  <w:vAlign w:val="center"/>
                </w:tcPr>
                <w:p w14:paraId="38D3AD74">
                  <w:pPr>
                    <w:adjustRightInd w:val="0"/>
                    <w:snapToGrid w:val="0"/>
                    <w:jc w:val="center"/>
                    <w:rPr>
                      <w:szCs w:val="21"/>
                      <w:u w:val="single"/>
                    </w:rPr>
                  </w:pPr>
                  <w:r>
                    <w:rPr>
                      <w:rFonts w:hint="eastAsia"/>
                      <w:szCs w:val="21"/>
                      <w:u w:val="single"/>
                    </w:rPr>
                    <w:t>酒店布草洗涤</w:t>
                  </w:r>
                </w:p>
              </w:tc>
              <w:tc>
                <w:tcPr>
                  <w:tcW w:w="1324" w:type="pct"/>
                  <w:vAlign w:val="center"/>
                </w:tcPr>
                <w:p w14:paraId="2BB218CE">
                  <w:pPr>
                    <w:adjustRightInd w:val="0"/>
                    <w:snapToGrid w:val="0"/>
                    <w:jc w:val="center"/>
                    <w:rPr>
                      <w:szCs w:val="21"/>
                      <w:u w:val="single"/>
                    </w:rPr>
                  </w:pPr>
                  <w:r>
                    <w:rPr>
                      <w:rFonts w:hint="eastAsia"/>
                      <w:szCs w:val="21"/>
                      <w:u w:val="single"/>
                    </w:rPr>
                    <w:t>雕牌洗衣粉</w:t>
                  </w:r>
                </w:p>
              </w:tc>
              <w:tc>
                <w:tcPr>
                  <w:tcW w:w="362" w:type="pct"/>
                  <w:vAlign w:val="center"/>
                </w:tcPr>
                <w:p w14:paraId="6A6E6343">
                  <w:pPr>
                    <w:adjustRightInd w:val="0"/>
                    <w:snapToGrid w:val="0"/>
                    <w:jc w:val="center"/>
                    <w:rPr>
                      <w:szCs w:val="21"/>
                      <w:u w:val="single"/>
                    </w:rPr>
                  </w:pPr>
                  <w:r>
                    <w:rPr>
                      <w:rFonts w:hint="eastAsia"/>
                      <w:szCs w:val="21"/>
                      <w:u w:val="single"/>
                    </w:rPr>
                    <w:t>吨</w:t>
                  </w:r>
                </w:p>
              </w:tc>
              <w:tc>
                <w:tcPr>
                  <w:tcW w:w="359" w:type="pct"/>
                  <w:vAlign w:val="center"/>
                </w:tcPr>
                <w:p w14:paraId="27E2E5AC">
                  <w:pPr>
                    <w:adjustRightInd w:val="0"/>
                    <w:snapToGrid w:val="0"/>
                    <w:jc w:val="center"/>
                    <w:rPr>
                      <w:szCs w:val="21"/>
                      <w:u w:val="single"/>
                    </w:rPr>
                  </w:pPr>
                  <w:r>
                    <w:rPr>
                      <w:rFonts w:hint="eastAsia"/>
                      <w:szCs w:val="21"/>
                      <w:u w:val="single"/>
                    </w:rPr>
                    <w:t>3.6</w:t>
                  </w:r>
                </w:p>
              </w:tc>
              <w:tc>
                <w:tcPr>
                  <w:tcW w:w="456" w:type="pct"/>
                  <w:vAlign w:val="center"/>
                </w:tcPr>
                <w:p w14:paraId="4691B347">
                  <w:pPr>
                    <w:adjustRightInd w:val="0"/>
                    <w:snapToGrid w:val="0"/>
                    <w:jc w:val="center"/>
                    <w:rPr>
                      <w:szCs w:val="21"/>
                      <w:u w:val="single"/>
                    </w:rPr>
                  </w:pPr>
                  <w:r>
                    <w:rPr>
                      <w:rFonts w:hint="eastAsia"/>
                      <w:szCs w:val="21"/>
                      <w:u w:val="single"/>
                    </w:rPr>
                    <w:t>6.4</w:t>
                  </w:r>
                </w:p>
              </w:tc>
              <w:tc>
                <w:tcPr>
                  <w:tcW w:w="459" w:type="pct"/>
                  <w:shd w:val="clear" w:color="auto" w:fill="auto"/>
                  <w:vAlign w:val="center"/>
                </w:tcPr>
                <w:p w14:paraId="5E9782AF">
                  <w:pPr>
                    <w:adjustRightInd w:val="0"/>
                    <w:snapToGrid w:val="0"/>
                    <w:jc w:val="center"/>
                    <w:rPr>
                      <w:szCs w:val="21"/>
                      <w:u w:val="single"/>
                    </w:rPr>
                  </w:pPr>
                  <w:r>
                    <w:rPr>
                      <w:rFonts w:hint="eastAsia"/>
                      <w:szCs w:val="21"/>
                      <w:u w:val="single"/>
                    </w:rPr>
                    <w:t>10</w:t>
                  </w:r>
                </w:p>
              </w:tc>
              <w:tc>
                <w:tcPr>
                  <w:tcW w:w="846" w:type="dxa"/>
                  <w:vAlign w:val="center"/>
                </w:tcPr>
                <w:p w14:paraId="757D4FE2">
                  <w:pPr>
                    <w:adjustRightInd w:val="0"/>
                    <w:snapToGrid w:val="0"/>
                    <w:jc w:val="center"/>
                    <w:rPr>
                      <w:szCs w:val="21"/>
                      <w:u w:val="single"/>
                    </w:rPr>
                  </w:pPr>
                  <w:r>
                    <w:rPr>
                      <w:rFonts w:hint="eastAsia"/>
                      <w:szCs w:val="21"/>
                      <w:u w:val="single"/>
                    </w:rPr>
                    <w:t>/</w:t>
                  </w:r>
                </w:p>
              </w:tc>
            </w:tr>
            <w:tr w14:paraId="606F0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22873D92">
                  <w:pPr>
                    <w:adjustRightInd w:val="0"/>
                    <w:snapToGrid w:val="0"/>
                    <w:jc w:val="center"/>
                    <w:rPr>
                      <w:szCs w:val="21"/>
                      <w:u w:val="single"/>
                    </w:rPr>
                  </w:pPr>
                  <w:r>
                    <w:rPr>
                      <w:rFonts w:hint="eastAsia"/>
                      <w:szCs w:val="21"/>
                      <w:u w:val="single"/>
                    </w:rPr>
                    <w:t>6</w:t>
                  </w:r>
                </w:p>
              </w:tc>
              <w:tc>
                <w:tcPr>
                  <w:tcW w:w="1324" w:type="pct"/>
                  <w:vMerge w:val="continue"/>
                  <w:vAlign w:val="center"/>
                </w:tcPr>
                <w:p w14:paraId="3951C53C">
                  <w:pPr>
                    <w:adjustRightInd w:val="0"/>
                    <w:snapToGrid w:val="0"/>
                    <w:jc w:val="center"/>
                    <w:rPr>
                      <w:szCs w:val="21"/>
                      <w:u w:val="single"/>
                    </w:rPr>
                  </w:pPr>
                </w:p>
              </w:tc>
              <w:tc>
                <w:tcPr>
                  <w:tcW w:w="1324" w:type="pct"/>
                  <w:vAlign w:val="center"/>
                </w:tcPr>
                <w:p w14:paraId="1108554F">
                  <w:pPr>
                    <w:adjustRightInd w:val="0"/>
                    <w:snapToGrid w:val="0"/>
                    <w:jc w:val="center"/>
                    <w:rPr>
                      <w:szCs w:val="21"/>
                      <w:u w:val="single"/>
                    </w:rPr>
                  </w:pPr>
                  <w:r>
                    <w:rPr>
                      <w:rFonts w:hint="eastAsia"/>
                      <w:szCs w:val="21"/>
                      <w:u w:val="single"/>
                    </w:rPr>
                    <w:t>柔顺剂</w:t>
                  </w:r>
                </w:p>
              </w:tc>
              <w:tc>
                <w:tcPr>
                  <w:tcW w:w="362" w:type="pct"/>
                  <w:vAlign w:val="center"/>
                </w:tcPr>
                <w:p w14:paraId="07BD6842">
                  <w:pPr>
                    <w:adjustRightInd w:val="0"/>
                    <w:snapToGrid w:val="0"/>
                    <w:jc w:val="center"/>
                    <w:rPr>
                      <w:szCs w:val="21"/>
                      <w:u w:val="single"/>
                    </w:rPr>
                  </w:pPr>
                  <w:r>
                    <w:rPr>
                      <w:rFonts w:hint="eastAsia"/>
                      <w:szCs w:val="21"/>
                      <w:u w:val="single"/>
                    </w:rPr>
                    <w:t>吨</w:t>
                  </w:r>
                </w:p>
              </w:tc>
              <w:tc>
                <w:tcPr>
                  <w:tcW w:w="359" w:type="pct"/>
                  <w:vAlign w:val="center"/>
                </w:tcPr>
                <w:p w14:paraId="08555411">
                  <w:pPr>
                    <w:adjustRightInd w:val="0"/>
                    <w:snapToGrid w:val="0"/>
                    <w:jc w:val="center"/>
                    <w:rPr>
                      <w:szCs w:val="21"/>
                      <w:u w:val="single"/>
                    </w:rPr>
                  </w:pPr>
                  <w:r>
                    <w:rPr>
                      <w:rFonts w:hint="eastAsia"/>
                      <w:szCs w:val="21"/>
                      <w:u w:val="single"/>
                    </w:rPr>
                    <w:t>/</w:t>
                  </w:r>
                </w:p>
              </w:tc>
              <w:tc>
                <w:tcPr>
                  <w:tcW w:w="456" w:type="pct"/>
                  <w:vAlign w:val="center"/>
                </w:tcPr>
                <w:p w14:paraId="4C86CA78">
                  <w:pPr>
                    <w:adjustRightInd w:val="0"/>
                    <w:snapToGrid w:val="0"/>
                    <w:jc w:val="center"/>
                    <w:rPr>
                      <w:szCs w:val="21"/>
                      <w:u w:val="single"/>
                    </w:rPr>
                  </w:pPr>
                  <w:r>
                    <w:rPr>
                      <w:rFonts w:hint="eastAsia"/>
                      <w:szCs w:val="21"/>
                      <w:u w:val="single"/>
                    </w:rPr>
                    <w:t>0.6</w:t>
                  </w:r>
                </w:p>
              </w:tc>
              <w:tc>
                <w:tcPr>
                  <w:tcW w:w="459" w:type="pct"/>
                  <w:shd w:val="clear" w:color="auto" w:fill="auto"/>
                  <w:vAlign w:val="center"/>
                </w:tcPr>
                <w:p w14:paraId="6A124392">
                  <w:pPr>
                    <w:adjustRightInd w:val="0"/>
                    <w:snapToGrid w:val="0"/>
                    <w:jc w:val="center"/>
                    <w:rPr>
                      <w:szCs w:val="21"/>
                      <w:u w:val="single"/>
                    </w:rPr>
                  </w:pPr>
                  <w:r>
                    <w:rPr>
                      <w:rFonts w:hint="eastAsia"/>
                      <w:szCs w:val="21"/>
                      <w:u w:val="single"/>
                    </w:rPr>
                    <w:t>0.6</w:t>
                  </w:r>
                </w:p>
              </w:tc>
              <w:tc>
                <w:tcPr>
                  <w:tcW w:w="457" w:type="pct"/>
                  <w:vAlign w:val="center"/>
                </w:tcPr>
                <w:p w14:paraId="59B71A0B">
                  <w:pPr>
                    <w:adjustRightInd w:val="0"/>
                    <w:snapToGrid w:val="0"/>
                    <w:jc w:val="center"/>
                    <w:rPr>
                      <w:szCs w:val="21"/>
                      <w:u w:val="single"/>
                    </w:rPr>
                  </w:pPr>
                  <w:r>
                    <w:rPr>
                      <w:rFonts w:hint="eastAsia"/>
                      <w:szCs w:val="21"/>
                      <w:u w:val="single"/>
                    </w:rPr>
                    <w:t>以前未添加</w:t>
                  </w:r>
                </w:p>
              </w:tc>
            </w:tr>
            <w:tr w14:paraId="1ABFB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255" w:type="pct"/>
                  <w:vAlign w:val="center"/>
                </w:tcPr>
                <w:p w14:paraId="1E9EC99E">
                  <w:pPr>
                    <w:adjustRightInd w:val="0"/>
                    <w:snapToGrid w:val="0"/>
                    <w:jc w:val="center"/>
                    <w:rPr>
                      <w:szCs w:val="21"/>
                      <w:u w:val="single"/>
                    </w:rPr>
                  </w:pPr>
                  <w:r>
                    <w:rPr>
                      <w:rFonts w:hint="eastAsia"/>
                      <w:szCs w:val="21"/>
                      <w:u w:val="single"/>
                    </w:rPr>
                    <w:t>7</w:t>
                  </w:r>
                </w:p>
              </w:tc>
              <w:tc>
                <w:tcPr>
                  <w:tcW w:w="1324" w:type="pct"/>
                  <w:vMerge w:val="continue"/>
                  <w:vAlign w:val="center"/>
                </w:tcPr>
                <w:p w14:paraId="4CA98319">
                  <w:pPr>
                    <w:adjustRightInd w:val="0"/>
                    <w:snapToGrid w:val="0"/>
                    <w:jc w:val="center"/>
                    <w:rPr>
                      <w:szCs w:val="21"/>
                      <w:u w:val="single"/>
                    </w:rPr>
                  </w:pPr>
                </w:p>
              </w:tc>
              <w:tc>
                <w:tcPr>
                  <w:tcW w:w="1324" w:type="pct"/>
                  <w:vAlign w:val="center"/>
                </w:tcPr>
                <w:p w14:paraId="1E17219D">
                  <w:pPr>
                    <w:adjustRightInd w:val="0"/>
                    <w:snapToGrid w:val="0"/>
                    <w:jc w:val="center"/>
                    <w:rPr>
                      <w:szCs w:val="21"/>
                      <w:u w:val="single"/>
                    </w:rPr>
                  </w:pPr>
                  <w:r>
                    <w:rPr>
                      <w:rFonts w:hint="eastAsia"/>
                      <w:szCs w:val="21"/>
                      <w:u w:val="single"/>
                    </w:rPr>
                    <w:t>漂白剂</w:t>
                  </w:r>
                </w:p>
              </w:tc>
              <w:tc>
                <w:tcPr>
                  <w:tcW w:w="362" w:type="pct"/>
                  <w:vAlign w:val="center"/>
                </w:tcPr>
                <w:p w14:paraId="78713B1B">
                  <w:pPr>
                    <w:adjustRightInd w:val="0"/>
                    <w:snapToGrid w:val="0"/>
                    <w:jc w:val="center"/>
                    <w:rPr>
                      <w:szCs w:val="21"/>
                      <w:u w:val="single"/>
                    </w:rPr>
                  </w:pPr>
                  <w:r>
                    <w:rPr>
                      <w:rFonts w:hint="eastAsia"/>
                      <w:szCs w:val="21"/>
                      <w:u w:val="single"/>
                    </w:rPr>
                    <w:t>吨</w:t>
                  </w:r>
                </w:p>
              </w:tc>
              <w:tc>
                <w:tcPr>
                  <w:tcW w:w="359" w:type="pct"/>
                  <w:vAlign w:val="center"/>
                </w:tcPr>
                <w:p w14:paraId="2AF5680E">
                  <w:pPr>
                    <w:adjustRightInd w:val="0"/>
                    <w:snapToGrid w:val="0"/>
                    <w:jc w:val="center"/>
                    <w:rPr>
                      <w:szCs w:val="21"/>
                      <w:u w:val="single"/>
                    </w:rPr>
                  </w:pPr>
                  <w:r>
                    <w:rPr>
                      <w:rFonts w:hint="eastAsia"/>
                      <w:szCs w:val="21"/>
                      <w:u w:val="single"/>
                    </w:rPr>
                    <w:t>0.6</w:t>
                  </w:r>
                </w:p>
              </w:tc>
              <w:tc>
                <w:tcPr>
                  <w:tcW w:w="456" w:type="pct"/>
                  <w:vAlign w:val="center"/>
                </w:tcPr>
                <w:p w14:paraId="23A5B4A2">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270F72A2">
                  <w:pPr>
                    <w:adjustRightInd w:val="0"/>
                    <w:snapToGrid w:val="0"/>
                    <w:jc w:val="center"/>
                    <w:rPr>
                      <w:szCs w:val="21"/>
                      <w:u w:val="single"/>
                    </w:rPr>
                  </w:pPr>
                  <w:r>
                    <w:rPr>
                      <w:rFonts w:hint="eastAsia"/>
                      <w:szCs w:val="21"/>
                      <w:u w:val="single"/>
                    </w:rPr>
                    <w:t>0.6</w:t>
                  </w:r>
                </w:p>
              </w:tc>
              <w:tc>
                <w:tcPr>
                  <w:tcW w:w="846" w:type="dxa"/>
                  <w:vAlign w:val="center"/>
                </w:tcPr>
                <w:p w14:paraId="16AD8B25">
                  <w:pPr>
                    <w:adjustRightInd w:val="0"/>
                    <w:snapToGrid w:val="0"/>
                    <w:jc w:val="center"/>
                    <w:rPr>
                      <w:szCs w:val="21"/>
                      <w:u w:val="single"/>
                    </w:rPr>
                  </w:pPr>
                  <w:r>
                    <w:rPr>
                      <w:rFonts w:hint="eastAsia"/>
                      <w:szCs w:val="21"/>
                      <w:u w:val="single"/>
                    </w:rPr>
                    <w:t>/</w:t>
                  </w:r>
                </w:p>
              </w:tc>
            </w:tr>
            <w:tr w14:paraId="2FC34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48309A31">
                  <w:pPr>
                    <w:adjustRightInd w:val="0"/>
                    <w:snapToGrid w:val="0"/>
                    <w:jc w:val="center"/>
                    <w:rPr>
                      <w:szCs w:val="21"/>
                      <w:u w:val="single"/>
                    </w:rPr>
                  </w:pPr>
                  <w:r>
                    <w:rPr>
                      <w:rFonts w:hint="eastAsia"/>
                      <w:szCs w:val="21"/>
                      <w:u w:val="single"/>
                    </w:rPr>
                    <w:t>8</w:t>
                  </w:r>
                </w:p>
              </w:tc>
              <w:tc>
                <w:tcPr>
                  <w:tcW w:w="1324" w:type="pct"/>
                  <w:vMerge w:val="continue"/>
                  <w:vAlign w:val="center"/>
                </w:tcPr>
                <w:p w14:paraId="0B981A47">
                  <w:pPr>
                    <w:adjustRightInd w:val="0"/>
                    <w:snapToGrid w:val="0"/>
                    <w:jc w:val="center"/>
                    <w:rPr>
                      <w:szCs w:val="21"/>
                      <w:u w:val="single"/>
                    </w:rPr>
                  </w:pPr>
                </w:p>
              </w:tc>
              <w:tc>
                <w:tcPr>
                  <w:tcW w:w="1324" w:type="pct"/>
                  <w:vAlign w:val="center"/>
                </w:tcPr>
                <w:p w14:paraId="6534CC6A">
                  <w:pPr>
                    <w:adjustRightInd w:val="0"/>
                    <w:snapToGrid w:val="0"/>
                    <w:jc w:val="center"/>
                    <w:rPr>
                      <w:szCs w:val="21"/>
                      <w:u w:val="single"/>
                    </w:rPr>
                  </w:pPr>
                  <w:r>
                    <w:rPr>
                      <w:rFonts w:hint="eastAsia"/>
                      <w:szCs w:val="21"/>
                      <w:u w:val="single"/>
                    </w:rPr>
                    <w:t>纳米香精</w:t>
                  </w:r>
                </w:p>
              </w:tc>
              <w:tc>
                <w:tcPr>
                  <w:tcW w:w="362" w:type="pct"/>
                  <w:vAlign w:val="center"/>
                </w:tcPr>
                <w:p w14:paraId="3592E84F">
                  <w:pPr>
                    <w:adjustRightInd w:val="0"/>
                    <w:snapToGrid w:val="0"/>
                    <w:jc w:val="center"/>
                    <w:rPr>
                      <w:szCs w:val="21"/>
                      <w:u w:val="single"/>
                    </w:rPr>
                  </w:pPr>
                  <w:r>
                    <w:rPr>
                      <w:rFonts w:hint="eastAsia"/>
                      <w:szCs w:val="21"/>
                      <w:u w:val="single"/>
                    </w:rPr>
                    <w:t>升</w:t>
                  </w:r>
                </w:p>
              </w:tc>
              <w:tc>
                <w:tcPr>
                  <w:tcW w:w="359" w:type="pct"/>
                  <w:vAlign w:val="center"/>
                </w:tcPr>
                <w:p w14:paraId="5FE6E475">
                  <w:pPr>
                    <w:adjustRightInd w:val="0"/>
                    <w:snapToGrid w:val="0"/>
                    <w:jc w:val="center"/>
                    <w:rPr>
                      <w:szCs w:val="21"/>
                      <w:u w:val="single"/>
                    </w:rPr>
                  </w:pPr>
                  <w:r>
                    <w:rPr>
                      <w:rFonts w:hint="eastAsia"/>
                      <w:szCs w:val="21"/>
                      <w:u w:val="single"/>
                    </w:rPr>
                    <w:t>1.2</w:t>
                  </w:r>
                </w:p>
              </w:tc>
              <w:tc>
                <w:tcPr>
                  <w:tcW w:w="456" w:type="pct"/>
                  <w:vAlign w:val="center"/>
                </w:tcPr>
                <w:p w14:paraId="37D73A77">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56EAB887">
                  <w:pPr>
                    <w:adjustRightInd w:val="0"/>
                    <w:snapToGrid w:val="0"/>
                    <w:jc w:val="center"/>
                    <w:rPr>
                      <w:szCs w:val="21"/>
                      <w:u w:val="single"/>
                    </w:rPr>
                  </w:pPr>
                  <w:r>
                    <w:rPr>
                      <w:rFonts w:hint="eastAsia"/>
                      <w:szCs w:val="21"/>
                      <w:u w:val="single"/>
                    </w:rPr>
                    <w:t>1.2</w:t>
                  </w:r>
                </w:p>
              </w:tc>
              <w:tc>
                <w:tcPr>
                  <w:tcW w:w="846" w:type="dxa"/>
                  <w:vAlign w:val="center"/>
                </w:tcPr>
                <w:p w14:paraId="05B5EFF5">
                  <w:pPr>
                    <w:adjustRightInd w:val="0"/>
                    <w:snapToGrid w:val="0"/>
                    <w:jc w:val="center"/>
                    <w:rPr>
                      <w:szCs w:val="21"/>
                      <w:u w:val="single"/>
                    </w:rPr>
                  </w:pPr>
                  <w:r>
                    <w:rPr>
                      <w:rFonts w:hint="eastAsia"/>
                      <w:szCs w:val="21"/>
                      <w:u w:val="single"/>
                    </w:rPr>
                    <w:t>/</w:t>
                  </w:r>
                </w:p>
              </w:tc>
            </w:tr>
            <w:tr w14:paraId="23003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717359D5">
                  <w:pPr>
                    <w:adjustRightInd w:val="0"/>
                    <w:snapToGrid w:val="0"/>
                    <w:jc w:val="center"/>
                    <w:rPr>
                      <w:szCs w:val="21"/>
                      <w:u w:val="single"/>
                    </w:rPr>
                  </w:pPr>
                  <w:r>
                    <w:rPr>
                      <w:rFonts w:hint="eastAsia"/>
                      <w:szCs w:val="21"/>
                      <w:u w:val="single"/>
                    </w:rPr>
                    <w:t>9</w:t>
                  </w:r>
                </w:p>
              </w:tc>
              <w:tc>
                <w:tcPr>
                  <w:tcW w:w="1324" w:type="pct"/>
                  <w:vMerge w:val="continue"/>
                  <w:vAlign w:val="center"/>
                </w:tcPr>
                <w:p w14:paraId="714A4453">
                  <w:pPr>
                    <w:adjustRightInd w:val="0"/>
                    <w:snapToGrid w:val="0"/>
                    <w:jc w:val="center"/>
                    <w:rPr>
                      <w:szCs w:val="21"/>
                      <w:u w:val="single"/>
                    </w:rPr>
                  </w:pPr>
                </w:p>
              </w:tc>
              <w:tc>
                <w:tcPr>
                  <w:tcW w:w="1324" w:type="pct"/>
                  <w:vAlign w:val="center"/>
                </w:tcPr>
                <w:p w14:paraId="492C1F69">
                  <w:pPr>
                    <w:adjustRightInd w:val="0"/>
                    <w:snapToGrid w:val="0"/>
                    <w:jc w:val="center"/>
                    <w:rPr>
                      <w:szCs w:val="21"/>
                      <w:u w:val="single"/>
                    </w:rPr>
                  </w:pPr>
                  <w:r>
                    <w:rPr>
                      <w:rFonts w:hint="eastAsia"/>
                      <w:szCs w:val="21"/>
                      <w:u w:val="single"/>
                    </w:rPr>
                    <w:t>医用酒精（稀释纳米香精用）</w:t>
                  </w:r>
                </w:p>
              </w:tc>
              <w:tc>
                <w:tcPr>
                  <w:tcW w:w="362" w:type="pct"/>
                  <w:vAlign w:val="center"/>
                </w:tcPr>
                <w:p w14:paraId="3CBDD157">
                  <w:pPr>
                    <w:adjustRightInd w:val="0"/>
                    <w:snapToGrid w:val="0"/>
                    <w:jc w:val="center"/>
                    <w:rPr>
                      <w:szCs w:val="21"/>
                      <w:u w:val="single"/>
                    </w:rPr>
                  </w:pPr>
                  <w:r>
                    <w:rPr>
                      <w:rFonts w:hint="eastAsia"/>
                      <w:szCs w:val="21"/>
                      <w:u w:val="single"/>
                    </w:rPr>
                    <w:t>升</w:t>
                  </w:r>
                </w:p>
              </w:tc>
              <w:tc>
                <w:tcPr>
                  <w:tcW w:w="359" w:type="pct"/>
                  <w:vAlign w:val="center"/>
                </w:tcPr>
                <w:p w14:paraId="5914DA69">
                  <w:pPr>
                    <w:adjustRightInd w:val="0"/>
                    <w:snapToGrid w:val="0"/>
                    <w:jc w:val="center"/>
                    <w:rPr>
                      <w:szCs w:val="21"/>
                      <w:u w:val="single"/>
                    </w:rPr>
                  </w:pPr>
                  <w:r>
                    <w:rPr>
                      <w:rFonts w:hint="eastAsia"/>
                      <w:szCs w:val="21"/>
                      <w:u w:val="single"/>
                    </w:rPr>
                    <w:t>90</w:t>
                  </w:r>
                </w:p>
              </w:tc>
              <w:tc>
                <w:tcPr>
                  <w:tcW w:w="456" w:type="pct"/>
                  <w:vAlign w:val="center"/>
                </w:tcPr>
                <w:p w14:paraId="100BC5E4">
                  <w:pPr>
                    <w:adjustRightInd w:val="0"/>
                    <w:snapToGrid w:val="0"/>
                    <w:jc w:val="center"/>
                    <w:rPr>
                      <w:szCs w:val="21"/>
                      <w:u w:val="single"/>
                    </w:rPr>
                  </w:pPr>
                  <w:r>
                    <w:rPr>
                      <w:rFonts w:hint="eastAsia"/>
                      <w:szCs w:val="21"/>
                      <w:u w:val="single"/>
                    </w:rPr>
                    <w:t>/</w:t>
                  </w:r>
                </w:p>
              </w:tc>
              <w:tc>
                <w:tcPr>
                  <w:tcW w:w="459" w:type="pct"/>
                  <w:shd w:val="clear" w:color="auto" w:fill="auto"/>
                  <w:vAlign w:val="center"/>
                </w:tcPr>
                <w:p w14:paraId="2EB363D7">
                  <w:pPr>
                    <w:adjustRightInd w:val="0"/>
                    <w:snapToGrid w:val="0"/>
                    <w:jc w:val="center"/>
                    <w:rPr>
                      <w:szCs w:val="21"/>
                      <w:u w:val="single"/>
                    </w:rPr>
                  </w:pPr>
                  <w:r>
                    <w:rPr>
                      <w:rFonts w:hint="eastAsia"/>
                      <w:szCs w:val="21"/>
                      <w:u w:val="single"/>
                    </w:rPr>
                    <w:t>90</w:t>
                  </w:r>
                </w:p>
              </w:tc>
              <w:tc>
                <w:tcPr>
                  <w:tcW w:w="846" w:type="dxa"/>
                  <w:vAlign w:val="center"/>
                </w:tcPr>
                <w:p w14:paraId="330A08CC">
                  <w:pPr>
                    <w:adjustRightInd w:val="0"/>
                    <w:snapToGrid w:val="0"/>
                    <w:jc w:val="center"/>
                    <w:rPr>
                      <w:szCs w:val="21"/>
                      <w:u w:val="single"/>
                    </w:rPr>
                  </w:pPr>
                  <w:r>
                    <w:rPr>
                      <w:rFonts w:hint="eastAsia"/>
                      <w:szCs w:val="21"/>
                      <w:u w:val="single"/>
                    </w:rPr>
                    <w:t>/</w:t>
                  </w:r>
                </w:p>
              </w:tc>
            </w:tr>
            <w:tr w14:paraId="54D44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255" w:type="pct"/>
                  <w:vAlign w:val="center"/>
                </w:tcPr>
                <w:p w14:paraId="5B516919">
                  <w:pPr>
                    <w:adjustRightInd w:val="0"/>
                    <w:snapToGrid w:val="0"/>
                    <w:jc w:val="center"/>
                    <w:rPr>
                      <w:szCs w:val="21"/>
                      <w:u w:val="single"/>
                    </w:rPr>
                  </w:pPr>
                  <w:r>
                    <w:rPr>
                      <w:rFonts w:hint="eastAsia"/>
                      <w:szCs w:val="21"/>
                      <w:u w:val="single"/>
                    </w:rPr>
                    <w:t>10</w:t>
                  </w:r>
                </w:p>
              </w:tc>
              <w:tc>
                <w:tcPr>
                  <w:tcW w:w="1324" w:type="pct"/>
                  <w:vMerge w:val="continue"/>
                  <w:vAlign w:val="center"/>
                </w:tcPr>
                <w:p w14:paraId="5D39D7EB">
                  <w:pPr>
                    <w:adjustRightInd w:val="0"/>
                    <w:snapToGrid w:val="0"/>
                    <w:jc w:val="center"/>
                    <w:rPr>
                      <w:szCs w:val="21"/>
                      <w:u w:val="single"/>
                    </w:rPr>
                  </w:pPr>
                </w:p>
              </w:tc>
              <w:tc>
                <w:tcPr>
                  <w:tcW w:w="1324" w:type="pct"/>
                  <w:vAlign w:val="center"/>
                </w:tcPr>
                <w:p w14:paraId="0F1D4B89">
                  <w:pPr>
                    <w:adjustRightInd w:val="0"/>
                    <w:snapToGrid w:val="0"/>
                    <w:jc w:val="center"/>
                    <w:rPr>
                      <w:szCs w:val="21"/>
                      <w:u w:val="single"/>
                    </w:rPr>
                  </w:pPr>
                  <w:r>
                    <w:rPr>
                      <w:rFonts w:hint="eastAsia"/>
                      <w:szCs w:val="21"/>
                      <w:u w:val="single"/>
                    </w:rPr>
                    <w:t>包装膜（毛巾包装用）</w:t>
                  </w:r>
                </w:p>
              </w:tc>
              <w:tc>
                <w:tcPr>
                  <w:tcW w:w="362" w:type="pct"/>
                  <w:vAlign w:val="center"/>
                </w:tcPr>
                <w:p w14:paraId="71E76F3A">
                  <w:pPr>
                    <w:adjustRightInd w:val="0"/>
                    <w:snapToGrid w:val="0"/>
                    <w:jc w:val="center"/>
                    <w:rPr>
                      <w:szCs w:val="21"/>
                      <w:u w:val="single"/>
                    </w:rPr>
                  </w:pPr>
                  <w:r>
                    <w:rPr>
                      <w:rFonts w:hint="eastAsia"/>
                      <w:szCs w:val="21"/>
                      <w:u w:val="single"/>
                    </w:rPr>
                    <w:t>吨</w:t>
                  </w:r>
                </w:p>
              </w:tc>
              <w:tc>
                <w:tcPr>
                  <w:tcW w:w="359" w:type="pct"/>
                  <w:vAlign w:val="center"/>
                </w:tcPr>
                <w:p w14:paraId="56A30792">
                  <w:pPr>
                    <w:adjustRightInd w:val="0"/>
                    <w:snapToGrid w:val="0"/>
                    <w:jc w:val="center"/>
                    <w:rPr>
                      <w:szCs w:val="21"/>
                      <w:u w:val="single"/>
                    </w:rPr>
                  </w:pPr>
                  <w:r>
                    <w:rPr>
                      <w:rFonts w:hint="eastAsia"/>
                      <w:szCs w:val="21"/>
                      <w:u w:val="single"/>
                    </w:rPr>
                    <w:t>0.18</w:t>
                  </w:r>
                </w:p>
              </w:tc>
              <w:tc>
                <w:tcPr>
                  <w:tcW w:w="456" w:type="pct"/>
                  <w:vAlign w:val="center"/>
                </w:tcPr>
                <w:p w14:paraId="47663D7C">
                  <w:pPr>
                    <w:adjustRightInd w:val="0"/>
                    <w:snapToGrid w:val="0"/>
                    <w:jc w:val="center"/>
                    <w:rPr>
                      <w:szCs w:val="21"/>
                      <w:u w:val="single"/>
                    </w:rPr>
                  </w:pPr>
                  <w:r>
                    <w:rPr>
                      <w:rFonts w:hint="eastAsia"/>
                      <w:szCs w:val="21"/>
                      <w:u w:val="single"/>
                    </w:rPr>
                    <w:t>0.82</w:t>
                  </w:r>
                </w:p>
              </w:tc>
              <w:tc>
                <w:tcPr>
                  <w:tcW w:w="459" w:type="pct"/>
                  <w:shd w:val="clear" w:color="auto" w:fill="auto"/>
                  <w:vAlign w:val="center"/>
                </w:tcPr>
                <w:p w14:paraId="3851A8E5">
                  <w:pPr>
                    <w:adjustRightInd w:val="0"/>
                    <w:snapToGrid w:val="0"/>
                    <w:jc w:val="center"/>
                    <w:rPr>
                      <w:szCs w:val="21"/>
                      <w:u w:val="single"/>
                    </w:rPr>
                  </w:pPr>
                  <w:r>
                    <w:rPr>
                      <w:rFonts w:hint="eastAsia"/>
                      <w:szCs w:val="21"/>
                      <w:u w:val="single"/>
                    </w:rPr>
                    <w:t>1</w:t>
                  </w:r>
                </w:p>
              </w:tc>
              <w:tc>
                <w:tcPr>
                  <w:tcW w:w="846" w:type="dxa"/>
                  <w:vAlign w:val="center"/>
                </w:tcPr>
                <w:p w14:paraId="2FC933C8">
                  <w:pPr>
                    <w:adjustRightInd w:val="0"/>
                    <w:snapToGrid w:val="0"/>
                    <w:jc w:val="center"/>
                    <w:rPr>
                      <w:szCs w:val="21"/>
                      <w:u w:val="single"/>
                    </w:rPr>
                  </w:pPr>
                  <w:r>
                    <w:rPr>
                      <w:rFonts w:hint="eastAsia"/>
                      <w:szCs w:val="21"/>
                      <w:u w:val="single"/>
                    </w:rPr>
                    <w:t>/</w:t>
                  </w:r>
                </w:p>
              </w:tc>
            </w:tr>
            <w:tr w14:paraId="01C67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6F32A90F">
                  <w:pPr>
                    <w:widowControl/>
                    <w:jc w:val="right"/>
                    <w:textAlignment w:val="center"/>
                    <w:rPr>
                      <w:color w:val="FF0000"/>
                      <w:szCs w:val="21"/>
                      <w:u w:val="single"/>
                    </w:rPr>
                  </w:pPr>
                  <w:r>
                    <w:rPr>
                      <w:rFonts w:hint="eastAsia" w:ascii="宋体" w:hAnsi="宋体" w:cs="宋体"/>
                      <w:color w:val="000000"/>
                      <w:kern w:val="0"/>
                      <w:sz w:val="24"/>
                      <w:u w:val="single"/>
                      <w:lang w:bidi="ar"/>
                    </w:rPr>
                    <w:t>11</w:t>
                  </w:r>
                </w:p>
              </w:tc>
              <w:tc>
                <w:tcPr>
                  <w:tcW w:w="1324" w:type="pct"/>
                  <w:vMerge w:val="restart"/>
                  <w:vAlign w:val="center"/>
                </w:tcPr>
                <w:p w14:paraId="058C9CCA">
                  <w:pPr>
                    <w:adjustRightInd w:val="0"/>
                    <w:snapToGrid w:val="0"/>
                    <w:jc w:val="center"/>
                    <w:rPr>
                      <w:szCs w:val="21"/>
                      <w:u w:val="single"/>
                    </w:rPr>
                  </w:pPr>
                  <w:r>
                    <w:rPr>
                      <w:rFonts w:hint="eastAsia"/>
                      <w:szCs w:val="21"/>
                      <w:u w:val="single"/>
                    </w:rPr>
                    <w:t>医疗布草洗涤</w:t>
                  </w:r>
                </w:p>
              </w:tc>
              <w:tc>
                <w:tcPr>
                  <w:tcW w:w="1324" w:type="pct"/>
                  <w:shd w:val="clear" w:color="auto" w:fill="auto"/>
                  <w:vAlign w:val="center"/>
                </w:tcPr>
                <w:p w14:paraId="7E679A11">
                  <w:pPr>
                    <w:pStyle w:val="32"/>
                    <w:rPr>
                      <w:u w:val="single"/>
                    </w:rPr>
                  </w:pPr>
                  <w:r>
                    <w:rPr>
                      <w:rFonts w:hint="eastAsia"/>
                      <w:u w:val="single"/>
                    </w:rPr>
                    <w:t>医用主洗液</w:t>
                  </w:r>
                </w:p>
              </w:tc>
              <w:tc>
                <w:tcPr>
                  <w:tcW w:w="362" w:type="pct"/>
                  <w:shd w:val="clear" w:color="auto" w:fill="auto"/>
                  <w:vAlign w:val="center"/>
                </w:tcPr>
                <w:p w14:paraId="678E7037">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5E73D980">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1D6BF671">
                  <w:pPr>
                    <w:adjustRightInd w:val="0"/>
                    <w:snapToGrid w:val="0"/>
                    <w:jc w:val="center"/>
                    <w:rPr>
                      <w:szCs w:val="21"/>
                      <w:u w:val="single"/>
                    </w:rPr>
                  </w:pPr>
                  <w:r>
                    <w:rPr>
                      <w:rFonts w:hint="eastAsia"/>
                      <w:szCs w:val="21"/>
                      <w:u w:val="single"/>
                    </w:rPr>
                    <w:t>2.4</w:t>
                  </w:r>
                </w:p>
              </w:tc>
              <w:tc>
                <w:tcPr>
                  <w:tcW w:w="459" w:type="pct"/>
                  <w:shd w:val="clear" w:color="auto" w:fill="auto"/>
                  <w:vAlign w:val="center"/>
                </w:tcPr>
                <w:p w14:paraId="51DA18F4">
                  <w:pPr>
                    <w:adjustRightInd w:val="0"/>
                    <w:snapToGrid w:val="0"/>
                    <w:jc w:val="center"/>
                    <w:rPr>
                      <w:szCs w:val="21"/>
                      <w:u w:val="single"/>
                    </w:rPr>
                  </w:pPr>
                  <w:r>
                    <w:rPr>
                      <w:rFonts w:hint="eastAsia"/>
                      <w:szCs w:val="21"/>
                      <w:u w:val="single"/>
                    </w:rPr>
                    <w:t>2.4</w:t>
                  </w:r>
                </w:p>
              </w:tc>
              <w:tc>
                <w:tcPr>
                  <w:tcW w:w="846" w:type="dxa"/>
                  <w:vAlign w:val="center"/>
                </w:tcPr>
                <w:p w14:paraId="36FC228E">
                  <w:pPr>
                    <w:adjustRightInd w:val="0"/>
                    <w:snapToGrid w:val="0"/>
                    <w:jc w:val="center"/>
                    <w:rPr>
                      <w:szCs w:val="21"/>
                      <w:u w:val="single"/>
                    </w:rPr>
                  </w:pPr>
                  <w:r>
                    <w:rPr>
                      <w:rFonts w:hint="eastAsia"/>
                      <w:szCs w:val="21"/>
                      <w:u w:val="single"/>
                    </w:rPr>
                    <w:t>/</w:t>
                  </w:r>
                </w:p>
              </w:tc>
            </w:tr>
            <w:tr w14:paraId="65E5F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364BD857">
                  <w:pPr>
                    <w:widowControl/>
                    <w:jc w:val="right"/>
                    <w:textAlignment w:val="center"/>
                    <w:rPr>
                      <w:color w:val="FF0000"/>
                      <w:szCs w:val="21"/>
                      <w:u w:val="single"/>
                    </w:rPr>
                  </w:pPr>
                  <w:r>
                    <w:rPr>
                      <w:rFonts w:hint="eastAsia" w:ascii="宋体" w:hAnsi="宋体" w:cs="宋体"/>
                      <w:color w:val="000000"/>
                      <w:kern w:val="0"/>
                      <w:sz w:val="24"/>
                      <w:u w:val="single"/>
                      <w:lang w:bidi="ar"/>
                    </w:rPr>
                    <w:t>12</w:t>
                  </w:r>
                </w:p>
              </w:tc>
              <w:tc>
                <w:tcPr>
                  <w:tcW w:w="1324" w:type="pct"/>
                  <w:vMerge w:val="continue"/>
                  <w:vAlign w:val="center"/>
                </w:tcPr>
                <w:p w14:paraId="16B75036">
                  <w:pPr>
                    <w:adjustRightInd w:val="0"/>
                    <w:snapToGrid w:val="0"/>
                    <w:jc w:val="center"/>
                    <w:rPr>
                      <w:szCs w:val="21"/>
                      <w:u w:val="single"/>
                    </w:rPr>
                  </w:pPr>
                </w:p>
              </w:tc>
              <w:tc>
                <w:tcPr>
                  <w:tcW w:w="1324" w:type="pct"/>
                  <w:shd w:val="clear" w:color="auto" w:fill="auto"/>
                  <w:vAlign w:val="center"/>
                </w:tcPr>
                <w:p w14:paraId="118CE07E">
                  <w:pPr>
                    <w:pStyle w:val="32"/>
                    <w:rPr>
                      <w:u w:val="single"/>
                    </w:rPr>
                  </w:pPr>
                  <w:r>
                    <w:rPr>
                      <w:rFonts w:hint="eastAsia"/>
                      <w:u w:val="single"/>
                    </w:rPr>
                    <w:t>医用助洗碱液</w:t>
                  </w:r>
                </w:p>
              </w:tc>
              <w:tc>
                <w:tcPr>
                  <w:tcW w:w="362" w:type="pct"/>
                  <w:shd w:val="clear" w:color="auto" w:fill="auto"/>
                  <w:vAlign w:val="center"/>
                </w:tcPr>
                <w:p w14:paraId="648CF014">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0DE312D9">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5B56D1AB">
                  <w:pPr>
                    <w:adjustRightInd w:val="0"/>
                    <w:snapToGrid w:val="0"/>
                    <w:jc w:val="center"/>
                    <w:rPr>
                      <w:szCs w:val="21"/>
                      <w:u w:val="single"/>
                    </w:rPr>
                  </w:pPr>
                  <w:r>
                    <w:rPr>
                      <w:rFonts w:hint="eastAsia"/>
                      <w:szCs w:val="21"/>
                      <w:u w:val="single"/>
                    </w:rPr>
                    <w:t>2.4</w:t>
                  </w:r>
                </w:p>
              </w:tc>
              <w:tc>
                <w:tcPr>
                  <w:tcW w:w="459" w:type="pct"/>
                  <w:shd w:val="clear" w:color="auto" w:fill="auto"/>
                  <w:vAlign w:val="center"/>
                </w:tcPr>
                <w:p w14:paraId="2CB667DC">
                  <w:pPr>
                    <w:adjustRightInd w:val="0"/>
                    <w:snapToGrid w:val="0"/>
                    <w:jc w:val="center"/>
                    <w:rPr>
                      <w:szCs w:val="21"/>
                      <w:u w:val="single"/>
                    </w:rPr>
                  </w:pPr>
                  <w:r>
                    <w:rPr>
                      <w:rFonts w:hint="eastAsia"/>
                      <w:szCs w:val="21"/>
                      <w:u w:val="single"/>
                    </w:rPr>
                    <w:t>2.4</w:t>
                  </w:r>
                </w:p>
              </w:tc>
              <w:tc>
                <w:tcPr>
                  <w:tcW w:w="846" w:type="dxa"/>
                  <w:vAlign w:val="center"/>
                </w:tcPr>
                <w:p w14:paraId="6CBB3B7C">
                  <w:pPr>
                    <w:adjustRightInd w:val="0"/>
                    <w:snapToGrid w:val="0"/>
                    <w:jc w:val="center"/>
                    <w:rPr>
                      <w:szCs w:val="21"/>
                      <w:u w:val="single"/>
                    </w:rPr>
                  </w:pPr>
                  <w:r>
                    <w:rPr>
                      <w:rFonts w:hint="eastAsia"/>
                      <w:szCs w:val="21"/>
                      <w:u w:val="single"/>
                    </w:rPr>
                    <w:t>/</w:t>
                  </w:r>
                </w:p>
              </w:tc>
            </w:tr>
            <w:tr w14:paraId="341CD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428330EA">
                  <w:pPr>
                    <w:widowControl/>
                    <w:jc w:val="right"/>
                    <w:textAlignment w:val="center"/>
                    <w:rPr>
                      <w:color w:val="FF0000"/>
                      <w:szCs w:val="21"/>
                      <w:u w:val="single"/>
                    </w:rPr>
                  </w:pPr>
                  <w:r>
                    <w:rPr>
                      <w:rFonts w:hint="eastAsia" w:ascii="宋体" w:hAnsi="宋体" w:cs="宋体"/>
                      <w:color w:val="000000"/>
                      <w:kern w:val="0"/>
                      <w:sz w:val="24"/>
                      <w:u w:val="single"/>
                      <w:lang w:bidi="ar"/>
                    </w:rPr>
                    <w:t>13</w:t>
                  </w:r>
                </w:p>
              </w:tc>
              <w:tc>
                <w:tcPr>
                  <w:tcW w:w="1324" w:type="pct"/>
                  <w:vMerge w:val="continue"/>
                  <w:vAlign w:val="center"/>
                </w:tcPr>
                <w:p w14:paraId="3DF84FD5">
                  <w:pPr>
                    <w:adjustRightInd w:val="0"/>
                    <w:snapToGrid w:val="0"/>
                    <w:jc w:val="center"/>
                    <w:rPr>
                      <w:szCs w:val="21"/>
                      <w:u w:val="single"/>
                    </w:rPr>
                  </w:pPr>
                </w:p>
              </w:tc>
              <w:tc>
                <w:tcPr>
                  <w:tcW w:w="1324" w:type="pct"/>
                  <w:shd w:val="clear" w:color="auto" w:fill="auto"/>
                  <w:vAlign w:val="center"/>
                </w:tcPr>
                <w:p w14:paraId="7A1B7B83">
                  <w:pPr>
                    <w:pStyle w:val="32"/>
                    <w:rPr>
                      <w:u w:val="single"/>
                    </w:rPr>
                  </w:pPr>
                  <w:r>
                    <w:rPr>
                      <w:rFonts w:hint="eastAsia"/>
                      <w:u w:val="single"/>
                    </w:rPr>
                    <w:t>医用氧漂剂</w:t>
                  </w:r>
                </w:p>
              </w:tc>
              <w:tc>
                <w:tcPr>
                  <w:tcW w:w="362" w:type="pct"/>
                  <w:shd w:val="clear" w:color="auto" w:fill="auto"/>
                  <w:vAlign w:val="center"/>
                </w:tcPr>
                <w:p w14:paraId="0B5E4854">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3B097C2F">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75EDDD5B">
                  <w:pPr>
                    <w:adjustRightInd w:val="0"/>
                    <w:snapToGrid w:val="0"/>
                    <w:jc w:val="center"/>
                    <w:rPr>
                      <w:szCs w:val="21"/>
                      <w:u w:val="single"/>
                    </w:rPr>
                  </w:pPr>
                  <w:r>
                    <w:rPr>
                      <w:rFonts w:hint="eastAsia"/>
                      <w:szCs w:val="21"/>
                      <w:u w:val="single"/>
                    </w:rPr>
                    <w:t>2.4</w:t>
                  </w:r>
                </w:p>
              </w:tc>
              <w:tc>
                <w:tcPr>
                  <w:tcW w:w="459" w:type="pct"/>
                  <w:shd w:val="clear" w:color="auto" w:fill="auto"/>
                  <w:vAlign w:val="center"/>
                </w:tcPr>
                <w:p w14:paraId="4151D46F">
                  <w:pPr>
                    <w:adjustRightInd w:val="0"/>
                    <w:snapToGrid w:val="0"/>
                    <w:jc w:val="center"/>
                    <w:rPr>
                      <w:szCs w:val="21"/>
                      <w:u w:val="single"/>
                    </w:rPr>
                  </w:pPr>
                  <w:r>
                    <w:rPr>
                      <w:rFonts w:hint="eastAsia"/>
                      <w:szCs w:val="21"/>
                      <w:u w:val="single"/>
                    </w:rPr>
                    <w:t>2.4</w:t>
                  </w:r>
                </w:p>
              </w:tc>
              <w:tc>
                <w:tcPr>
                  <w:tcW w:w="846" w:type="dxa"/>
                  <w:vAlign w:val="center"/>
                </w:tcPr>
                <w:p w14:paraId="7B4F8135">
                  <w:pPr>
                    <w:adjustRightInd w:val="0"/>
                    <w:snapToGrid w:val="0"/>
                    <w:jc w:val="center"/>
                    <w:rPr>
                      <w:szCs w:val="21"/>
                      <w:u w:val="single"/>
                    </w:rPr>
                  </w:pPr>
                  <w:r>
                    <w:rPr>
                      <w:rFonts w:hint="eastAsia"/>
                      <w:szCs w:val="21"/>
                      <w:u w:val="single"/>
                    </w:rPr>
                    <w:t>/</w:t>
                  </w:r>
                </w:p>
              </w:tc>
            </w:tr>
            <w:tr w14:paraId="2AA59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520EFA52">
                  <w:pPr>
                    <w:widowControl/>
                    <w:jc w:val="right"/>
                    <w:textAlignment w:val="center"/>
                    <w:rPr>
                      <w:color w:val="FF0000"/>
                      <w:szCs w:val="21"/>
                      <w:u w:val="single"/>
                    </w:rPr>
                  </w:pPr>
                  <w:r>
                    <w:rPr>
                      <w:rFonts w:hint="eastAsia" w:ascii="宋体" w:hAnsi="宋体" w:cs="宋体"/>
                      <w:color w:val="000000"/>
                      <w:kern w:val="0"/>
                      <w:sz w:val="24"/>
                      <w:u w:val="single"/>
                      <w:lang w:bidi="ar"/>
                    </w:rPr>
                    <w:t>14</w:t>
                  </w:r>
                </w:p>
              </w:tc>
              <w:tc>
                <w:tcPr>
                  <w:tcW w:w="1324" w:type="pct"/>
                  <w:vMerge w:val="continue"/>
                  <w:vAlign w:val="center"/>
                </w:tcPr>
                <w:p w14:paraId="23A5EF43">
                  <w:pPr>
                    <w:adjustRightInd w:val="0"/>
                    <w:snapToGrid w:val="0"/>
                    <w:jc w:val="center"/>
                    <w:rPr>
                      <w:szCs w:val="21"/>
                      <w:u w:val="single"/>
                    </w:rPr>
                  </w:pPr>
                </w:p>
              </w:tc>
              <w:tc>
                <w:tcPr>
                  <w:tcW w:w="1324" w:type="pct"/>
                  <w:shd w:val="clear" w:color="auto" w:fill="auto"/>
                  <w:vAlign w:val="center"/>
                </w:tcPr>
                <w:p w14:paraId="2FD89E27">
                  <w:pPr>
                    <w:pStyle w:val="32"/>
                    <w:rPr>
                      <w:u w:val="single"/>
                    </w:rPr>
                  </w:pPr>
                  <w:r>
                    <w:rPr>
                      <w:rFonts w:hint="eastAsia"/>
                      <w:u w:val="single"/>
                    </w:rPr>
                    <w:t>医用氯漂剂</w:t>
                  </w:r>
                </w:p>
              </w:tc>
              <w:tc>
                <w:tcPr>
                  <w:tcW w:w="362" w:type="pct"/>
                  <w:shd w:val="clear" w:color="auto" w:fill="auto"/>
                  <w:vAlign w:val="center"/>
                </w:tcPr>
                <w:p w14:paraId="24381C94">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17AD2E83">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69DE1BC6">
                  <w:pPr>
                    <w:adjustRightInd w:val="0"/>
                    <w:snapToGrid w:val="0"/>
                    <w:jc w:val="center"/>
                    <w:rPr>
                      <w:szCs w:val="21"/>
                      <w:u w:val="single"/>
                    </w:rPr>
                  </w:pPr>
                  <w:r>
                    <w:rPr>
                      <w:rFonts w:hint="eastAsia"/>
                      <w:szCs w:val="21"/>
                      <w:u w:val="single"/>
                    </w:rPr>
                    <w:t>0.5</w:t>
                  </w:r>
                </w:p>
              </w:tc>
              <w:tc>
                <w:tcPr>
                  <w:tcW w:w="459" w:type="pct"/>
                  <w:shd w:val="clear" w:color="auto" w:fill="auto"/>
                  <w:vAlign w:val="center"/>
                </w:tcPr>
                <w:p w14:paraId="08DC6003">
                  <w:pPr>
                    <w:adjustRightInd w:val="0"/>
                    <w:snapToGrid w:val="0"/>
                    <w:jc w:val="center"/>
                    <w:rPr>
                      <w:szCs w:val="21"/>
                      <w:u w:val="single"/>
                    </w:rPr>
                  </w:pPr>
                  <w:r>
                    <w:rPr>
                      <w:rFonts w:hint="eastAsia"/>
                      <w:szCs w:val="21"/>
                      <w:u w:val="single"/>
                    </w:rPr>
                    <w:t>0.5</w:t>
                  </w:r>
                </w:p>
              </w:tc>
              <w:tc>
                <w:tcPr>
                  <w:tcW w:w="846" w:type="dxa"/>
                  <w:vAlign w:val="center"/>
                </w:tcPr>
                <w:p w14:paraId="095C07D8">
                  <w:pPr>
                    <w:adjustRightInd w:val="0"/>
                    <w:snapToGrid w:val="0"/>
                    <w:jc w:val="center"/>
                    <w:rPr>
                      <w:szCs w:val="21"/>
                      <w:u w:val="single"/>
                    </w:rPr>
                  </w:pPr>
                  <w:r>
                    <w:rPr>
                      <w:rFonts w:hint="eastAsia"/>
                      <w:szCs w:val="21"/>
                      <w:u w:val="single"/>
                    </w:rPr>
                    <w:t>/</w:t>
                  </w:r>
                </w:p>
              </w:tc>
            </w:tr>
            <w:tr w14:paraId="184C4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2DCAC9DD">
                  <w:pPr>
                    <w:widowControl/>
                    <w:jc w:val="right"/>
                    <w:textAlignment w:val="center"/>
                    <w:rPr>
                      <w:color w:val="FF0000"/>
                      <w:szCs w:val="21"/>
                      <w:u w:val="single"/>
                    </w:rPr>
                  </w:pPr>
                  <w:r>
                    <w:rPr>
                      <w:rFonts w:hint="eastAsia" w:ascii="宋体" w:hAnsi="宋体" w:cs="宋体"/>
                      <w:color w:val="000000"/>
                      <w:kern w:val="0"/>
                      <w:sz w:val="24"/>
                      <w:u w:val="single"/>
                      <w:lang w:bidi="ar"/>
                    </w:rPr>
                    <w:t>15</w:t>
                  </w:r>
                </w:p>
              </w:tc>
              <w:tc>
                <w:tcPr>
                  <w:tcW w:w="1324" w:type="pct"/>
                  <w:vMerge w:val="continue"/>
                  <w:vAlign w:val="center"/>
                </w:tcPr>
                <w:p w14:paraId="57AEF7E1">
                  <w:pPr>
                    <w:adjustRightInd w:val="0"/>
                    <w:snapToGrid w:val="0"/>
                    <w:jc w:val="center"/>
                    <w:rPr>
                      <w:szCs w:val="21"/>
                      <w:u w:val="single"/>
                    </w:rPr>
                  </w:pPr>
                </w:p>
              </w:tc>
              <w:tc>
                <w:tcPr>
                  <w:tcW w:w="1324" w:type="pct"/>
                  <w:shd w:val="clear" w:color="auto" w:fill="auto"/>
                  <w:vAlign w:val="center"/>
                </w:tcPr>
                <w:p w14:paraId="6E684F59">
                  <w:pPr>
                    <w:pStyle w:val="32"/>
                    <w:rPr>
                      <w:u w:val="single"/>
                    </w:rPr>
                  </w:pPr>
                  <w:r>
                    <w:rPr>
                      <w:rFonts w:hint="eastAsia"/>
                      <w:u w:val="single"/>
                    </w:rPr>
                    <w:t>织物中和养护剂</w:t>
                  </w:r>
                </w:p>
              </w:tc>
              <w:tc>
                <w:tcPr>
                  <w:tcW w:w="362" w:type="pct"/>
                  <w:shd w:val="clear" w:color="auto" w:fill="auto"/>
                  <w:vAlign w:val="center"/>
                </w:tcPr>
                <w:p w14:paraId="32B8F6A7">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7CDB3F1A">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0210D1DE">
                  <w:pPr>
                    <w:adjustRightInd w:val="0"/>
                    <w:snapToGrid w:val="0"/>
                    <w:jc w:val="center"/>
                    <w:rPr>
                      <w:szCs w:val="21"/>
                      <w:u w:val="single"/>
                    </w:rPr>
                  </w:pPr>
                  <w:r>
                    <w:rPr>
                      <w:rFonts w:hint="eastAsia"/>
                      <w:szCs w:val="21"/>
                      <w:u w:val="single"/>
                    </w:rPr>
                    <w:t>0.7</w:t>
                  </w:r>
                </w:p>
              </w:tc>
              <w:tc>
                <w:tcPr>
                  <w:tcW w:w="459" w:type="pct"/>
                  <w:shd w:val="clear" w:color="auto" w:fill="auto"/>
                  <w:vAlign w:val="center"/>
                </w:tcPr>
                <w:p w14:paraId="5A4FEA38">
                  <w:pPr>
                    <w:adjustRightInd w:val="0"/>
                    <w:snapToGrid w:val="0"/>
                    <w:jc w:val="center"/>
                    <w:rPr>
                      <w:szCs w:val="21"/>
                      <w:u w:val="single"/>
                    </w:rPr>
                  </w:pPr>
                  <w:r>
                    <w:rPr>
                      <w:rFonts w:hint="eastAsia"/>
                      <w:szCs w:val="21"/>
                      <w:u w:val="single"/>
                    </w:rPr>
                    <w:t>0.7</w:t>
                  </w:r>
                </w:p>
              </w:tc>
              <w:tc>
                <w:tcPr>
                  <w:tcW w:w="846" w:type="dxa"/>
                  <w:vAlign w:val="center"/>
                </w:tcPr>
                <w:p w14:paraId="46D94581">
                  <w:pPr>
                    <w:adjustRightInd w:val="0"/>
                    <w:snapToGrid w:val="0"/>
                    <w:jc w:val="center"/>
                    <w:rPr>
                      <w:szCs w:val="21"/>
                      <w:u w:val="single"/>
                    </w:rPr>
                  </w:pPr>
                  <w:r>
                    <w:rPr>
                      <w:rFonts w:hint="eastAsia"/>
                      <w:szCs w:val="21"/>
                      <w:u w:val="single"/>
                    </w:rPr>
                    <w:t>/</w:t>
                  </w:r>
                </w:p>
              </w:tc>
            </w:tr>
            <w:tr w14:paraId="38672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41D57B4F">
                  <w:pPr>
                    <w:widowControl/>
                    <w:jc w:val="right"/>
                    <w:textAlignment w:val="center"/>
                    <w:rPr>
                      <w:color w:val="FF0000"/>
                      <w:szCs w:val="21"/>
                      <w:u w:val="single"/>
                    </w:rPr>
                  </w:pPr>
                  <w:r>
                    <w:rPr>
                      <w:rFonts w:hint="eastAsia" w:ascii="宋体" w:hAnsi="宋体" w:cs="宋体"/>
                      <w:color w:val="000000"/>
                      <w:kern w:val="0"/>
                      <w:sz w:val="24"/>
                      <w:u w:val="single"/>
                      <w:lang w:bidi="ar"/>
                    </w:rPr>
                    <w:t>16</w:t>
                  </w:r>
                </w:p>
              </w:tc>
              <w:tc>
                <w:tcPr>
                  <w:tcW w:w="1324" w:type="pct"/>
                  <w:vMerge w:val="continue"/>
                  <w:vAlign w:val="center"/>
                </w:tcPr>
                <w:p w14:paraId="35E86F59">
                  <w:pPr>
                    <w:adjustRightInd w:val="0"/>
                    <w:snapToGrid w:val="0"/>
                    <w:jc w:val="center"/>
                    <w:rPr>
                      <w:szCs w:val="21"/>
                      <w:u w:val="single"/>
                    </w:rPr>
                  </w:pPr>
                </w:p>
              </w:tc>
              <w:tc>
                <w:tcPr>
                  <w:tcW w:w="1324" w:type="pct"/>
                  <w:shd w:val="clear" w:color="auto" w:fill="auto"/>
                  <w:vAlign w:val="center"/>
                </w:tcPr>
                <w:p w14:paraId="31048785">
                  <w:pPr>
                    <w:pStyle w:val="32"/>
                    <w:rPr>
                      <w:u w:val="single"/>
                    </w:rPr>
                  </w:pPr>
                  <w:r>
                    <w:rPr>
                      <w:rFonts w:hint="eastAsia"/>
                      <w:u w:val="single"/>
                    </w:rPr>
                    <w:t>医用乳化剂</w:t>
                  </w:r>
                </w:p>
              </w:tc>
              <w:tc>
                <w:tcPr>
                  <w:tcW w:w="362" w:type="pct"/>
                  <w:shd w:val="clear" w:color="auto" w:fill="auto"/>
                  <w:vAlign w:val="center"/>
                </w:tcPr>
                <w:p w14:paraId="15CFB929">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5CFF0414">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3E4C5738">
                  <w:pPr>
                    <w:adjustRightInd w:val="0"/>
                    <w:snapToGrid w:val="0"/>
                    <w:jc w:val="center"/>
                    <w:rPr>
                      <w:szCs w:val="21"/>
                      <w:u w:val="single"/>
                    </w:rPr>
                  </w:pPr>
                  <w:r>
                    <w:rPr>
                      <w:rFonts w:hint="eastAsia"/>
                      <w:szCs w:val="21"/>
                      <w:u w:val="single"/>
                    </w:rPr>
                    <w:t>0.7</w:t>
                  </w:r>
                </w:p>
              </w:tc>
              <w:tc>
                <w:tcPr>
                  <w:tcW w:w="459" w:type="pct"/>
                  <w:shd w:val="clear" w:color="auto" w:fill="auto"/>
                  <w:vAlign w:val="center"/>
                </w:tcPr>
                <w:p w14:paraId="11BAE506">
                  <w:pPr>
                    <w:adjustRightInd w:val="0"/>
                    <w:snapToGrid w:val="0"/>
                    <w:jc w:val="center"/>
                    <w:rPr>
                      <w:szCs w:val="21"/>
                      <w:u w:val="single"/>
                    </w:rPr>
                  </w:pPr>
                  <w:r>
                    <w:rPr>
                      <w:rFonts w:hint="eastAsia"/>
                      <w:szCs w:val="21"/>
                      <w:u w:val="single"/>
                    </w:rPr>
                    <w:t>0.7</w:t>
                  </w:r>
                </w:p>
              </w:tc>
              <w:tc>
                <w:tcPr>
                  <w:tcW w:w="846" w:type="dxa"/>
                  <w:vAlign w:val="center"/>
                </w:tcPr>
                <w:p w14:paraId="49F0DD50">
                  <w:pPr>
                    <w:adjustRightInd w:val="0"/>
                    <w:snapToGrid w:val="0"/>
                    <w:jc w:val="center"/>
                    <w:rPr>
                      <w:szCs w:val="21"/>
                      <w:u w:val="single"/>
                    </w:rPr>
                  </w:pPr>
                  <w:r>
                    <w:rPr>
                      <w:rFonts w:hint="eastAsia"/>
                      <w:szCs w:val="21"/>
                      <w:u w:val="single"/>
                    </w:rPr>
                    <w:t>/</w:t>
                  </w:r>
                </w:p>
              </w:tc>
            </w:tr>
            <w:tr w14:paraId="5413D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6756B18E">
                  <w:pPr>
                    <w:widowControl/>
                    <w:jc w:val="right"/>
                    <w:textAlignment w:val="center"/>
                    <w:rPr>
                      <w:color w:val="FF0000"/>
                      <w:szCs w:val="21"/>
                      <w:u w:val="single"/>
                    </w:rPr>
                  </w:pPr>
                  <w:r>
                    <w:rPr>
                      <w:rFonts w:hint="eastAsia" w:ascii="宋体" w:hAnsi="宋体" w:cs="宋体"/>
                      <w:color w:val="000000"/>
                      <w:kern w:val="0"/>
                      <w:sz w:val="24"/>
                      <w:u w:val="single"/>
                      <w:lang w:bidi="ar"/>
                    </w:rPr>
                    <w:t>17</w:t>
                  </w:r>
                </w:p>
              </w:tc>
              <w:tc>
                <w:tcPr>
                  <w:tcW w:w="1324" w:type="pct"/>
                  <w:vMerge w:val="continue"/>
                  <w:vAlign w:val="center"/>
                </w:tcPr>
                <w:p w14:paraId="03E67360">
                  <w:pPr>
                    <w:adjustRightInd w:val="0"/>
                    <w:snapToGrid w:val="0"/>
                    <w:jc w:val="center"/>
                    <w:rPr>
                      <w:szCs w:val="21"/>
                      <w:u w:val="single"/>
                    </w:rPr>
                  </w:pPr>
                </w:p>
              </w:tc>
              <w:tc>
                <w:tcPr>
                  <w:tcW w:w="1324" w:type="pct"/>
                  <w:shd w:val="clear" w:color="auto" w:fill="auto"/>
                  <w:vAlign w:val="center"/>
                </w:tcPr>
                <w:p w14:paraId="3AE4D4BC">
                  <w:pPr>
                    <w:pStyle w:val="32"/>
                    <w:rPr>
                      <w:u w:val="single"/>
                    </w:rPr>
                  </w:pPr>
                  <w:r>
                    <w:rPr>
                      <w:rFonts w:hint="eastAsia"/>
                      <w:u w:val="single"/>
                    </w:rPr>
                    <w:t>84消毒液</w:t>
                  </w:r>
                </w:p>
              </w:tc>
              <w:tc>
                <w:tcPr>
                  <w:tcW w:w="362" w:type="pct"/>
                  <w:shd w:val="clear" w:color="auto" w:fill="auto"/>
                  <w:vAlign w:val="center"/>
                </w:tcPr>
                <w:p w14:paraId="77C2063D">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6976391C">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7779D730">
                  <w:pPr>
                    <w:adjustRightInd w:val="0"/>
                    <w:snapToGrid w:val="0"/>
                    <w:jc w:val="center"/>
                    <w:rPr>
                      <w:szCs w:val="21"/>
                      <w:u w:val="single"/>
                    </w:rPr>
                  </w:pPr>
                  <w:r>
                    <w:rPr>
                      <w:rFonts w:hint="eastAsia"/>
                      <w:szCs w:val="21"/>
                      <w:u w:val="single"/>
                    </w:rPr>
                    <w:t>2</w:t>
                  </w:r>
                </w:p>
              </w:tc>
              <w:tc>
                <w:tcPr>
                  <w:tcW w:w="459" w:type="pct"/>
                  <w:shd w:val="clear" w:color="auto" w:fill="auto"/>
                  <w:vAlign w:val="center"/>
                </w:tcPr>
                <w:p w14:paraId="18413B7C">
                  <w:pPr>
                    <w:adjustRightInd w:val="0"/>
                    <w:snapToGrid w:val="0"/>
                    <w:jc w:val="center"/>
                    <w:rPr>
                      <w:szCs w:val="21"/>
                      <w:u w:val="single"/>
                    </w:rPr>
                  </w:pPr>
                  <w:r>
                    <w:rPr>
                      <w:rFonts w:hint="eastAsia"/>
                      <w:szCs w:val="21"/>
                      <w:u w:val="single"/>
                    </w:rPr>
                    <w:t>2</w:t>
                  </w:r>
                </w:p>
              </w:tc>
              <w:tc>
                <w:tcPr>
                  <w:tcW w:w="846" w:type="dxa"/>
                  <w:vAlign w:val="center"/>
                </w:tcPr>
                <w:p w14:paraId="1993BF05">
                  <w:pPr>
                    <w:adjustRightInd w:val="0"/>
                    <w:snapToGrid w:val="0"/>
                    <w:jc w:val="center"/>
                    <w:rPr>
                      <w:szCs w:val="21"/>
                      <w:u w:val="single"/>
                    </w:rPr>
                  </w:pPr>
                  <w:r>
                    <w:rPr>
                      <w:rFonts w:hint="eastAsia"/>
                      <w:szCs w:val="21"/>
                      <w:u w:val="single"/>
                    </w:rPr>
                    <w:t>/</w:t>
                  </w:r>
                </w:p>
              </w:tc>
            </w:tr>
            <w:tr w14:paraId="230C8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17C8F027">
                  <w:pPr>
                    <w:widowControl/>
                    <w:jc w:val="right"/>
                    <w:textAlignment w:val="center"/>
                    <w:rPr>
                      <w:color w:val="FF0000"/>
                      <w:szCs w:val="21"/>
                      <w:u w:val="single"/>
                    </w:rPr>
                  </w:pPr>
                  <w:r>
                    <w:rPr>
                      <w:rFonts w:hint="eastAsia" w:ascii="宋体" w:hAnsi="宋体" w:cs="宋体"/>
                      <w:color w:val="000000"/>
                      <w:kern w:val="0"/>
                      <w:sz w:val="24"/>
                      <w:u w:val="single"/>
                      <w:lang w:bidi="ar"/>
                    </w:rPr>
                    <w:t>18</w:t>
                  </w:r>
                </w:p>
              </w:tc>
              <w:tc>
                <w:tcPr>
                  <w:tcW w:w="1324" w:type="pct"/>
                  <w:vMerge w:val="continue"/>
                  <w:vAlign w:val="center"/>
                </w:tcPr>
                <w:p w14:paraId="12B1D57F">
                  <w:pPr>
                    <w:adjustRightInd w:val="0"/>
                    <w:snapToGrid w:val="0"/>
                    <w:jc w:val="center"/>
                    <w:rPr>
                      <w:szCs w:val="21"/>
                      <w:u w:val="single"/>
                    </w:rPr>
                  </w:pPr>
                </w:p>
              </w:tc>
              <w:tc>
                <w:tcPr>
                  <w:tcW w:w="1324" w:type="pct"/>
                  <w:shd w:val="clear" w:color="auto" w:fill="auto"/>
                  <w:vAlign w:val="center"/>
                </w:tcPr>
                <w:p w14:paraId="4B582DFF">
                  <w:pPr>
                    <w:pStyle w:val="32"/>
                    <w:rPr>
                      <w:u w:val="single"/>
                    </w:rPr>
                  </w:pPr>
                  <w:r>
                    <w:rPr>
                      <w:rFonts w:hint="eastAsia"/>
                      <w:u w:val="single"/>
                    </w:rPr>
                    <w:t>除臭剂</w:t>
                  </w:r>
                </w:p>
              </w:tc>
              <w:tc>
                <w:tcPr>
                  <w:tcW w:w="362" w:type="pct"/>
                  <w:shd w:val="clear" w:color="auto" w:fill="auto"/>
                  <w:vAlign w:val="center"/>
                </w:tcPr>
                <w:p w14:paraId="10E966B5">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6515E3C6">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13D021B6">
                  <w:pPr>
                    <w:adjustRightInd w:val="0"/>
                    <w:snapToGrid w:val="0"/>
                    <w:jc w:val="center"/>
                    <w:rPr>
                      <w:szCs w:val="21"/>
                      <w:u w:val="single"/>
                    </w:rPr>
                  </w:pPr>
                  <w:r>
                    <w:rPr>
                      <w:rFonts w:hint="eastAsia"/>
                      <w:szCs w:val="21"/>
                      <w:u w:val="single"/>
                    </w:rPr>
                    <w:t>0.5</w:t>
                  </w:r>
                </w:p>
              </w:tc>
              <w:tc>
                <w:tcPr>
                  <w:tcW w:w="459" w:type="pct"/>
                  <w:shd w:val="clear" w:color="auto" w:fill="auto"/>
                  <w:vAlign w:val="center"/>
                </w:tcPr>
                <w:p w14:paraId="32AA037B">
                  <w:pPr>
                    <w:adjustRightInd w:val="0"/>
                    <w:snapToGrid w:val="0"/>
                    <w:jc w:val="center"/>
                    <w:rPr>
                      <w:szCs w:val="21"/>
                      <w:u w:val="single"/>
                    </w:rPr>
                  </w:pPr>
                  <w:r>
                    <w:rPr>
                      <w:rFonts w:hint="eastAsia"/>
                      <w:szCs w:val="21"/>
                      <w:u w:val="single"/>
                    </w:rPr>
                    <w:t>0.5</w:t>
                  </w:r>
                </w:p>
              </w:tc>
              <w:tc>
                <w:tcPr>
                  <w:tcW w:w="846" w:type="dxa"/>
                  <w:vAlign w:val="center"/>
                </w:tcPr>
                <w:p w14:paraId="3F5460A6">
                  <w:pPr>
                    <w:adjustRightInd w:val="0"/>
                    <w:snapToGrid w:val="0"/>
                    <w:jc w:val="center"/>
                    <w:rPr>
                      <w:szCs w:val="21"/>
                      <w:u w:val="single"/>
                    </w:rPr>
                  </w:pPr>
                  <w:r>
                    <w:rPr>
                      <w:rFonts w:hint="eastAsia"/>
                      <w:szCs w:val="21"/>
                      <w:u w:val="single"/>
                    </w:rPr>
                    <w:t>/</w:t>
                  </w:r>
                </w:p>
              </w:tc>
            </w:tr>
            <w:tr w14:paraId="411DB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32B3AF72">
                  <w:pPr>
                    <w:widowControl/>
                    <w:jc w:val="right"/>
                    <w:textAlignment w:val="center"/>
                    <w:rPr>
                      <w:color w:val="FF0000"/>
                      <w:szCs w:val="21"/>
                      <w:u w:val="single"/>
                    </w:rPr>
                  </w:pPr>
                  <w:r>
                    <w:rPr>
                      <w:rFonts w:hint="eastAsia" w:ascii="宋体" w:hAnsi="宋体" w:cs="宋体"/>
                      <w:color w:val="000000"/>
                      <w:kern w:val="0"/>
                      <w:sz w:val="24"/>
                      <w:u w:val="single"/>
                      <w:lang w:bidi="ar"/>
                    </w:rPr>
                    <w:t>19</w:t>
                  </w:r>
                </w:p>
              </w:tc>
              <w:tc>
                <w:tcPr>
                  <w:tcW w:w="1324" w:type="pct"/>
                  <w:vMerge w:val="continue"/>
                  <w:vAlign w:val="center"/>
                </w:tcPr>
                <w:p w14:paraId="325E7C43">
                  <w:pPr>
                    <w:adjustRightInd w:val="0"/>
                    <w:snapToGrid w:val="0"/>
                    <w:jc w:val="center"/>
                    <w:rPr>
                      <w:szCs w:val="21"/>
                      <w:u w:val="single"/>
                    </w:rPr>
                  </w:pPr>
                </w:p>
              </w:tc>
              <w:tc>
                <w:tcPr>
                  <w:tcW w:w="1324" w:type="pct"/>
                  <w:shd w:val="clear" w:color="auto" w:fill="auto"/>
                  <w:vAlign w:val="center"/>
                </w:tcPr>
                <w:p w14:paraId="6DD1D3A1">
                  <w:pPr>
                    <w:pStyle w:val="32"/>
                    <w:rPr>
                      <w:u w:val="single"/>
                    </w:rPr>
                  </w:pPr>
                  <w:r>
                    <w:rPr>
                      <w:rFonts w:hint="eastAsia"/>
                      <w:u w:val="single"/>
                    </w:rPr>
                    <w:t>活性氧消毒粉</w:t>
                  </w:r>
                </w:p>
              </w:tc>
              <w:tc>
                <w:tcPr>
                  <w:tcW w:w="362" w:type="pct"/>
                  <w:shd w:val="clear" w:color="auto" w:fill="auto"/>
                  <w:vAlign w:val="center"/>
                </w:tcPr>
                <w:p w14:paraId="25B0B7A8">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07827EBA">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34445F1E">
                  <w:pPr>
                    <w:adjustRightInd w:val="0"/>
                    <w:snapToGrid w:val="0"/>
                    <w:jc w:val="center"/>
                    <w:rPr>
                      <w:szCs w:val="21"/>
                      <w:u w:val="single"/>
                    </w:rPr>
                  </w:pPr>
                  <w:r>
                    <w:rPr>
                      <w:rFonts w:hint="eastAsia"/>
                      <w:szCs w:val="21"/>
                      <w:u w:val="single"/>
                    </w:rPr>
                    <w:t>0.1</w:t>
                  </w:r>
                </w:p>
              </w:tc>
              <w:tc>
                <w:tcPr>
                  <w:tcW w:w="459" w:type="pct"/>
                  <w:shd w:val="clear" w:color="auto" w:fill="auto"/>
                  <w:vAlign w:val="center"/>
                </w:tcPr>
                <w:p w14:paraId="3E01C88E">
                  <w:pPr>
                    <w:adjustRightInd w:val="0"/>
                    <w:snapToGrid w:val="0"/>
                    <w:jc w:val="center"/>
                    <w:rPr>
                      <w:szCs w:val="21"/>
                      <w:u w:val="single"/>
                    </w:rPr>
                  </w:pPr>
                  <w:r>
                    <w:rPr>
                      <w:rFonts w:hint="eastAsia"/>
                      <w:szCs w:val="21"/>
                      <w:u w:val="single"/>
                    </w:rPr>
                    <w:t>0.1</w:t>
                  </w:r>
                </w:p>
              </w:tc>
              <w:tc>
                <w:tcPr>
                  <w:tcW w:w="846" w:type="dxa"/>
                  <w:vAlign w:val="center"/>
                </w:tcPr>
                <w:p w14:paraId="6577D470">
                  <w:pPr>
                    <w:adjustRightInd w:val="0"/>
                    <w:snapToGrid w:val="0"/>
                    <w:jc w:val="center"/>
                    <w:rPr>
                      <w:szCs w:val="21"/>
                      <w:u w:val="single"/>
                    </w:rPr>
                  </w:pPr>
                  <w:r>
                    <w:rPr>
                      <w:rFonts w:hint="eastAsia"/>
                      <w:szCs w:val="21"/>
                      <w:u w:val="single"/>
                    </w:rPr>
                    <w:t>/</w:t>
                  </w:r>
                </w:p>
              </w:tc>
            </w:tr>
            <w:tr w14:paraId="4C90A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2C58FA63">
                  <w:pPr>
                    <w:widowControl/>
                    <w:jc w:val="right"/>
                    <w:textAlignment w:val="center"/>
                    <w:rPr>
                      <w:color w:val="FF0000"/>
                      <w:szCs w:val="21"/>
                      <w:u w:val="single"/>
                    </w:rPr>
                  </w:pPr>
                  <w:r>
                    <w:rPr>
                      <w:rFonts w:hint="eastAsia" w:ascii="宋体" w:hAnsi="宋体" w:cs="宋体"/>
                      <w:color w:val="000000"/>
                      <w:kern w:val="0"/>
                      <w:sz w:val="24"/>
                      <w:u w:val="single"/>
                      <w:lang w:bidi="ar"/>
                    </w:rPr>
                    <w:t>20</w:t>
                  </w:r>
                </w:p>
              </w:tc>
              <w:tc>
                <w:tcPr>
                  <w:tcW w:w="1324" w:type="pct"/>
                  <w:vMerge w:val="continue"/>
                  <w:vAlign w:val="center"/>
                </w:tcPr>
                <w:p w14:paraId="6C8A6089">
                  <w:pPr>
                    <w:adjustRightInd w:val="0"/>
                    <w:snapToGrid w:val="0"/>
                    <w:jc w:val="center"/>
                    <w:rPr>
                      <w:szCs w:val="21"/>
                      <w:u w:val="single"/>
                    </w:rPr>
                  </w:pPr>
                </w:p>
              </w:tc>
              <w:tc>
                <w:tcPr>
                  <w:tcW w:w="1324" w:type="pct"/>
                  <w:shd w:val="clear" w:color="auto" w:fill="auto"/>
                  <w:vAlign w:val="center"/>
                </w:tcPr>
                <w:p w14:paraId="13A646EE">
                  <w:pPr>
                    <w:adjustRightInd w:val="0"/>
                    <w:snapToGrid w:val="0"/>
                    <w:jc w:val="center"/>
                    <w:rPr>
                      <w:szCs w:val="21"/>
                      <w:u w:val="single"/>
                    </w:rPr>
                  </w:pPr>
                  <w:r>
                    <w:rPr>
                      <w:rFonts w:hint="eastAsia"/>
                      <w:szCs w:val="21"/>
                      <w:u w:val="single"/>
                    </w:rPr>
                    <w:t>包装膜（毛巾包装用）</w:t>
                  </w:r>
                </w:p>
              </w:tc>
              <w:tc>
                <w:tcPr>
                  <w:tcW w:w="362" w:type="pct"/>
                  <w:shd w:val="clear" w:color="auto" w:fill="auto"/>
                  <w:vAlign w:val="center"/>
                </w:tcPr>
                <w:p w14:paraId="6CFBE64F">
                  <w:pPr>
                    <w:adjustRightInd w:val="0"/>
                    <w:snapToGrid w:val="0"/>
                    <w:jc w:val="center"/>
                    <w:rPr>
                      <w:szCs w:val="21"/>
                      <w:u w:val="single"/>
                    </w:rPr>
                  </w:pPr>
                  <w:r>
                    <w:rPr>
                      <w:rFonts w:hint="eastAsia"/>
                      <w:szCs w:val="21"/>
                      <w:u w:val="single"/>
                    </w:rPr>
                    <w:t>吨</w:t>
                  </w:r>
                </w:p>
              </w:tc>
              <w:tc>
                <w:tcPr>
                  <w:tcW w:w="359" w:type="pct"/>
                  <w:shd w:val="clear" w:color="auto" w:fill="auto"/>
                  <w:vAlign w:val="center"/>
                </w:tcPr>
                <w:p w14:paraId="16BF5A57">
                  <w:pPr>
                    <w:adjustRightInd w:val="0"/>
                    <w:snapToGrid w:val="0"/>
                    <w:jc w:val="center"/>
                    <w:rPr>
                      <w:szCs w:val="21"/>
                      <w:u w:val="single"/>
                    </w:rPr>
                  </w:pPr>
                  <w:r>
                    <w:rPr>
                      <w:rFonts w:hint="eastAsia"/>
                      <w:szCs w:val="21"/>
                      <w:u w:val="single"/>
                    </w:rPr>
                    <w:t>/</w:t>
                  </w:r>
                </w:p>
              </w:tc>
              <w:tc>
                <w:tcPr>
                  <w:tcW w:w="456" w:type="pct"/>
                  <w:shd w:val="clear" w:color="auto" w:fill="auto"/>
                  <w:vAlign w:val="center"/>
                </w:tcPr>
                <w:p w14:paraId="45F975F9">
                  <w:pPr>
                    <w:adjustRightInd w:val="0"/>
                    <w:snapToGrid w:val="0"/>
                    <w:jc w:val="center"/>
                    <w:rPr>
                      <w:szCs w:val="21"/>
                      <w:u w:val="single"/>
                    </w:rPr>
                  </w:pPr>
                  <w:r>
                    <w:rPr>
                      <w:rFonts w:hint="eastAsia"/>
                      <w:szCs w:val="21"/>
                      <w:u w:val="single"/>
                    </w:rPr>
                    <w:t>0.2</w:t>
                  </w:r>
                </w:p>
              </w:tc>
              <w:tc>
                <w:tcPr>
                  <w:tcW w:w="459" w:type="pct"/>
                  <w:shd w:val="clear" w:color="auto" w:fill="auto"/>
                  <w:vAlign w:val="center"/>
                </w:tcPr>
                <w:p w14:paraId="0E2FBE68">
                  <w:pPr>
                    <w:adjustRightInd w:val="0"/>
                    <w:snapToGrid w:val="0"/>
                    <w:jc w:val="center"/>
                    <w:rPr>
                      <w:szCs w:val="21"/>
                      <w:u w:val="single"/>
                    </w:rPr>
                  </w:pPr>
                  <w:r>
                    <w:rPr>
                      <w:rFonts w:hint="eastAsia"/>
                      <w:szCs w:val="21"/>
                      <w:u w:val="single"/>
                    </w:rPr>
                    <w:t>0.2</w:t>
                  </w:r>
                </w:p>
              </w:tc>
              <w:tc>
                <w:tcPr>
                  <w:tcW w:w="846" w:type="dxa"/>
                  <w:shd w:val="clear" w:color="auto" w:fill="auto"/>
                  <w:vAlign w:val="center"/>
                </w:tcPr>
                <w:p w14:paraId="58A8534D">
                  <w:pPr>
                    <w:adjustRightInd w:val="0"/>
                    <w:snapToGrid w:val="0"/>
                    <w:jc w:val="center"/>
                    <w:rPr>
                      <w:szCs w:val="21"/>
                      <w:u w:val="single"/>
                    </w:rPr>
                  </w:pPr>
                  <w:r>
                    <w:rPr>
                      <w:rFonts w:hint="eastAsia"/>
                      <w:szCs w:val="21"/>
                      <w:u w:val="single"/>
                    </w:rPr>
                    <w:t>/</w:t>
                  </w:r>
                </w:p>
              </w:tc>
            </w:tr>
            <w:tr w14:paraId="02388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6396D7CA">
                  <w:pPr>
                    <w:widowControl/>
                    <w:jc w:val="right"/>
                    <w:textAlignment w:val="center"/>
                    <w:rPr>
                      <w:color w:val="FF0000"/>
                      <w:szCs w:val="21"/>
                      <w:u w:val="single"/>
                    </w:rPr>
                  </w:pPr>
                  <w:r>
                    <w:rPr>
                      <w:rFonts w:hint="eastAsia" w:ascii="宋体" w:hAnsi="宋体" w:cs="宋体"/>
                      <w:color w:val="000000"/>
                      <w:kern w:val="0"/>
                      <w:sz w:val="24"/>
                      <w:u w:val="single"/>
                      <w:lang w:bidi="ar"/>
                    </w:rPr>
                    <w:t>21</w:t>
                  </w:r>
                </w:p>
              </w:tc>
              <w:tc>
                <w:tcPr>
                  <w:tcW w:w="1324" w:type="pct"/>
                  <w:vMerge w:val="restart"/>
                  <w:vAlign w:val="center"/>
                </w:tcPr>
                <w:p w14:paraId="2CE142D7">
                  <w:pPr>
                    <w:adjustRightInd w:val="0"/>
                    <w:snapToGrid w:val="0"/>
                    <w:jc w:val="center"/>
                    <w:rPr>
                      <w:color w:val="auto"/>
                      <w:szCs w:val="21"/>
                      <w:u w:val="single"/>
                    </w:rPr>
                  </w:pPr>
                  <w:r>
                    <w:rPr>
                      <w:rFonts w:hint="eastAsia"/>
                      <w:color w:val="auto"/>
                      <w:szCs w:val="21"/>
                      <w:u w:val="single"/>
                    </w:rPr>
                    <w:t>公用</w:t>
                  </w:r>
                </w:p>
              </w:tc>
              <w:tc>
                <w:tcPr>
                  <w:tcW w:w="1324" w:type="pct"/>
                  <w:shd w:val="clear" w:color="auto" w:fill="auto"/>
                  <w:vAlign w:val="center"/>
                </w:tcPr>
                <w:p w14:paraId="58CDFF81">
                  <w:pPr>
                    <w:adjustRightInd w:val="0"/>
                    <w:snapToGrid w:val="0"/>
                    <w:jc w:val="center"/>
                    <w:rPr>
                      <w:color w:val="auto"/>
                      <w:szCs w:val="21"/>
                      <w:u w:val="single"/>
                    </w:rPr>
                  </w:pPr>
                  <w:r>
                    <w:rPr>
                      <w:rFonts w:hint="eastAsia"/>
                      <w:color w:val="auto"/>
                      <w:szCs w:val="21"/>
                      <w:u w:val="single"/>
                    </w:rPr>
                    <w:t>生物质燃料</w:t>
                  </w:r>
                </w:p>
              </w:tc>
              <w:tc>
                <w:tcPr>
                  <w:tcW w:w="362" w:type="pct"/>
                  <w:shd w:val="clear" w:color="auto" w:fill="auto"/>
                  <w:vAlign w:val="center"/>
                </w:tcPr>
                <w:p w14:paraId="71CFEA0D">
                  <w:pPr>
                    <w:adjustRightInd w:val="0"/>
                    <w:snapToGrid w:val="0"/>
                    <w:jc w:val="center"/>
                    <w:rPr>
                      <w:color w:val="auto"/>
                      <w:szCs w:val="21"/>
                      <w:u w:val="single"/>
                    </w:rPr>
                  </w:pPr>
                  <w:r>
                    <w:rPr>
                      <w:rFonts w:hint="eastAsia"/>
                      <w:color w:val="auto"/>
                      <w:szCs w:val="21"/>
                      <w:u w:val="single"/>
                    </w:rPr>
                    <w:t>吨</w:t>
                  </w:r>
                </w:p>
              </w:tc>
              <w:tc>
                <w:tcPr>
                  <w:tcW w:w="359" w:type="pct"/>
                  <w:shd w:val="clear" w:color="auto" w:fill="auto"/>
                  <w:vAlign w:val="center"/>
                </w:tcPr>
                <w:p w14:paraId="5052EE08">
                  <w:pPr>
                    <w:adjustRightInd w:val="0"/>
                    <w:snapToGrid w:val="0"/>
                    <w:jc w:val="center"/>
                    <w:rPr>
                      <w:rFonts w:hint="default" w:eastAsia="宋体"/>
                      <w:color w:val="auto"/>
                      <w:szCs w:val="21"/>
                      <w:u w:val="single"/>
                      <w:lang w:val="en-US" w:eastAsia="zh-CN"/>
                    </w:rPr>
                  </w:pPr>
                  <w:r>
                    <w:rPr>
                      <w:rFonts w:hint="eastAsia"/>
                      <w:color w:val="auto"/>
                      <w:szCs w:val="21"/>
                      <w:u w:val="single"/>
                      <w:lang w:val="en-US" w:eastAsia="zh-CN"/>
                    </w:rPr>
                    <w:t>1000</w:t>
                  </w:r>
                </w:p>
              </w:tc>
              <w:tc>
                <w:tcPr>
                  <w:tcW w:w="456" w:type="pct"/>
                  <w:shd w:val="clear" w:color="auto" w:fill="auto"/>
                  <w:vAlign w:val="center"/>
                </w:tcPr>
                <w:p w14:paraId="188285BF">
                  <w:pPr>
                    <w:adjustRightInd w:val="0"/>
                    <w:snapToGrid w:val="0"/>
                    <w:jc w:val="center"/>
                    <w:rPr>
                      <w:color w:val="auto"/>
                      <w:szCs w:val="21"/>
                      <w:u w:val="single"/>
                    </w:rPr>
                  </w:pPr>
                  <w:r>
                    <w:rPr>
                      <w:rFonts w:hint="eastAsia"/>
                      <w:color w:val="auto"/>
                      <w:szCs w:val="21"/>
                      <w:u w:val="single"/>
                    </w:rPr>
                    <w:t>2070</w:t>
                  </w:r>
                </w:p>
              </w:tc>
              <w:tc>
                <w:tcPr>
                  <w:tcW w:w="459" w:type="pct"/>
                  <w:vAlign w:val="center"/>
                </w:tcPr>
                <w:p w14:paraId="6251A5E2">
                  <w:pPr>
                    <w:adjustRightInd w:val="0"/>
                    <w:snapToGrid w:val="0"/>
                    <w:jc w:val="center"/>
                    <w:rPr>
                      <w:color w:val="auto"/>
                      <w:szCs w:val="21"/>
                      <w:u w:val="single"/>
                    </w:rPr>
                  </w:pPr>
                  <w:r>
                    <w:rPr>
                      <w:rFonts w:hint="eastAsia"/>
                      <w:color w:val="auto"/>
                      <w:szCs w:val="21"/>
                      <w:u w:val="single"/>
                    </w:rPr>
                    <w:t>2200</w:t>
                  </w:r>
                </w:p>
              </w:tc>
              <w:tc>
                <w:tcPr>
                  <w:tcW w:w="457" w:type="pct"/>
                  <w:vAlign w:val="center"/>
                </w:tcPr>
                <w:p w14:paraId="7155C376">
                  <w:pPr>
                    <w:adjustRightInd w:val="0"/>
                    <w:snapToGrid w:val="0"/>
                    <w:jc w:val="center"/>
                    <w:rPr>
                      <w:color w:val="auto"/>
                      <w:szCs w:val="21"/>
                      <w:u w:val="single"/>
                    </w:rPr>
                  </w:pPr>
                  <w:r>
                    <w:rPr>
                      <w:rFonts w:hint="eastAsia"/>
                      <w:color w:val="auto"/>
                      <w:szCs w:val="21"/>
                      <w:u w:val="single"/>
                    </w:rPr>
                    <w:t>/</w:t>
                  </w:r>
                </w:p>
              </w:tc>
            </w:tr>
            <w:tr w14:paraId="13BEB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4DFD8C64">
                  <w:pPr>
                    <w:widowControl/>
                    <w:jc w:val="right"/>
                    <w:textAlignment w:val="center"/>
                    <w:rPr>
                      <w:color w:val="FF0000"/>
                      <w:szCs w:val="21"/>
                      <w:u w:val="single"/>
                    </w:rPr>
                  </w:pPr>
                  <w:r>
                    <w:rPr>
                      <w:rFonts w:hint="eastAsia" w:ascii="宋体" w:hAnsi="宋体" w:cs="宋体"/>
                      <w:color w:val="000000"/>
                      <w:kern w:val="0"/>
                      <w:sz w:val="24"/>
                      <w:u w:val="single"/>
                      <w:lang w:bidi="ar"/>
                    </w:rPr>
                    <w:t>22</w:t>
                  </w:r>
                </w:p>
              </w:tc>
              <w:tc>
                <w:tcPr>
                  <w:tcW w:w="1324" w:type="pct"/>
                  <w:vMerge w:val="continue"/>
                  <w:vAlign w:val="center"/>
                </w:tcPr>
                <w:p w14:paraId="12FFB818">
                  <w:pPr>
                    <w:adjustRightInd w:val="0"/>
                    <w:snapToGrid w:val="0"/>
                    <w:jc w:val="center"/>
                    <w:rPr>
                      <w:color w:val="auto"/>
                      <w:szCs w:val="21"/>
                      <w:u w:val="single"/>
                    </w:rPr>
                  </w:pPr>
                </w:p>
              </w:tc>
              <w:tc>
                <w:tcPr>
                  <w:tcW w:w="1324" w:type="pct"/>
                  <w:shd w:val="clear" w:color="auto" w:fill="auto"/>
                  <w:vAlign w:val="center"/>
                </w:tcPr>
                <w:p w14:paraId="77461A13">
                  <w:pPr>
                    <w:adjustRightInd w:val="0"/>
                    <w:snapToGrid w:val="0"/>
                    <w:jc w:val="center"/>
                    <w:rPr>
                      <w:color w:val="auto"/>
                      <w:szCs w:val="21"/>
                      <w:u w:val="single"/>
                    </w:rPr>
                  </w:pPr>
                  <w:r>
                    <w:rPr>
                      <w:rFonts w:hint="eastAsia"/>
                      <w:color w:val="auto"/>
                      <w:szCs w:val="21"/>
                      <w:u w:val="single"/>
                    </w:rPr>
                    <w:t>水</w:t>
                  </w:r>
                </w:p>
              </w:tc>
              <w:tc>
                <w:tcPr>
                  <w:tcW w:w="362" w:type="pct"/>
                  <w:shd w:val="clear" w:color="auto" w:fill="auto"/>
                  <w:vAlign w:val="center"/>
                </w:tcPr>
                <w:p w14:paraId="5763554B">
                  <w:pPr>
                    <w:adjustRightInd w:val="0"/>
                    <w:snapToGrid w:val="0"/>
                    <w:jc w:val="center"/>
                    <w:rPr>
                      <w:color w:val="auto"/>
                      <w:szCs w:val="21"/>
                      <w:u w:val="single"/>
                    </w:rPr>
                  </w:pPr>
                  <w:r>
                    <w:rPr>
                      <w:rFonts w:hint="eastAsia"/>
                      <w:color w:val="auto"/>
                      <w:szCs w:val="21"/>
                      <w:u w:val="single"/>
                    </w:rPr>
                    <w:t>吨</w:t>
                  </w:r>
                </w:p>
              </w:tc>
              <w:tc>
                <w:tcPr>
                  <w:tcW w:w="359" w:type="pct"/>
                  <w:shd w:val="clear" w:color="auto" w:fill="auto"/>
                  <w:vAlign w:val="center"/>
                </w:tcPr>
                <w:p w14:paraId="18CC0AF8">
                  <w:pPr>
                    <w:adjustRightInd w:val="0"/>
                    <w:snapToGrid w:val="0"/>
                    <w:jc w:val="center"/>
                    <w:rPr>
                      <w:color w:val="auto"/>
                      <w:szCs w:val="21"/>
                      <w:u w:val="single"/>
                    </w:rPr>
                  </w:pPr>
                  <w:r>
                    <w:rPr>
                      <w:rFonts w:hint="eastAsia"/>
                      <w:color w:val="auto"/>
                      <w:szCs w:val="21"/>
                      <w:u w:val="single"/>
                    </w:rPr>
                    <w:t>3600</w:t>
                  </w:r>
                </w:p>
              </w:tc>
              <w:tc>
                <w:tcPr>
                  <w:tcW w:w="456" w:type="pct"/>
                  <w:shd w:val="clear" w:color="auto" w:fill="auto"/>
                  <w:vAlign w:val="center"/>
                </w:tcPr>
                <w:p w14:paraId="66CD9512">
                  <w:pPr>
                    <w:adjustRightInd w:val="0"/>
                    <w:snapToGrid w:val="0"/>
                    <w:jc w:val="center"/>
                    <w:rPr>
                      <w:color w:val="auto"/>
                      <w:szCs w:val="21"/>
                      <w:u w:val="single"/>
                    </w:rPr>
                  </w:pPr>
                  <w:r>
                    <w:rPr>
                      <w:rFonts w:hint="eastAsia"/>
                      <w:color w:val="auto"/>
                      <w:szCs w:val="21"/>
                      <w:u w:val="single"/>
                    </w:rPr>
                    <w:t>23832</w:t>
                  </w:r>
                </w:p>
              </w:tc>
              <w:tc>
                <w:tcPr>
                  <w:tcW w:w="459" w:type="pct"/>
                  <w:vAlign w:val="center"/>
                </w:tcPr>
                <w:p w14:paraId="77DCD097">
                  <w:pPr>
                    <w:adjustRightInd w:val="0"/>
                    <w:snapToGrid w:val="0"/>
                    <w:jc w:val="center"/>
                    <w:rPr>
                      <w:color w:val="auto"/>
                      <w:szCs w:val="21"/>
                      <w:u w:val="single"/>
                    </w:rPr>
                  </w:pPr>
                </w:p>
              </w:tc>
              <w:tc>
                <w:tcPr>
                  <w:tcW w:w="457" w:type="pct"/>
                  <w:vAlign w:val="center"/>
                </w:tcPr>
                <w:p w14:paraId="6D3B3720">
                  <w:pPr>
                    <w:adjustRightInd w:val="0"/>
                    <w:snapToGrid w:val="0"/>
                    <w:jc w:val="center"/>
                    <w:rPr>
                      <w:color w:val="auto"/>
                      <w:szCs w:val="21"/>
                      <w:u w:val="single"/>
                    </w:rPr>
                  </w:pPr>
                  <w:r>
                    <w:rPr>
                      <w:rFonts w:hint="eastAsia"/>
                      <w:color w:val="auto"/>
                      <w:szCs w:val="21"/>
                      <w:u w:val="single"/>
                    </w:rPr>
                    <w:t>/</w:t>
                  </w:r>
                </w:p>
              </w:tc>
            </w:tr>
            <w:tr w14:paraId="32FFB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255" w:type="pct"/>
                  <w:vAlign w:val="center"/>
                </w:tcPr>
                <w:p w14:paraId="15FEA5DF">
                  <w:pPr>
                    <w:widowControl/>
                    <w:jc w:val="right"/>
                    <w:textAlignment w:val="center"/>
                    <w:rPr>
                      <w:color w:val="FF0000"/>
                      <w:szCs w:val="21"/>
                      <w:u w:val="single"/>
                    </w:rPr>
                  </w:pPr>
                  <w:r>
                    <w:rPr>
                      <w:rFonts w:hint="eastAsia" w:ascii="宋体" w:hAnsi="宋体" w:cs="宋体"/>
                      <w:color w:val="000000"/>
                      <w:kern w:val="0"/>
                      <w:sz w:val="24"/>
                      <w:u w:val="single"/>
                      <w:lang w:bidi="ar"/>
                    </w:rPr>
                    <w:t>23</w:t>
                  </w:r>
                </w:p>
              </w:tc>
              <w:tc>
                <w:tcPr>
                  <w:tcW w:w="1324" w:type="pct"/>
                  <w:vMerge w:val="continue"/>
                  <w:vAlign w:val="center"/>
                </w:tcPr>
                <w:p w14:paraId="652E2930">
                  <w:pPr>
                    <w:adjustRightInd w:val="0"/>
                    <w:snapToGrid w:val="0"/>
                    <w:jc w:val="center"/>
                    <w:rPr>
                      <w:color w:val="FF0000"/>
                      <w:szCs w:val="21"/>
                      <w:u w:val="single"/>
                    </w:rPr>
                  </w:pPr>
                </w:p>
              </w:tc>
              <w:tc>
                <w:tcPr>
                  <w:tcW w:w="1324" w:type="pct"/>
                  <w:shd w:val="clear" w:color="auto" w:fill="auto"/>
                  <w:vAlign w:val="center"/>
                </w:tcPr>
                <w:p w14:paraId="36EEF3B9">
                  <w:pPr>
                    <w:adjustRightInd w:val="0"/>
                    <w:snapToGrid w:val="0"/>
                    <w:jc w:val="center"/>
                    <w:rPr>
                      <w:szCs w:val="21"/>
                      <w:u w:val="single"/>
                    </w:rPr>
                  </w:pPr>
                  <w:r>
                    <w:rPr>
                      <w:rFonts w:hint="eastAsia"/>
                      <w:szCs w:val="21"/>
                      <w:u w:val="single"/>
                    </w:rPr>
                    <w:t>电</w:t>
                  </w:r>
                </w:p>
              </w:tc>
              <w:tc>
                <w:tcPr>
                  <w:tcW w:w="362" w:type="pct"/>
                  <w:shd w:val="clear" w:color="auto" w:fill="auto"/>
                  <w:vAlign w:val="center"/>
                </w:tcPr>
                <w:p w14:paraId="0808DF85">
                  <w:pPr>
                    <w:adjustRightInd w:val="0"/>
                    <w:snapToGrid w:val="0"/>
                    <w:jc w:val="center"/>
                    <w:rPr>
                      <w:szCs w:val="21"/>
                      <w:u w:val="single"/>
                    </w:rPr>
                  </w:pPr>
                  <w:r>
                    <w:rPr>
                      <w:rFonts w:hint="eastAsia"/>
                      <w:szCs w:val="21"/>
                      <w:u w:val="single"/>
                    </w:rPr>
                    <w:t>万KWh</w:t>
                  </w:r>
                </w:p>
              </w:tc>
              <w:tc>
                <w:tcPr>
                  <w:tcW w:w="359" w:type="pct"/>
                  <w:shd w:val="clear" w:color="auto" w:fill="auto"/>
                  <w:vAlign w:val="center"/>
                </w:tcPr>
                <w:p w14:paraId="5773A697">
                  <w:pPr>
                    <w:adjustRightInd w:val="0"/>
                    <w:snapToGrid w:val="0"/>
                    <w:jc w:val="center"/>
                    <w:rPr>
                      <w:szCs w:val="21"/>
                      <w:u w:val="single"/>
                    </w:rPr>
                  </w:pPr>
                  <w:r>
                    <w:rPr>
                      <w:rFonts w:hint="eastAsia"/>
                      <w:szCs w:val="21"/>
                      <w:u w:val="single"/>
                    </w:rPr>
                    <w:t>30</w:t>
                  </w:r>
                </w:p>
              </w:tc>
              <w:tc>
                <w:tcPr>
                  <w:tcW w:w="456" w:type="pct"/>
                  <w:shd w:val="clear" w:color="auto" w:fill="auto"/>
                  <w:vAlign w:val="center"/>
                </w:tcPr>
                <w:p w14:paraId="0ACACE51">
                  <w:pPr>
                    <w:adjustRightInd w:val="0"/>
                    <w:snapToGrid w:val="0"/>
                    <w:jc w:val="center"/>
                    <w:rPr>
                      <w:szCs w:val="21"/>
                      <w:u w:val="single"/>
                    </w:rPr>
                  </w:pPr>
                  <w:r>
                    <w:rPr>
                      <w:rFonts w:hint="eastAsia"/>
                      <w:szCs w:val="21"/>
                      <w:u w:val="single"/>
                    </w:rPr>
                    <w:t>60</w:t>
                  </w:r>
                </w:p>
              </w:tc>
              <w:tc>
                <w:tcPr>
                  <w:tcW w:w="459" w:type="pct"/>
                  <w:vAlign w:val="center"/>
                </w:tcPr>
                <w:p w14:paraId="2159BCA3">
                  <w:pPr>
                    <w:adjustRightInd w:val="0"/>
                    <w:snapToGrid w:val="0"/>
                    <w:jc w:val="center"/>
                    <w:rPr>
                      <w:szCs w:val="21"/>
                      <w:u w:val="single"/>
                    </w:rPr>
                  </w:pPr>
                  <w:r>
                    <w:rPr>
                      <w:rFonts w:hint="eastAsia"/>
                      <w:szCs w:val="21"/>
                      <w:u w:val="single"/>
                    </w:rPr>
                    <w:t>70</w:t>
                  </w:r>
                </w:p>
              </w:tc>
              <w:tc>
                <w:tcPr>
                  <w:tcW w:w="457" w:type="pct"/>
                  <w:vAlign w:val="center"/>
                </w:tcPr>
                <w:p w14:paraId="0AA6906F">
                  <w:pPr>
                    <w:adjustRightInd w:val="0"/>
                    <w:snapToGrid w:val="0"/>
                    <w:jc w:val="center"/>
                    <w:rPr>
                      <w:color w:val="FF0000"/>
                      <w:szCs w:val="21"/>
                      <w:u w:val="single"/>
                    </w:rPr>
                  </w:pPr>
                  <w:r>
                    <w:rPr>
                      <w:rFonts w:hint="eastAsia"/>
                      <w:szCs w:val="21"/>
                      <w:u w:val="single"/>
                    </w:rPr>
                    <w:t>/</w:t>
                  </w:r>
                </w:p>
              </w:tc>
            </w:tr>
          </w:tbl>
          <w:p w14:paraId="1700DEB2">
            <w:pPr>
              <w:pStyle w:val="31"/>
              <w:spacing w:before="120" w:beforeLines="50"/>
              <w:ind w:firstLine="480"/>
            </w:pPr>
            <w:r>
              <w:rPr>
                <w:rFonts w:hint="eastAsia"/>
              </w:rPr>
              <w:t>主要原辅材料简介：</w:t>
            </w:r>
          </w:p>
          <w:p w14:paraId="176C13C8">
            <w:pPr>
              <w:pStyle w:val="31"/>
              <w:ind w:firstLine="480"/>
            </w:pPr>
            <w:r>
              <w:rPr>
                <w:rFonts w:hint="eastAsia"/>
              </w:rPr>
              <w:t>①医用主洗液：一种高活性浓缩型冼涤剂，采用高科技生物酶配方，内含高效表面活性剂、复合酶制剂、软水剂、高级悬浮剂等。低泡沫，具有很强的去污力。适用于洗涤医院白色大衣、床单、病服、手术服等各类棉纺织物污垢。</w:t>
            </w:r>
          </w:p>
          <w:p w14:paraId="283F8D37">
            <w:pPr>
              <w:pStyle w:val="31"/>
              <w:ind w:firstLine="480"/>
            </w:pPr>
            <w:r>
              <w:rPr>
                <w:rFonts w:hint="eastAsia"/>
              </w:rPr>
              <w:t>②医用助洗碱液：针对医疗布草污垢特点，能有效调节洗脱过程中溶液的PH值，增加去污力和洗净度，适用于医疗布草重污渍物的洗涤。</w:t>
            </w:r>
          </w:p>
          <w:p w14:paraId="29193B3E">
            <w:pPr>
              <w:pStyle w:val="31"/>
              <w:ind w:firstLine="480"/>
            </w:pPr>
            <w:r>
              <w:rPr>
                <w:rFonts w:hint="eastAsia"/>
              </w:rPr>
              <w:t>③医用氧漂剂：含氧漂渍液，性能稳定，含氧量高，广谱消毒、杀菌，对细菌繁殖体、细菌芽孢，甲、乙型肝炎，病毒等均有高效快速杀灭作用；适用于彩色医疗布草的洗涤消毒。</w:t>
            </w:r>
          </w:p>
          <w:p w14:paraId="48027F35">
            <w:pPr>
              <w:pStyle w:val="31"/>
              <w:ind w:firstLine="480"/>
            </w:pPr>
            <w:r>
              <w:rPr>
                <w:rFonts w:hint="eastAsia"/>
              </w:rPr>
              <w:t>④医用氯漂剂：为有机氯漂白剂，有效氯含量为20%。主要成分为次氯酸钾，其溶于水后首先分解出次氯酸（HClO），次氯酸进一步水解，释放出氧化能力很强、能破坏色素基团从而使色渍消失的初生态氧[O]。氯漂粉具有强烈去渍、去污、漂白、消毒、杀菌功能，不损伤织物，用量少而效果好。</w:t>
            </w:r>
          </w:p>
          <w:p w14:paraId="22D6EB3F">
            <w:pPr>
              <w:pStyle w:val="31"/>
              <w:ind w:firstLine="480"/>
            </w:pPr>
            <w:r>
              <w:rPr>
                <w:rFonts w:hint="eastAsia"/>
              </w:rPr>
              <w:t>⑤织物中和养护剂：由多种抗菌、缓蚀、中和成份精制而成，可以中和游离碱，提高织物使用舒适性，具有抗菌、缓蚀、脱氯功效，延长布草使用寿命，提高布巾白度与鲜艳度，恢复布草本来面目。</w:t>
            </w:r>
          </w:p>
          <w:p w14:paraId="2A0BA54E">
            <w:pPr>
              <w:pStyle w:val="31"/>
              <w:ind w:firstLine="480"/>
            </w:pPr>
            <w:r>
              <w:rPr>
                <w:rFonts w:hint="eastAsia"/>
              </w:rPr>
              <w:t>⑥医用乳化剂：一种碱性化合物，可与任何一种洗衣粉配合使用，以加强去污效果。</w:t>
            </w:r>
          </w:p>
          <w:p w14:paraId="1BD17DE0">
            <w:pPr>
              <w:pStyle w:val="31"/>
              <w:ind w:firstLine="482"/>
              <w:rPr>
                <w:b/>
              </w:rPr>
            </w:pPr>
            <w:r>
              <w:rPr>
                <w:rFonts w:hint="eastAsia"/>
                <w:b/>
              </w:rPr>
              <w:t>环评要求：建设单位在后期运营过程中需要严格使用无磷清洗剂。</w:t>
            </w:r>
            <w:r>
              <w:rPr>
                <w:rFonts w:hint="eastAsia"/>
                <w:b/>
                <w:u w:val="single"/>
              </w:rPr>
              <w:t>项目使用的清洗原料需建设专用原料暂存间，暂存间地面需采取2mm厚高密度聚乙烯防渗，防渗系数≤10</w:t>
            </w:r>
            <w:r>
              <w:rPr>
                <w:rFonts w:hint="eastAsia"/>
                <w:b/>
                <w:u w:val="single"/>
                <w:vertAlign w:val="superscript"/>
              </w:rPr>
              <w:t>-10</w:t>
            </w:r>
            <w:r>
              <w:rPr>
                <w:rFonts w:hint="eastAsia"/>
                <w:b/>
                <w:u w:val="single"/>
              </w:rPr>
              <w:t>cm/s（或采取其他具有同等防渗效力的防渗材料），并设置堵截泄漏的裙脚，防止清洗原料外泄。</w:t>
            </w:r>
          </w:p>
          <w:p w14:paraId="4ED6BA5D">
            <w:pPr>
              <w:adjustRightInd w:val="0"/>
              <w:snapToGrid w:val="0"/>
              <w:spacing w:line="360" w:lineRule="auto"/>
              <w:ind w:firstLine="482" w:firstLineChars="200"/>
              <w:rPr>
                <w:b/>
                <w:bCs/>
                <w:sz w:val="24"/>
              </w:rPr>
            </w:pPr>
            <w:r>
              <w:rPr>
                <w:rFonts w:hint="eastAsia"/>
                <w:b/>
                <w:bCs/>
                <w:sz w:val="24"/>
              </w:rPr>
              <w:t>5</w:t>
            </w:r>
            <w:r>
              <w:rPr>
                <w:b/>
                <w:bCs/>
                <w:sz w:val="24"/>
              </w:rPr>
              <w:t>、主要生产设备</w:t>
            </w:r>
          </w:p>
          <w:p w14:paraId="1EB86046">
            <w:pPr>
              <w:adjustRightInd w:val="0"/>
              <w:snapToGrid w:val="0"/>
              <w:spacing w:line="360" w:lineRule="auto"/>
              <w:ind w:firstLine="480" w:firstLineChars="200"/>
              <w:rPr>
                <w:sz w:val="24"/>
              </w:rPr>
            </w:pPr>
            <w:r>
              <w:rPr>
                <w:rFonts w:hint="eastAsia"/>
                <w:sz w:val="24"/>
              </w:rPr>
              <w:t>项目改建前后的主要生产设备详见表2-</w:t>
            </w:r>
            <w:r>
              <w:rPr>
                <w:rFonts w:hint="eastAsia"/>
                <w:sz w:val="24"/>
                <w:lang w:val="en-US" w:eastAsia="zh-CN"/>
              </w:rPr>
              <w:t>4</w:t>
            </w:r>
            <w:r>
              <w:rPr>
                <w:rFonts w:hint="eastAsia"/>
                <w:sz w:val="24"/>
              </w:rPr>
              <w:t>。</w:t>
            </w:r>
          </w:p>
          <w:p w14:paraId="225212C8">
            <w:pPr>
              <w:autoSpaceDE w:val="0"/>
              <w:autoSpaceDN w:val="0"/>
              <w:adjustRightInd w:val="0"/>
              <w:spacing w:before="120" w:beforeLines="50"/>
              <w:jc w:val="center"/>
              <w:rPr>
                <w:b/>
                <w:kern w:val="0"/>
                <w:szCs w:val="21"/>
              </w:rPr>
            </w:pPr>
            <w:r>
              <w:rPr>
                <w:b/>
                <w:kern w:val="0"/>
                <w:szCs w:val="21"/>
              </w:rPr>
              <w:t>表2-</w:t>
            </w:r>
            <w:r>
              <w:rPr>
                <w:rFonts w:hint="eastAsia"/>
                <w:b/>
                <w:kern w:val="0"/>
                <w:szCs w:val="21"/>
                <w:lang w:val="en-US" w:eastAsia="zh-CN"/>
              </w:rPr>
              <w:t>4</w:t>
            </w:r>
            <w:r>
              <w:rPr>
                <w:rFonts w:hint="eastAsia"/>
                <w:b/>
                <w:kern w:val="0"/>
                <w:szCs w:val="21"/>
              </w:rPr>
              <w:t xml:space="preserve"> </w:t>
            </w:r>
            <w:r>
              <w:rPr>
                <w:b/>
                <w:kern w:val="0"/>
                <w:szCs w:val="21"/>
              </w:rPr>
              <w:t xml:space="preserve"> 主要生产设备一览表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3"/>
              <w:gridCol w:w="1261"/>
              <w:gridCol w:w="3898"/>
              <w:gridCol w:w="503"/>
              <w:gridCol w:w="656"/>
              <w:gridCol w:w="579"/>
              <w:gridCol w:w="656"/>
              <w:gridCol w:w="1243"/>
            </w:tblGrid>
            <w:tr w14:paraId="6E6B0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restart"/>
                  <w:vAlign w:val="center"/>
                </w:tcPr>
                <w:p w14:paraId="41A742B8">
                  <w:pPr>
                    <w:adjustRightInd w:val="0"/>
                    <w:snapToGrid w:val="0"/>
                    <w:jc w:val="center"/>
                    <w:rPr>
                      <w:b/>
                      <w:bCs/>
                      <w:szCs w:val="21"/>
                      <w:u w:val="single"/>
                    </w:rPr>
                  </w:pPr>
                  <w:r>
                    <w:rPr>
                      <w:rFonts w:hint="eastAsia"/>
                      <w:b/>
                      <w:bCs/>
                      <w:szCs w:val="21"/>
                      <w:u w:val="single"/>
                    </w:rPr>
                    <w:t>序号</w:t>
                  </w:r>
                </w:p>
              </w:tc>
              <w:tc>
                <w:tcPr>
                  <w:tcW w:w="0" w:type="auto"/>
                  <w:vMerge w:val="restart"/>
                  <w:vAlign w:val="center"/>
                </w:tcPr>
                <w:p w14:paraId="48B7724C">
                  <w:pPr>
                    <w:adjustRightInd w:val="0"/>
                    <w:snapToGrid w:val="0"/>
                    <w:jc w:val="center"/>
                    <w:rPr>
                      <w:b/>
                      <w:bCs/>
                      <w:szCs w:val="21"/>
                      <w:u w:val="single"/>
                    </w:rPr>
                  </w:pPr>
                  <w:r>
                    <w:rPr>
                      <w:rFonts w:hint="eastAsia"/>
                      <w:b/>
                      <w:bCs/>
                      <w:szCs w:val="21"/>
                      <w:u w:val="single"/>
                    </w:rPr>
                    <w:t>车间</w:t>
                  </w:r>
                </w:p>
              </w:tc>
              <w:tc>
                <w:tcPr>
                  <w:tcW w:w="0" w:type="auto"/>
                  <w:vMerge w:val="restart"/>
                  <w:vAlign w:val="center"/>
                </w:tcPr>
                <w:p w14:paraId="40A8A533">
                  <w:pPr>
                    <w:adjustRightInd w:val="0"/>
                    <w:snapToGrid w:val="0"/>
                    <w:jc w:val="center"/>
                    <w:rPr>
                      <w:b/>
                      <w:bCs/>
                      <w:szCs w:val="21"/>
                      <w:u w:val="single"/>
                    </w:rPr>
                  </w:pPr>
                  <w:r>
                    <w:rPr>
                      <w:rFonts w:hint="eastAsia"/>
                      <w:b/>
                      <w:bCs/>
                      <w:szCs w:val="21"/>
                      <w:u w:val="single"/>
                    </w:rPr>
                    <w:t>设备名称</w:t>
                  </w:r>
                </w:p>
              </w:tc>
              <w:tc>
                <w:tcPr>
                  <w:tcW w:w="0" w:type="auto"/>
                  <w:vMerge w:val="restart"/>
                  <w:vAlign w:val="center"/>
                </w:tcPr>
                <w:p w14:paraId="20D67C55">
                  <w:pPr>
                    <w:adjustRightInd w:val="0"/>
                    <w:snapToGrid w:val="0"/>
                    <w:jc w:val="center"/>
                    <w:rPr>
                      <w:b/>
                      <w:bCs/>
                      <w:szCs w:val="21"/>
                      <w:u w:val="single"/>
                    </w:rPr>
                  </w:pPr>
                  <w:r>
                    <w:rPr>
                      <w:rFonts w:hint="eastAsia"/>
                      <w:b/>
                      <w:bCs/>
                      <w:szCs w:val="21"/>
                      <w:u w:val="single"/>
                    </w:rPr>
                    <w:t>单位</w:t>
                  </w:r>
                </w:p>
              </w:tc>
              <w:tc>
                <w:tcPr>
                  <w:tcW w:w="0" w:type="auto"/>
                  <w:gridSpan w:val="3"/>
                  <w:vAlign w:val="center"/>
                </w:tcPr>
                <w:p w14:paraId="5F6C8472">
                  <w:pPr>
                    <w:adjustRightInd w:val="0"/>
                    <w:snapToGrid w:val="0"/>
                    <w:jc w:val="center"/>
                    <w:rPr>
                      <w:b/>
                      <w:bCs/>
                      <w:szCs w:val="21"/>
                      <w:u w:val="single"/>
                    </w:rPr>
                  </w:pPr>
                  <w:r>
                    <w:rPr>
                      <w:rFonts w:hint="eastAsia"/>
                      <w:b/>
                      <w:bCs/>
                      <w:szCs w:val="21"/>
                      <w:u w:val="single"/>
                    </w:rPr>
                    <w:t>数量</w:t>
                  </w:r>
                </w:p>
              </w:tc>
              <w:tc>
                <w:tcPr>
                  <w:tcW w:w="0" w:type="auto"/>
                  <w:vAlign w:val="center"/>
                </w:tcPr>
                <w:p w14:paraId="6121F2C3">
                  <w:pPr>
                    <w:adjustRightInd w:val="0"/>
                    <w:snapToGrid w:val="0"/>
                    <w:jc w:val="center"/>
                    <w:rPr>
                      <w:b/>
                      <w:bCs/>
                      <w:szCs w:val="21"/>
                      <w:u w:val="single"/>
                    </w:rPr>
                  </w:pPr>
                </w:p>
              </w:tc>
            </w:tr>
            <w:tr w14:paraId="765D4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Merge w:val="continue"/>
                  <w:vAlign w:val="center"/>
                </w:tcPr>
                <w:p w14:paraId="1BA59747">
                  <w:pPr>
                    <w:adjustRightInd w:val="0"/>
                    <w:snapToGrid w:val="0"/>
                    <w:jc w:val="center"/>
                    <w:rPr>
                      <w:b/>
                      <w:bCs/>
                      <w:szCs w:val="21"/>
                      <w:u w:val="single"/>
                    </w:rPr>
                  </w:pPr>
                </w:p>
              </w:tc>
              <w:tc>
                <w:tcPr>
                  <w:tcW w:w="0" w:type="auto"/>
                  <w:vMerge w:val="continue"/>
                  <w:vAlign w:val="center"/>
                </w:tcPr>
                <w:p w14:paraId="3AA94DD8">
                  <w:pPr>
                    <w:adjustRightInd w:val="0"/>
                    <w:snapToGrid w:val="0"/>
                    <w:jc w:val="center"/>
                    <w:rPr>
                      <w:b/>
                      <w:bCs/>
                      <w:szCs w:val="21"/>
                      <w:u w:val="single"/>
                    </w:rPr>
                  </w:pPr>
                </w:p>
              </w:tc>
              <w:tc>
                <w:tcPr>
                  <w:tcW w:w="0" w:type="auto"/>
                  <w:vMerge w:val="continue"/>
                  <w:vAlign w:val="center"/>
                </w:tcPr>
                <w:p w14:paraId="0C1C2326">
                  <w:pPr>
                    <w:adjustRightInd w:val="0"/>
                    <w:snapToGrid w:val="0"/>
                    <w:jc w:val="center"/>
                    <w:rPr>
                      <w:b/>
                      <w:bCs/>
                      <w:szCs w:val="21"/>
                      <w:u w:val="single"/>
                    </w:rPr>
                  </w:pPr>
                </w:p>
              </w:tc>
              <w:tc>
                <w:tcPr>
                  <w:tcW w:w="0" w:type="auto"/>
                  <w:vMerge w:val="continue"/>
                  <w:vAlign w:val="center"/>
                </w:tcPr>
                <w:p w14:paraId="2E7D2DD1">
                  <w:pPr>
                    <w:adjustRightInd w:val="0"/>
                    <w:snapToGrid w:val="0"/>
                    <w:jc w:val="center"/>
                    <w:rPr>
                      <w:b/>
                      <w:bCs/>
                      <w:szCs w:val="21"/>
                      <w:u w:val="single"/>
                    </w:rPr>
                  </w:pPr>
                </w:p>
              </w:tc>
              <w:tc>
                <w:tcPr>
                  <w:tcW w:w="0" w:type="auto"/>
                  <w:vAlign w:val="center"/>
                </w:tcPr>
                <w:p w14:paraId="13536992">
                  <w:pPr>
                    <w:adjustRightInd w:val="0"/>
                    <w:snapToGrid w:val="0"/>
                    <w:jc w:val="center"/>
                    <w:rPr>
                      <w:b/>
                      <w:bCs/>
                      <w:szCs w:val="21"/>
                      <w:u w:val="single"/>
                    </w:rPr>
                  </w:pPr>
                  <w:r>
                    <w:rPr>
                      <w:rFonts w:hint="eastAsia"/>
                      <w:b/>
                      <w:bCs/>
                      <w:szCs w:val="21"/>
                      <w:u w:val="single"/>
                    </w:rPr>
                    <w:t>改扩建前</w:t>
                  </w:r>
                </w:p>
              </w:tc>
              <w:tc>
                <w:tcPr>
                  <w:tcW w:w="579" w:type="dxa"/>
                  <w:vAlign w:val="center"/>
                </w:tcPr>
                <w:p w14:paraId="0205B3D3">
                  <w:pPr>
                    <w:adjustRightInd w:val="0"/>
                    <w:snapToGrid w:val="0"/>
                    <w:jc w:val="center"/>
                    <w:rPr>
                      <w:b/>
                      <w:bCs/>
                      <w:szCs w:val="21"/>
                      <w:u w:val="single"/>
                    </w:rPr>
                  </w:pPr>
                  <w:r>
                    <w:rPr>
                      <w:rFonts w:hint="eastAsia"/>
                      <w:b/>
                      <w:bCs/>
                      <w:szCs w:val="21"/>
                      <w:u w:val="single"/>
                    </w:rPr>
                    <w:t>本项目</w:t>
                  </w:r>
                </w:p>
              </w:tc>
              <w:tc>
                <w:tcPr>
                  <w:tcW w:w="656" w:type="dxa"/>
                  <w:vAlign w:val="center"/>
                </w:tcPr>
                <w:p w14:paraId="2FD05874">
                  <w:pPr>
                    <w:adjustRightInd w:val="0"/>
                    <w:snapToGrid w:val="0"/>
                    <w:jc w:val="center"/>
                    <w:rPr>
                      <w:b/>
                      <w:bCs/>
                      <w:szCs w:val="21"/>
                      <w:u w:val="single"/>
                    </w:rPr>
                  </w:pPr>
                  <w:r>
                    <w:rPr>
                      <w:rFonts w:hint="eastAsia"/>
                      <w:b/>
                      <w:bCs/>
                      <w:szCs w:val="21"/>
                      <w:u w:val="single"/>
                    </w:rPr>
                    <w:t>改扩建后</w:t>
                  </w:r>
                </w:p>
              </w:tc>
              <w:tc>
                <w:tcPr>
                  <w:tcW w:w="0" w:type="auto"/>
                  <w:vAlign w:val="center"/>
                </w:tcPr>
                <w:p w14:paraId="66DE39D3">
                  <w:pPr>
                    <w:adjustRightInd w:val="0"/>
                    <w:snapToGrid w:val="0"/>
                    <w:jc w:val="center"/>
                    <w:rPr>
                      <w:b/>
                      <w:bCs/>
                      <w:szCs w:val="21"/>
                      <w:u w:val="single"/>
                    </w:rPr>
                  </w:pPr>
                  <w:r>
                    <w:rPr>
                      <w:rFonts w:hint="eastAsia"/>
                      <w:b/>
                      <w:bCs/>
                      <w:szCs w:val="21"/>
                      <w:u w:val="single"/>
                    </w:rPr>
                    <w:t>备注</w:t>
                  </w:r>
                </w:p>
              </w:tc>
            </w:tr>
            <w:tr w14:paraId="3F313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72D767B7">
                  <w:pPr>
                    <w:adjustRightInd w:val="0"/>
                    <w:snapToGrid w:val="0"/>
                    <w:jc w:val="center"/>
                    <w:rPr>
                      <w:szCs w:val="21"/>
                      <w:u w:val="single"/>
                    </w:rPr>
                  </w:pPr>
                  <w:r>
                    <w:rPr>
                      <w:rFonts w:hint="eastAsia"/>
                      <w:szCs w:val="21"/>
                      <w:u w:val="single"/>
                    </w:rPr>
                    <w:t>1</w:t>
                  </w:r>
                </w:p>
              </w:tc>
              <w:tc>
                <w:tcPr>
                  <w:tcW w:w="0" w:type="auto"/>
                  <w:vMerge w:val="restart"/>
                  <w:vAlign w:val="center"/>
                </w:tcPr>
                <w:p w14:paraId="4CB2C3E7">
                  <w:pPr>
                    <w:adjustRightInd w:val="0"/>
                    <w:snapToGrid w:val="0"/>
                    <w:jc w:val="center"/>
                    <w:rPr>
                      <w:szCs w:val="21"/>
                      <w:u w:val="single"/>
                    </w:rPr>
                  </w:pPr>
                  <w:r>
                    <w:rPr>
                      <w:rFonts w:hint="eastAsia"/>
                      <w:szCs w:val="21"/>
                      <w:u w:val="single"/>
                    </w:rPr>
                    <w:t>餐具清洗消毒生产车间</w:t>
                  </w:r>
                </w:p>
              </w:tc>
              <w:tc>
                <w:tcPr>
                  <w:tcW w:w="0" w:type="auto"/>
                  <w:vAlign w:val="center"/>
                </w:tcPr>
                <w:p w14:paraId="01124878">
                  <w:pPr>
                    <w:adjustRightInd w:val="0"/>
                    <w:snapToGrid w:val="0"/>
                    <w:jc w:val="center"/>
                    <w:rPr>
                      <w:szCs w:val="21"/>
                      <w:u w:val="single"/>
                    </w:rPr>
                  </w:pPr>
                  <w:r>
                    <w:rPr>
                      <w:rFonts w:hint="eastAsia"/>
                      <w:szCs w:val="21"/>
                      <w:u w:val="single"/>
                    </w:rPr>
                    <w:t>清洗消毒流水线设备</w:t>
                  </w:r>
                </w:p>
              </w:tc>
              <w:tc>
                <w:tcPr>
                  <w:tcW w:w="0" w:type="auto"/>
                  <w:vAlign w:val="center"/>
                </w:tcPr>
                <w:p w14:paraId="3572C503">
                  <w:pPr>
                    <w:adjustRightInd w:val="0"/>
                    <w:snapToGrid w:val="0"/>
                    <w:jc w:val="center"/>
                    <w:rPr>
                      <w:szCs w:val="21"/>
                      <w:u w:val="single"/>
                    </w:rPr>
                  </w:pPr>
                  <w:r>
                    <w:rPr>
                      <w:rFonts w:hint="eastAsia"/>
                      <w:szCs w:val="21"/>
                      <w:u w:val="single"/>
                    </w:rPr>
                    <w:t>套</w:t>
                  </w:r>
                </w:p>
              </w:tc>
              <w:tc>
                <w:tcPr>
                  <w:tcW w:w="0" w:type="auto"/>
                  <w:shd w:val="clear" w:color="auto" w:fill="auto"/>
                  <w:vAlign w:val="center"/>
                </w:tcPr>
                <w:p w14:paraId="0EFCDE62">
                  <w:pPr>
                    <w:adjustRightInd w:val="0"/>
                    <w:snapToGrid w:val="0"/>
                    <w:jc w:val="center"/>
                    <w:rPr>
                      <w:szCs w:val="21"/>
                      <w:u w:val="single"/>
                    </w:rPr>
                  </w:pPr>
                  <w:r>
                    <w:rPr>
                      <w:rFonts w:hint="eastAsia"/>
                      <w:szCs w:val="21"/>
                      <w:u w:val="single"/>
                    </w:rPr>
                    <w:t>1</w:t>
                  </w:r>
                </w:p>
              </w:tc>
              <w:tc>
                <w:tcPr>
                  <w:tcW w:w="579" w:type="dxa"/>
                  <w:vAlign w:val="center"/>
                </w:tcPr>
                <w:p w14:paraId="15EC0FD3">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1C27CA4D">
                  <w:pPr>
                    <w:adjustRightInd w:val="0"/>
                    <w:snapToGrid w:val="0"/>
                    <w:jc w:val="center"/>
                    <w:rPr>
                      <w:szCs w:val="21"/>
                      <w:u w:val="single"/>
                    </w:rPr>
                  </w:pPr>
                  <w:r>
                    <w:rPr>
                      <w:rFonts w:hint="eastAsia"/>
                      <w:szCs w:val="21"/>
                      <w:u w:val="single"/>
                    </w:rPr>
                    <w:t>1</w:t>
                  </w:r>
                </w:p>
              </w:tc>
              <w:tc>
                <w:tcPr>
                  <w:tcW w:w="0" w:type="auto"/>
                  <w:vMerge w:val="restart"/>
                  <w:vAlign w:val="center"/>
                </w:tcPr>
                <w:p w14:paraId="3D88ABBD">
                  <w:pPr>
                    <w:adjustRightInd w:val="0"/>
                    <w:snapToGrid w:val="0"/>
                    <w:jc w:val="center"/>
                    <w:rPr>
                      <w:szCs w:val="21"/>
                      <w:u w:val="single"/>
                    </w:rPr>
                  </w:pPr>
                  <w:r>
                    <w:rPr>
                      <w:rFonts w:hint="eastAsia"/>
                      <w:szCs w:val="21"/>
                      <w:u w:val="single"/>
                    </w:rPr>
                    <w:t>本次环评无调整</w:t>
                  </w:r>
                </w:p>
              </w:tc>
            </w:tr>
            <w:tr w14:paraId="4733D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5EBA7B3C">
                  <w:pPr>
                    <w:adjustRightInd w:val="0"/>
                    <w:snapToGrid w:val="0"/>
                    <w:jc w:val="center"/>
                    <w:rPr>
                      <w:szCs w:val="21"/>
                      <w:u w:val="single"/>
                    </w:rPr>
                  </w:pPr>
                  <w:r>
                    <w:rPr>
                      <w:rFonts w:hint="eastAsia"/>
                      <w:szCs w:val="21"/>
                      <w:u w:val="single"/>
                    </w:rPr>
                    <w:t>2</w:t>
                  </w:r>
                </w:p>
              </w:tc>
              <w:tc>
                <w:tcPr>
                  <w:tcW w:w="0" w:type="auto"/>
                  <w:vMerge w:val="continue"/>
                  <w:vAlign w:val="center"/>
                </w:tcPr>
                <w:p w14:paraId="3316921A">
                  <w:pPr>
                    <w:adjustRightInd w:val="0"/>
                    <w:snapToGrid w:val="0"/>
                    <w:jc w:val="center"/>
                    <w:rPr>
                      <w:szCs w:val="21"/>
                      <w:u w:val="single"/>
                    </w:rPr>
                  </w:pPr>
                </w:p>
              </w:tc>
              <w:tc>
                <w:tcPr>
                  <w:tcW w:w="0" w:type="auto"/>
                  <w:vAlign w:val="center"/>
                </w:tcPr>
                <w:p w14:paraId="03EFB91B">
                  <w:pPr>
                    <w:adjustRightInd w:val="0"/>
                    <w:snapToGrid w:val="0"/>
                    <w:jc w:val="center"/>
                    <w:rPr>
                      <w:szCs w:val="21"/>
                      <w:u w:val="single"/>
                    </w:rPr>
                  </w:pPr>
                  <w:r>
                    <w:rPr>
                      <w:rFonts w:hint="eastAsia"/>
                      <w:szCs w:val="21"/>
                      <w:u w:val="single"/>
                    </w:rPr>
                    <w:t>自动化洗箱（周转箱）机</w:t>
                  </w:r>
                </w:p>
              </w:tc>
              <w:tc>
                <w:tcPr>
                  <w:tcW w:w="0" w:type="auto"/>
                  <w:vAlign w:val="center"/>
                </w:tcPr>
                <w:p w14:paraId="1E9CE321">
                  <w:pPr>
                    <w:adjustRightInd w:val="0"/>
                    <w:snapToGrid w:val="0"/>
                    <w:jc w:val="center"/>
                    <w:rPr>
                      <w:szCs w:val="21"/>
                      <w:u w:val="single"/>
                    </w:rPr>
                  </w:pPr>
                  <w:r>
                    <w:rPr>
                      <w:rFonts w:hint="eastAsia"/>
                      <w:szCs w:val="21"/>
                      <w:u w:val="single"/>
                    </w:rPr>
                    <w:t>台</w:t>
                  </w:r>
                </w:p>
              </w:tc>
              <w:tc>
                <w:tcPr>
                  <w:tcW w:w="0" w:type="auto"/>
                  <w:shd w:val="clear" w:color="auto" w:fill="auto"/>
                  <w:vAlign w:val="center"/>
                </w:tcPr>
                <w:p w14:paraId="03C223D0">
                  <w:pPr>
                    <w:adjustRightInd w:val="0"/>
                    <w:snapToGrid w:val="0"/>
                    <w:jc w:val="center"/>
                    <w:rPr>
                      <w:szCs w:val="21"/>
                      <w:u w:val="single"/>
                    </w:rPr>
                  </w:pPr>
                  <w:r>
                    <w:rPr>
                      <w:rFonts w:hint="eastAsia"/>
                      <w:szCs w:val="21"/>
                      <w:u w:val="single"/>
                    </w:rPr>
                    <w:t>1</w:t>
                  </w:r>
                </w:p>
              </w:tc>
              <w:tc>
                <w:tcPr>
                  <w:tcW w:w="579" w:type="dxa"/>
                  <w:vAlign w:val="center"/>
                </w:tcPr>
                <w:p w14:paraId="49E4863A">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5EFE4A97">
                  <w:pPr>
                    <w:adjustRightInd w:val="0"/>
                    <w:snapToGrid w:val="0"/>
                    <w:jc w:val="center"/>
                    <w:rPr>
                      <w:szCs w:val="21"/>
                      <w:u w:val="single"/>
                    </w:rPr>
                  </w:pPr>
                  <w:r>
                    <w:rPr>
                      <w:rFonts w:hint="eastAsia"/>
                      <w:szCs w:val="21"/>
                      <w:u w:val="single"/>
                    </w:rPr>
                    <w:t>1</w:t>
                  </w:r>
                </w:p>
              </w:tc>
              <w:tc>
                <w:tcPr>
                  <w:tcW w:w="0" w:type="auto"/>
                  <w:vMerge w:val="continue"/>
                  <w:vAlign w:val="center"/>
                </w:tcPr>
                <w:p w14:paraId="5C8075CB">
                  <w:pPr>
                    <w:adjustRightInd w:val="0"/>
                    <w:snapToGrid w:val="0"/>
                    <w:jc w:val="center"/>
                    <w:rPr>
                      <w:szCs w:val="21"/>
                      <w:u w:val="single"/>
                    </w:rPr>
                  </w:pPr>
                </w:p>
              </w:tc>
            </w:tr>
            <w:tr w14:paraId="49F44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BFF5001">
                  <w:pPr>
                    <w:adjustRightInd w:val="0"/>
                    <w:snapToGrid w:val="0"/>
                    <w:jc w:val="center"/>
                    <w:rPr>
                      <w:szCs w:val="21"/>
                      <w:u w:val="single"/>
                    </w:rPr>
                  </w:pPr>
                  <w:r>
                    <w:rPr>
                      <w:rFonts w:hint="eastAsia"/>
                      <w:szCs w:val="21"/>
                      <w:u w:val="single"/>
                    </w:rPr>
                    <w:t>3</w:t>
                  </w:r>
                </w:p>
              </w:tc>
              <w:tc>
                <w:tcPr>
                  <w:tcW w:w="0" w:type="auto"/>
                  <w:vMerge w:val="continue"/>
                  <w:vAlign w:val="center"/>
                </w:tcPr>
                <w:p w14:paraId="7CAD0F00">
                  <w:pPr>
                    <w:adjustRightInd w:val="0"/>
                    <w:snapToGrid w:val="0"/>
                    <w:jc w:val="center"/>
                    <w:rPr>
                      <w:szCs w:val="21"/>
                      <w:u w:val="single"/>
                    </w:rPr>
                  </w:pPr>
                </w:p>
              </w:tc>
              <w:tc>
                <w:tcPr>
                  <w:tcW w:w="0" w:type="auto"/>
                  <w:vAlign w:val="center"/>
                </w:tcPr>
                <w:p w14:paraId="16256EA2">
                  <w:pPr>
                    <w:adjustRightInd w:val="0"/>
                    <w:snapToGrid w:val="0"/>
                    <w:jc w:val="center"/>
                    <w:rPr>
                      <w:szCs w:val="21"/>
                      <w:u w:val="single"/>
                    </w:rPr>
                  </w:pPr>
                  <w:r>
                    <w:rPr>
                      <w:rFonts w:hint="eastAsia"/>
                      <w:szCs w:val="21"/>
                      <w:u w:val="single"/>
                    </w:rPr>
                    <w:t>紫外线杀菌灯</w:t>
                  </w:r>
                </w:p>
              </w:tc>
              <w:tc>
                <w:tcPr>
                  <w:tcW w:w="0" w:type="auto"/>
                  <w:vAlign w:val="center"/>
                </w:tcPr>
                <w:p w14:paraId="35120B9A">
                  <w:pPr>
                    <w:adjustRightInd w:val="0"/>
                    <w:snapToGrid w:val="0"/>
                    <w:jc w:val="center"/>
                    <w:rPr>
                      <w:szCs w:val="21"/>
                      <w:u w:val="single"/>
                    </w:rPr>
                  </w:pPr>
                  <w:r>
                    <w:rPr>
                      <w:rFonts w:hint="eastAsia"/>
                      <w:szCs w:val="21"/>
                      <w:u w:val="single"/>
                    </w:rPr>
                    <w:t>盏</w:t>
                  </w:r>
                </w:p>
              </w:tc>
              <w:tc>
                <w:tcPr>
                  <w:tcW w:w="0" w:type="auto"/>
                  <w:shd w:val="clear" w:color="auto" w:fill="auto"/>
                  <w:vAlign w:val="center"/>
                </w:tcPr>
                <w:p w14:paraId="1053E91E">
                  <w:pPr>
                    <w:adjustRightInd w:val="0"/>
                    <w:snapToGrid w:val="0"/>
                    <w:jc w:val="center"/>
                    <w:rPr>
                      <w:szCs w:val="21"/>
                      <w:u w:val="single"/>
                    </w:rPr>
                  </w:pPr>
                  <w:r>
                    <w:rPr>
                      <w:rFonts w:hint="eastAsia"/>
                      <w:szCs w:val="21"/>
                      <w:u w:val="single"/>
                    </w:rPr>
                    <w:t>10</w:t>
                  </w:r>
                </w:p>
              </w:tc>
              <w:tc>
                <w:tcPr>
                  <w:tcW w:w="579" w:type="dxa"/>
                  <w:vAlign w:val="center"/>
                </w:tcPr>
                <w:p w14:paraId="7E22D306">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1906970D">
                  <w:pPr>
                    <w:adjustRightInd w:val="0"/>
                    <w:snapToGrid w:val="0"/>
                    <w:jc w:val="center"/>
                    <w:rPr>
                      <w:szCs w:val="21"/>
                      <w:u w:val="single"/>
                    </w:rPr>
                  </w:pPr>
                  <w:r>
                    <w:rPr>
                      <w:rFonts w:hint="eastAsia"/>
                      <w:szCs w:val="21"/>
                      <w:u w:val="single"/>
                    </w:rPr>
                    <w:t>10</w:t>
                  </w:r>
                </w:p>
              </w:tc>
              <w:tc>
                <w:tcPr>
                  <w:tcW w:w="0" w:type="auto"/>
                  <w:vMerge w:val="continue"/>
                  <w:vAlign w:val="center"/>
                </w:tcPr>
                <w:p w14:paraId="2CDD8998">
                  <w:pPr>
                    <w:adjustRightInd w:val="0"/>
                    <w:snapToGrid w:val="0"/>
                    <w:jc w:val="center"/>
                    <w:rPr>
                      <w:szCs w:val="21"/>
                      <w:u w:val="single"/>
                    </w:rPr>
                  </w:pPr>
                </w:p>
              </w:tc>
            </w:tr>
            <w:tr w14:paraId="15565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3AFCF8AC">
                  <w:pPr>
                    <w:adjustRightInd w:val="0"/>
                    <w:snapToGrid w:val="0"/>
                    <w:jc w:val="center"/>
                    <w:rPr>
                      <w:szCs w:val="21"/>
                      <w:u w:val="single"/>
                    </w:rPr>
                  </w:pPr>
                  <w:r>
                    <w:rPr>
                      <w:rFonts w:hint="eastAsia"/>
                      <w:szCs w:val="21"/>
                      <w:u w:val="single"/>
                    </w:rPr>
                    <w:t>4</w:t>
                  </w:r>
                </w:p>
              </w:tc>
              <w:tc>
                <w:tcPr>
                  <w:tcW w:w="0" w:type="auto"/>
                  <w:vMerge w:val="continue"/>
                  <w:vAlign w:val="center"/>
                </w:tcPr>
                <w:p w14:paraId="15DCB04F">
                  <w:pPr>
                    <w:adjustRightInd w:val="0"/>
                    <w:snapToGrid w:val="0"/>
                    <w:jc w:val="center"/>
                    <w:rPr>
                      <w:szCs w:val="21"/>
                      <w:u w:val="single"/>
                    </w:rPr>
                  </w:pPr>
                </w:p>
              </w:tc>
              <w:tc>
                <w:tcPr>
                  <w:tcW w:w="0" w:type="auto"/>
                  <w:vAlign w:val="center"/>
                </w:tcPr>
                <w:p w14:paraId="4E6487A9">
                  <w:pPr>
                    <w:adjustRightInd w:val="0"/>
                    <w:snapToGrid w:val="0"/>
                    <w:jc w:val="center"/>
                    <w:rPr>
                      <w:szCs w:val="21"/>
                      <w:u w:val="single"/>
                    </w:rPr>
                  </w:pPr>
                  <w:r>
                    <w:rPr>
                      <w:rFonts w:hint="eastAsia"/>
                      <w:szCs w:val="21"/>
                      <w:u w:val="single"/>
                    </w:rPr>
                    <w:t>清洗消毒筐</w:t>
                  </w:r>
                </w:p>
              </w:tc>
              <w:tc>
                <w:tcPr>
                  <w:tcW w:w="0" w:type="auto"/>
                  <w:vAlign w:val="center"/>
                </w:tcPr>
                <w:p w14:paraId="01B54ABF">
                  <w:pPr>
                    <w:adjustRightInd w:val="0"/>
                    <w:snapToGrid w:val="0"/>
                    <w:jc w:val="center"/>
                    <w:rPr>
                      <w:szCs w:val="21"/>
                      <w:u w:val="single"/>
                    </w:rPr>
                  </w:pPr>
                  <w:r>
                    <w:rPr>
                      <w:rFonts w:hint="eastAsia"/>
                      <w:szCs w:val="21"/>
                      <w:u w:val="single"/>
                    </w:rPr>
                    <w:t>个</w:t>
                  </w:r>
                </w:p>
              </w:tc>
              <w:tc>
                <w:tcPr>
                  <w:tcW w:w="0" w:type="auto"/>
                  <w:shd w:val="clear" w:color="auto" w:fill="auto"/>
                  <w:vAlign w:val="center"/>
                </w:tcPr>
                <w:p w14:paraId="23012787">
                  <w:pPr>
                    <w:adjustRightInd w:val="0"/>
                    <w:snapToGrid w:val="0"/>
                    <w:jc w:val="center"/>
                    <w:rPr>
                      <w:szCs w:val="21"/>
                      <w:u w:val="single"/>
                    </w:rPr>
                  </w:pPr>
                  <w:r>
                    <w:rPr>
                      <w:rFonts w:hint="eastAsia"/>
                      <w:szCs w:val="21"/>
                      <w:u w:val="single"/>
                    </w:rPr>
                    <w:t>2</w:t>
                  </w:r>
                </w:p>
              </w:tc>
              <w:tc>
                <w:tcPr>
                  <w:tcW w:w="579" w:type="dxa"/>
                  <w:vAlign w:val="center"/>
                </w:tcPr>
                <w:p w14:paraId="7E562AFA">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4ABBADDC">
                  <w:pPr>
                    <w:adjustRightInd w:val="0"/>
                    <w:snapToGrid w:val="0"/>
                    <w:jc w:val="center"/>
                    <w:rPr>
                      <w:szCs w:val="21"/>
                      <w:u w:val="single"/>
                    </w:rPr>
                  </w:pPr>
                  <w:r>
                    <w:rPr>
                      <w:rFonts w:hint="eastAsia"/>
                      <w:szCs w:val="21"/>
                      <w:u w:val="single"/>
                    </w:rPr>
                    <w:t>2</w:t>
                  </w:r>
                </w:p>
              </w:tc>
              <w:tc>
                <w:tcPr>
                  <w:tcW w:w="0" w:type="auto"/>
                  <w:vMerge w:val="continue"/>
                  <w:vAlign w:val="center"/>
                </w:tcPr>
                <w:p w14:paraId="1D09A046">
                  <w:pPr>
                    <w:adjustRightInd w:val="0"/>
                    <w:snapToGrid w:val="0"/>
                    <w:jc w:val="center"/>
                    <w:rPr>
                      <w:szCs w:val="21"/>
                      <w:u w:val="single"/>
                    </w:rPr>
                  </w:pPr>
                </w:p>
              </w:tc>
            </w:tr>
            <w:tr w14:paraId="4B64C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D78AE4A">
                  <w:pPr>
                    <w:adjustRightInd w:val="0"/>
                    <w:snapToGrid w:val="0"/>
                    <w:jc w:val="center"/>
                    <w:rPr>
                      <w:szCs w:val="21"/>
                      <w:u w:val="single"/>
                    </w:rPr>
                  </w:pPr>
                  <w:r>
                    <w:rPr>
                      <w:rFonts w:hint="eastAsia"/>
                      <w:szCs w:val="21"/>
                      <w:u w:val="single"/>
                    </w:rPr>
                    <w:t>5</w:t>
                  </w:r>
                </w:p>
              </w:tc>
              <w:tc>
                <w:tcPr>
                  <w:tcW w:w="0" w:type="auto"/>
                  <w:vMerge w:val="continue"/>
                  <w:vAlign w:val="center"/>
                </w:tcPr>
                <w:p w14:paraId="09C30D06">
                  <w:pPr>
                    <w:adjustRightInd w:val="0"/>
                    <w:snapToGrid w:val="0"/>
                    <w:jc w:val="center"/>
                    <w:rPr>
                      <w:szCs w:val="21"/>
                      <w:u w:val="single"/>
                    </w:rPr>
                  </w:pPr>
                </w:p>
              </w:tc>
              <w:tc>
                <w:tcPr>
                  <w:tcW w:w="0" w:type="auto"/>
                  <w:vAlign w:val="center"/>
                </w:tcPr>
                <w:p w14:paraId="1AD7653E">
                  <w:pPr>
                    <w:adjustRightInd w:val="0"/>
                    <w:snapToGrid w:val="0"/>
                    <w:jc w:val="center"/>
                    <w:rPr>
                      <w:szCs w:val="21"/>
                      <w:u w:val="single"/>
                    </w:rPr>
                  </w:pPr>
                  <w:r>
                    <w:rPr>
                      <w:rFonts w:hint="eastAsia"/>
                      <w:szCs w:val="21"/>
                      <w:u w:val="single"/>
                    </w:rPr>
                    <w:t>餐具包装机</w:t>
                  </w:r>
                </w:p>
              </w:tc>
              <w:tc>
                <w:tcPr>
                  <w:tcW w:w="0" w:type="auto"/>
                  <w:vAlign w:val="center"/>
                </w:tcPr>
                <w:p w14:paraId="5453A8A1">
                  <w:pPr>
                    <w:adjustRightInd w:val="0"/>
                    <w:snapToGrid w:val="0"/>
                    <w:jc w:val="center"/>
                    <w:rPr>
                      <w:szCs w:val="21"/>
                      <w:u w:val="single"/>
                    </w:rPr>
                  </w:pPr>
                  <w:r>
                    <w:rPr>
                      <w:rFonts w:hint="eastAsia"/>
                      <w:szCs w:val="21"/>
                      <w:u w:val="single"/>
                    </w:rPr>
                    <w:t>组</w:t>
                  </w:r>
                </w:p>
              </w:tc>
              <w:tc>
                <w:tcPr>
                  <w:tcW w:w="0" w:type="auto"/>
                  <w:shd w:val="clear" w:color="auto" w:fill="auto"/>
                  <w:vAlign w:val="center"/>
                </w:tcPr>
                <w:p w14:paraId="28790FAB">
                  <w:pPr>
                    <w:adjustRightInd w:val="0"/>
                    <w:snapToGrid w:val="0"/>
                    <w:jc w:val="center"/>
                    <w:rPr>
                      <w:szCs w:val="21"/>
                      <w:u w:val="single"/>
                    </w:rPr>
                  </w:pPr>
                  <w:r>
                    <w:rPr>
                      <w:rFonts w:hint="eastAsia"/>
                      <w:szCs w:val="21"/>
                      <w:u w:val="single"/>
                    </w:rPr>
                    <w:t>2</w:t>
                  </w:r>
                </w:p>
              </w:tc>
              <w:tc>
                <w:tcPr>
                  <w:tcW w:w="579" w:type="dxa"/>
                  <w:vAlign w:val="center"/>
                </w:tcPr>
                <w:p w14:paraId="475ACB2B">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0131055F">
                  <w:pPr>
                    <w:adjustRightInd w:val="0"/>
                    <w:snapToGrid w:val="0"/>
                    <w:jc w:val="center"/>
                    <w:rPr>
                      <w:szCs w:val="21"/>
                      <w:u w:val="single"/>
                    </w:rPr>
                  </w:pPr>
                  <w:r>
                    <w:rPr>
                      <w:rFonts w:hint="eastAsia"/>
                      <w:szCs w:val="21"/>
                      <w:u w:val="single"/>
                    </w:rPr>
                    <w:t>2</w:t>
                  </w:r>
                </w:p>
              </w:tc>
              <w:tc>
                <w:tcPr>
                  <w:tcW w:w="0" w:type="auto"/>
                  <w:vMerge w:val="continue"/>
                  <w:vAlign w:val="center"/>
                </w:tcPr>
                <w:p w14:paraId="50A7AB55">
                  <w:pPr>
                    <w:adjustRightInd w:val="0"/>
                    <w:snapToGrid w:val="0"/>
                    <w:jc w:val="center"/>
                    <w:rPr>
                      <w:szCs w:val="21"/>
                      <w:u w:val="single"/>
                    </w:rPr>
                  </w:pPr>
                </w:p>
              </w:tc>
            </w:tr>
            <w:tr w14:paraId="6D677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734B5D94">
                  <w:pPr>
                    <w:adjustRightInd w:val="0"/>
                    <w:snapToGrid w:val="0"/>
                    <w:jc w:val="center"/>
                    <w:rPr>
                      <w:szCs w:val="21"/>
                      <w:u w:val="single"/>
                    </w:rPr>
                  </w:pPr>
                  <w:r>
                    <w:rPr>
                      <w:rFonts w:hint="eastAsia"/>
                      <w:szCs w:val="21"/>
                      <w:u w:val="single"/>
                    </w:rPr>
                    <w:t>6</w:t>
                  </w:r>
                </w:p>
              </w:tc>
              <w:tc>
                <w:tcPr>
                  <w:tcW w:w="0" w:type="auto"/>
                  <w:vMerge w:val="continue"/>
                  <w:vAlign w:val="center"/>
                </w:tcPr>
                <w:p w14:paraId="2D51EA28">
                  <w:pPr>
                    <w:adjustRightInd w:val="0"/>
                    <w:snapToGrid w:val="0"/>
                    <w:jc w:val="center"/>
                    <w:rPr>
                      <w:szCs w:val="21"/>
                      <w:u w:val="single"/>
                    </w:rPr>
                  </w:pPr>
                </w:p>
              </w:tc>
              <w:tc>
                <w:tcPr>
                  <w:tcW w:w="0" w:type="auto"/>
                  <w:vAlign w:val="center"/>
                </w:tcPr>
                <w:p w14:paraId="3A90CFE2">
                  <w:pPr>
                    <w:adjustRightInd w:val="0"/>
                    <w:snapToGrid w:val="0"/>
                    <w:jc w:val="center"/>
                    <w:rPr>
                      <w:szCs w:val="21"/>
                      <w:u w:val="single"/>
                    </w:rPr>
                  </w:pPr>
                  <w:r>
                    <w:rPr>
                      <w:rFonts w:hint="eastAsia"/>
                      <w:szCs w:val="21"/>
                      <w:u w:val="single"/>
                    </w:rPr>
                    <w:t>筷子包装机</w:t>
                  </w:r>
                </w:p>
              </w:tc>
              <w:tc>
                <w:tcPr>
                  <w:tcW w:w="0" w:type="auto"/>
                  <w:vAlign w:val="center"/>
                </w:tcPr>
                <w:p w14:paraId="6083D24A">
                  <w:pPr>
                    <w:adjustRightInd w:val="0"/>
                    <w:snapToGrid w:val="0"/>
                    <w:jc w:val="center"/>
                    <w:rPr>
                      <w:szCs w:val="21"/>
                      <w:u w:val="single"/>
                    </w:rPr>
                  </w:pPr>
                  <w:r>
                    <w:rPr>
                      <w:rFonts w:hint="eastAsia"/>
                      <w:szCs w:val="21"/>
                      <w:u w:val="single"/>
                    </w:rPr>
                    <w:t>台</w:t>
                  </w:r>
                </w:p>
              </w:tc>
              <w:tc>
                <w:tcPr>
                  <w:tcW w:w="0" w:type="auto"/>
                  <w:shd w:val="clear" w:color="auto" w:fill="auto"/>
                  <w:vAlign w:val="center"/>
                </w:tcPr>
                <w:p w14:paraId="3C273BC5">
                  <w:pPr>
                    <w:adjustRightInd w:val="0"/>
                    <w:snapToGrid w:val="0"/>
                    <w:jc w:val="center"/>
                    <w:rPr>
                      <w:szCs w:val="21"/>
                      <w:u w:val="single"/>
                    </w:rPr>
                  </w:pPr>
                  <w:r>
                    <w:rPr>
                      <w:rFonts w:hint="eastAsia"/>
                      <w:szCs w:val="21"/>
                      <w:u w:val="single"/>
                    </w:rPr>
                    <w:t>2</w:t>
                  </w:r>
                </w:p>
              </w:tc>
              <w:tc>
                <w:tcPr>
                  <w:tcW w:w="579" w:type="dxa"/>
                  <w:vAlign w:val="center"/>
                </w:tcPr>
                <w:p w14:paraId="482CDB11">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7BDD0798">
                  <w:pPr>
                    <w:adjustRightInd w:val="0"/>
                    <w:snapToGrid w:val="0"/>
                    <w:jc w:val="center"/>
                    <w:rPr>
                      <w:szCs w:val="21"/>
                      <w:u w:val="single"/>
                    </w:rPr>
                  </w:pPr>
                  <w:r>
                    <w:rPr>
                      <w:rFonts w:hint="eastAsia"/>
                      <w:szCs w:val="21"/>
                      <w:u w:val="single"/>
                    </w:rPr>
                    <w:t>2</w:t>
                  </w:r>
                </w:p>
              </w:tc>
              <w:tc>
                <w:tcPr>
                  <w:tcW w:w="0" w:type="auto"/>
                  <w:vMerge w:val="continue"/>
                  <w:vAlign w:val="center"/>
                </w:tcPr>
                <w:p w14:paraId="69794C0D">
                  <w:pPr>
                    <w:adjustRightInd w:val="0"/>
                    <w:snapToGrid w:val="0"/>
                    <w:jc w:val="center"/>
                    <w:rPr>
                      <w:szCs w:val="21"/>
                      <w:u w:val="single"/>
                    </w:rPr>
                  </w:pPr>
                </w:p>
              </w:tc>
            </w:tr>
            <w:tr w14:paraId="4F2A0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352896B5">
                  <w:pPr>
                    <w:adjustRightInd w:val="0"/>
                    <w:snapToGrid w:val="0"/>
                    <w:jc w:val="center"/>
                    <w:rPr>
                      <w:szCs w:val="21"/>
                      <w:u w:val="single"/>
                    </w:rPr>
                  </w:pPr>
                  <w:r>
                    <w:rPr>
                      <w:rFonts w:hint="eastAsia"/>
                      <w:szCs w:val="21"/>
                      <w:u w:val="single"/>
                    </w:rPr>
                    <w:t>7</w:t>
                  </w:r>
                </w:p>
              </w:tc>
              <w:tc>
                <w:tcPr>
                  <w:tcW w:w="0" w:type="auto"/>
                  <w:vMerge w:val="restart"/>
                  <w:vAlign w:val="center"/>
                </w:tcPr>
                <w:p w14:paraId="712A6A67">
                  <w:pPr>
                    <w:adjustRightInd w:val="0"/>
                    <w:snapToGrid w:val="0"/>
                    <w:jc w:val="center"/>
                    <w:rPr>
                      <w:szCs w:val="21"/>
                      <w:u w:val="single"/>
                    </w:rPr>
                  </w:pPr>
                  <w:r>
                    <w:rPr>
                      <w:rFonts w:hint="eastAsia"/>
                      <w:szCs w:val="21"/>
                      <w:u w:val="single"/>
                    </w:rPr>
                    <w:t>酒店布草清洗消毒生产车间</w:t>
                  </w:r>
                </w:p>
              </w:tc>
              <w:tc>
                <w:tcPr>
                  <w:tcW w:w="0" w:type="auto"/>
                  <w:vAlign w:val="center"/>
                </w:tcPr>
                <w:p w14:paraId="0340EAA8">
                  <w:pPr>
                    <w:adjustRightInd w:val="0"/>
                    <w:snapToGrid w:val="0"/>
                    <w:jc w:val="center"/>
                    <w:rPr>
                      <w:szCs w:val="21"/>
                      <w:u w:val="single"/>
                    </w:rPr>
                  </w:pPr>
                  <w:r>
                    <w:rPr>
                      <w:rFonts w:hint="eastAsia"/>
                      <w:szCs w:val="21"/>
                      <w:u w:val="single"/>
                    </w:rPr>
                    <w:t>洗水机</w:t>
                  </w:r>
                </w:p>
              </w:tc>
              <w:tc>
                <w:tcPr>
                  <w:tcW w:w="0" w:type="auto"/>
                  <w:vAlign w:val="center"/>
                </w:tcPr>
                <w:p w14:paraId="6C76DE9C">
                  <w:pPr>
                    <w:adjustRightInd w:val="0"/>
                    <w:snapToGrid w:val="0"/>
                    <w:jc w:val="center"/>
                    <w:rPr>
                      <w:szCs w:val="21"/>
                      <w:u w:val="single"/>
                    </w:rPr>
                  </w:pPr>
                  <w:r>
                    <w:rPr>
                      <w:rFonts w:hint="eastAsia"/>
                      <w:szCs w:val="21"/>
                      <w:u w:val="single"/>
                    </w:rPr>
                    <w:t>台</w:t>
                  </w:r>
                </w:p>
              </w:tc>
              <w:tc>
                <w:tcPr>
                  <w:tcW w:w="0" w:type="auto"/>
                  <w:vAlign w:val="center"/>
                </w:tcPr>
                <w:p w14:paraId="2746EDA1">
                  <w:pPr>
                    <w:adjustRightInd w:val="0"/>
                    <w:snapToGrid w:val="0"/>
                    <w:jc w:val="center"/>
                    <w:rPr>
                      <w:szCs w:val="21"/>
                      <w:u w:val="single"/>
                    </w:rPr>
                  </w:pPr>
                  <w:r>
                    <w:rPr>
                      <w:rFonts w:hint="eastAsia"/>
                      <w:szCs w:val="21"/>
                      <w:u w:val="single"/>
                    </w:rPr>
                    <w:t>6</w:t>
                  </w:r>
                </w:p>
              </w:tc>
              <w:tc>
                <w:tcPr>
                  <w:tcW w:w="579" w:type="dxa"/>
                  <w:vAlign w:val="center"/>
                </w:tcPr>
                <w:p w14:paraId="6716F3B5">
                  <w:pPr>
                    <w:adjustRightInd w:val="0"/>
                    <w:snapToGrid w:val="0"/>
                    <w:jc w:val="center"/>
                    <w:rPr>
                      <w:rFonts w:hint="eastAsia" w:eastAsia="宋体"/>
                      <w:szCs w:val="21"/>
                      <w:u w:val="single"/>
                      <w:lang w:eastAsia="zh-CN"/>
                    </w:rPr>
                  </w:pPr>
                  <w:r>
                    <w:rPr>
                      <w:rFonts w:hint="eastAsia"/>
                      <w:szCs w:val="21"/>
                      <w:u w:val="single"/>
                      <w:lang w:val="en-US" w:eastAsia="zh-CN"/>
                    </w:rPr>
                    <w:t>/</w:t>
                  </w:r>
                </w:p>
              </w:tc>
              <w:tc>
                <w:tcPr>
                  <w:tcW w:w="656" w:type="dxa"/>
                  <w:shd w:val="clear" w:color="auto" w:fill="auto"/>
                  <w:vAlign w:val="center"/>
                </w:tcPr>
                <w:p w14:paraId="769045C3">
                  <w:pPr>
                    <w:adjustRightInd w:val="0"/>
                    <w:snapToGrid w:val="0"/>
                    <w:jc w:val="center"/>
                    <w:rPr>
                      <w:rFonts w:hint="eastAsia" w:eastAsia="宋体"/>
                      <w:szCs w:val="21"/>
                      <w:u w:val="single"/>
                      <w:lang w:eastAsia="zh-CN"/>
                    </w:rPr>
                  </w:pPr>
                  <w:r>
                    <w:rPr>
                      <w:rFonts w:hint="eastAsia"/>
                      <w:szCs w:val="21"/>
                      <w:u w:val="single"/>
                      <w:lang w:val="en-US" w:eastAsia="zh-CN"/>
                    </w:rPr>
                    <w:t>4</w:t>
                  </w:r>
                </w:p>
              </w:tc>
              <w:tc>
                <w:tcPr>
                  <w:tcW w:w="0" w:type="auto"/>
                  <w:vAlign w:val="center"/>
                </w:tcPr>
                <w:p w14:paraId="17D12FF8">
                  <w:pPr>
                    <w:adjustRightInd w:val="0"/>
                    <w:snapToGrid w:val="0"/>
                    <w:jc w:val="center"/>
                    <w:rPr>
                      <w:rFonts w:hint="default" w:eastAsia="宋体"/>
                      <w:szCs w:val="21"/>
                      <w:u w:val="single"/>
                      <w:lang w:val="en-US" w:eastAsia="zh-CN"/>
                    </w:rPr>
                  </w:pPr>
                  <w:r>
                    <w:rPr>
                      <w:rFonts w:hint="eastAsia"/>
                      <w:szCs w:val="21"/>
                      <w:u w:val="single"/>
                      <w:lang w:eastAsia="zh-CN"/>
                    </w:rPr>
                    <w:t>有</w:t>
                  </w:r>
                  <w:r>
                    <w:rPr>
                      <w:rFonts w:hint="eastAsia"/>
                      <w:szCs w:val="21"/>
                      <w:u w:val="single"/>
                      <w:lang w:val="en-US" w:eastAsia="zh-CN"/>
                    </w:rPr>
                    <w:t>2台不能用，已淘汰</w:t>
                  </w:r>
                </w:p>
              </w:tc>
            </w:tr>
            <w:tr w14:paraId="7859E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1A51BC6F">
                  <w:pPr>
                    <w:adjustRightInd w:val="0"/>
                    <w:snapToGrid w:val="0"/>
                    <w:jc w:val="center"/>
                    <w:rPr>
                      <w:szCs w:val="21"/>
                      <w:u w:val="single"/>
                    </w:rPr>
                  </w:pPr>
                  <w:r>
                    <w:rPr>
                      <w:rFonts w:hint="eastAsia"/>
                      <w:szCs w:val="21"/>
                      <w:u w:val="single"/>
                    </w:rPr>
                    <w:t>8</w:t>
                  </w:r>
                </w:p>
              </w:tc>
              <w:tc>
                <w:tcPr>
                  <w:tcW w:w="0" w:type="auto"/>
                  <w:vMerge w:val="continue"/>
                  <w:vAlign w:val="center"/>
                </w:tcPr>
                <w:p w14:paraId="4CB6A924">
                  <w:pPr>
                    <w:adjustRightInd w:val="0"/>
                    <w:snapToGrid w:val="0"/>
                    <w:jc w:val="center"/>
                    <w:rPr>
                      <w:szCs w:val="21"/>
                      <w:u w:val="single"/>
                    </w:rPr>
                  </w:pPr>
                </w:p>
              </w:tc>
              <w:tc>
                <w:tcPr>
                  <w:tcW w:w="0" w:type="auto"/>
                  <w:vAlign w:val="center"/>
                </w:tcPr>
                <w:p w14:paraId="1683BA79">
                  <w:pPr>
                    <w:adjustRightInd w:val="0"/>
                    <w:snapToGrid w:val="0"/>
                    <w:jc w:val="center"/>
                    <w:rPr>
                      <w:szCs w:val="21"/>
                      <w:u w:val="single"/>
                    </w:rPr>
                  </w:pPr>
                  <w:r>
                    <w:rPr>
                      <w:rFonts w:hint="eastAsia"/>
                      <w:szCs w:val="21"/>
                      <w:u w:val="single"/>
                    </w:rPr>
                    <w:t>烘干机</w:t>
                  </w:r>
                </w:p>
              </w:tc>
              <w:tc>
                <w:tcPr>
                  <w:tcW w:w="0" w:type="auto"/>
                  <w:vAlign w:val="center"/>
                </w:tcPr>
                <w:p w14:paraId="5695791D">
                  <w:pPr>
                    <w:adjustRightInd w:val="0"/>
                    <w:snapToGrid w:val="0"/>
                    <w:jc w:val="center"/>
                    <w:rPr>
                      <w:szCs w:val="21"/>
                      <w:u w:val="single"/>
                    </w:rPr>
                  </w:pPr>
                  <w:r>
                    <w:rPr>
                      <w:rFonts w:hint="eastAsia"/>
                      <w:szCs w:val="21"/>
                      <w:u w:val="single"/>
                    </w:rPr>
                    <w:t>台</w:t>
                  </w:r>
                </w:p>
              </w:tc>
              <w:tc>
                <w:tcPr>
                  <w:tcW w:w="0" w:type="auto"/>
                  <w:vAlign w:val="center"/>
                </w:tcPr>
                <w:p w14:paraId="3F54407A">
                  <w:pPr>
                    <w:adjustRightInd w:val="0"/>
                    <w:snapToGrid w:val="0"/>
                    <w:jc w:val="center"/>
                    <w:rPr>
                      <w:szCs w:val="21"/>
                      <w:u w:val="single"/>
                    </w:rPr>
                  </w:pPr>
                  <w:r>
                    <w:rPr>
                      <w:rFonts w:hint="eastAsia"/>
                      <w:szCs w:val="21"/>
                      <w:u w:val="single"/>
                    </w:rPr>
                    <w:t>5</w:t>
                  </w:r>
                </w:p>
              </w:tc>
              <w:tc>
                <w:tcPr>
                  <w:tcW w:w="579" w:type="dxa"/>
                  <w:vAlign w:val="center"/>
                </w:tcPr>
                <w:p w14:paraId="1E3A543A">
                  <w:pPr>
                    <w:adjustRightInd w:val="0"/>
                    <w:snapToGrid w:val="0"/>
                    <w:jc w:val="center"/>
                    <w:rPr>
                      <w:rFonts w:hint="eastAsia" w:eastAsia="宋体"/>
                      <w:szCs w:val="21"/>
                      <w:u w:val="single"/>
                      <w:lang w:eastAsia="zh-CN"/>
                    </w:rPr>
                  </w:pPr>
                  <w:r>
                    <w:rPr>
                      <w:rFonts w:hint="eastAsia"/>
                      <w:szCs w:val="21"/>
                      <w:u w:val="single"/>
                      <w:lang w:val="en-US" w:eastAsia="zh-CN"/>
                    </w:rPr>
                    <w:t>5</w:t>
                  </w:r>
                </w:p>
              </w:tc>
              <w:tc>
                <w:tcPr>
                  <w:tcW w:w="656" w:type="dxa"/>
                  <w:shd w:val="clear" w:color="auto" w:fill="auto"/>
                  <w:vAlign w:val="center"/>
                </w:tcPr>
                <w:p w14:paraId="3EBDE89F">
                  <w:pPr>
                    <w:adjustRightInd w:val="0"/>
                    <w:snapToGrid w:val="0"/>
                    <w:jc w:val="center"/>
                    <w:rPr>
                      <w:rFonts w:hint="default" w:eastAsia="宋体"/>
                      <w:szCs w:val="21"/>
                      <w:u w:val="single"/>
                      <w:lang w:val="en-US" w:eastAsia="zh-CN"/>
                    </w:rPr>
                  </w:pPr>
                  <w:r>
                    <w:rPr>
                      <w:rFonts w:hint="eastAsia"/>
                      <w:szCs w:val="21"/>
                      <w:u w:val="single"/>
                      <w:lang w:val="en-US" w:eastAsia="zh-CN"/>
                    </w:rPr>
                    <w:t>10</w:t>
                  </w:r>
                </w:p>
              </w:tc>
              <w:tc>
                <w:tcPr>
                  <w:tcW w:w="0" w:type="auto"/>
                  <w:vAlign w:val="center"/>
                </w:tcPr>
                <w:p w14:paraId="1691F468">
                  <w:pPr>
                    <w:adjustRightInd w:val="0"/>
                    <w:snapToGrid w:val="0"/>
                    <w:jc w:val="center"/>
                    <w:rPr>
                      <w:szCs w:val="21"/>
                      <w:u w:val="single"/>
                    </w:rPr>
                  </w:pPr>
                  <w:r>
                    <w:rPr>
                      <w:rFonts w:hint="eastAsia"/>
                      <w:szCs w:val="21"/>
                      <w:u w:val="single"/>
                    </w:rPr>
                    <w:t>新增</w:t>
                  </w:r>
                  <w:r>
                    <w:rPr>
                      <w:rFonts w:hint="eastAsia"/>
                      <w:szCs w:val="21"/>
                      <w:u w:val="single"/>
                      <w:lang w:val="en-US" w:eastAsia="zh-CN"/>
                    </w:rPr>
                    <w:t>5</w:t>
                  </w:r>
                  <w:r>
                    <w:rPr>
                      <w:rFonts w:hint="eastAsia"/>
                      <w:szCs w:val="21"/>
                      <w:u w:val="single"/>
                    </w:rPr>
                    <w:t>台</w:t>
                  </w:r>
                </w:p>
              </w:tc>
            </w:tr>
            <w:tr w14:paraId="6BEC5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C40768A">
                  <w:pPr>
                    <w:adjustRightInd w:val="0"/>
                    <w:snapToGrid w:val="0"/>
                    <w:jc w:val="center"/>
                    <w:rPr>
                      <w:szCs w:val="21"/>
                      <w:u w:val="single"/>
                    </w:rPr>
                  </w:pPr>
                  <w:r>
                    <w:rPr>
                      <w:rFonts w:hint="eastAsia"/>
                      <w:szCs w:val="21"/>
                      <w:u w:val="single"/>
                    </w:rPr>
                    <w:t>9</w:t>
                  </w:r>
                </w:p>
              </w:tc>
              <w:tc>
                <w:tcPr>
                  <w:tcW w:w="0" w:type="auto"/>
                  <w:vMerge w:val="continue"/>
                  <w:vAlign w:val="center"/>
                </w:tcPr>
                <w:p w14:paraId="40105470">
                  <w:pPr>
                    <w:adjustRightInd w:val="0"/>
                    <w:snapToGrid w:val="0"/>
                    <w:jc w:val="center"/>
                    <w:rPr>
                      <w:szCs w:val="21"/>
                      <w:u w:val="single"/>
                    </w:rPr>
                  </w:pPr>
                </w:p>
              </w:tc>
              <w:tc>
                <w:tcPr>
                  <w:tcW w:w="0" w:type="auto"/>
                  <w:vAlign w:val="center"/>
                </w:tcPr>
                <w:p w14:paraId="4D843164">
                  <w:pPr>
                    <w:adjustRightInd w:val="0"/>
                    <w:snapToGrid w:val="0"/>
                    <w:jc w:val="center"/>
                    <w:rPr>
                      <w:szCs w:val="21"/>
                      <w:u w:val="single"/>
                    </w:rPr>
                  </w:pPr>
                  <w:r>
                    <w:rPr>
                      <w:rFonts w:hint="eastAsia"/>
                      <w:szCs w:val="21"/>
                      <w:u w:val="single"/>
                    </w:rPr>
                    <w:t>毛巾卷包机</w:t>
                  </w:r>
                </w:p>
              </w:tc>
              <w:tc>
                <w:tcPr>
                  <w:tcW w:w="0" w:type="auto"/>
                  <w:vAlign w:val="center"/>
                </w:tcPr>
                <w:p w14:paraId="6367A7F6">
                  <w:pPr>
                    <w:adjustRightInd w:val="0"/>
                    <w:snapToGrid w:val="0"/>
                    <w:jc w:val="center"/>
                    <w:rPr>
                      <w:szCs w:val="21"/>
                      <w:u w:val="single"/>
                    </w:rPr>
                  </w:pPr>
                  <w:r>
                    <w:rPr>
                      <w:rFonts w:hint="eastAsia"/>
                      <w:szCs w:val="21"/>
                      <w:u w:val="single"/>
                    </w:rPr>
                    <w:t>台</w:t>
                  </w:r>
                </w:p>
              </w:tc>
              <w:tc>
                <w:tcPr>
                  <w:tcW w:w="0" w:type="auto"/>
                  <w:vAlign w:val="center"/>
                </w:tcPr>
                <w:p w14:paraId="1AA37205">
                  <w:pPr>
                    <w:adjustRightInd w:val="0"/>
                    <w:snapToGrid w:val="0"/>
                    <w:jc w:val="center"/>
                    <w:rPr>
                      <w:szCs w:val="21"/>
                      <w:u w:val="single"/>
                    </w:rPr>
                  </w:pPr>
                  <w:r>
                    <w:rPr>
                      <w:rFonts w:hint="eastAsia"/>
                      <w:szCs w:val="21"/>
                      <w:u w:val="single"/>
                    </w:rPr>
                    <w:t>/</w:t>
                  </w:r>
                </w:p>
              </w:tc>
              <w:tc>
                <w:tcPr>
                  <w:tcW w:w="579" w:type="dxa"/>
                  <w:vAlign w:val="center"/>
                </w:tcPr>
                <w:p w14:paraId="0B59E1A4">
                  <w:pPr>
                    <w:adjustRightInd w:val="0"/>
                    <w:snapToGrid w:val="0"/>
                    <w:jc w:val="center"/>
                    <w:rPr>
                      <w:rFonts w:hint="eastAsia" w:eastAsia="宋体"/>
                      <w:szCs w:val="21"/>
                      <w:u w:val="single"/>
                      <w:lang w:eastAsia="zh-CN"/>
                    </w:rPr>
                  </w:pPr>
                  <w:r>
                    <w:rPr>
                      <w:rFonts w:hint="eastAsia"/>
                      <w:szCs w:val="21"/>
                      <w:u w:val="single"/>
                      <w:lang w:val="en-US" w:eastAsia="zh-CN"/>
                    </w:rPr>
                    <w:t>1</w:t>
                  </w:r>
                </w:p>
              </w:tc>
              <w:tc>
                <w:tcPr>
                  <w:tcW w:w="656" w:type="dxa"/>
                  <w:shd w:val="clear" w:color="auto" w:fill="auto"/>
                  <w:vAlign w:val="center"/>
                </w:tcPr>
                <w:p w14:paraId="1232106C">
                  <w:pPr>
                    <w:adjustRightInd w:val="0"/>
                    <w:snapToGrid w:val="0"/>
                    <w:jc w:val="center"/>
                    <w:rPr>
                      <w:rFonts w:hint="eastAsia" w:eastAsia="宋体"/>
                      <w:szCs w:val="21"/>
                      <w:u w:val="single"/>
                      <w:lang w:eastAsia="zh-CN"/>
                    </w:rPr>
                  </w:pPr>
                  <w:r>
                    <w:rPr>
                      <w:rFonts w:hint="eastAsia"/>
                      <w:szCs w:val="21"/>
                      <w:u w:val="single"/>
                      <w:lang w:val="en-US" w:eastAsia="zh-CN"/>
                    </w:rPr>
                    <w:t>1</w:t>
                  </w:r>
                </w:p>
              </w:tc>
              <w:tc>
                <w:tcPr>
                  <w:tcW w:w="0" w:type="auto"/>
                  <w:vAlign w:val="center"/>
                </w:tcPr>
                <w:p w14:paraId="25ACA96C">
                  <w:pPr>
                    <w:adjustRightInd w:val="0"/>
                    <w:snapToGrid w:val="0"/>
                    <w:jc w:val="center"/>
                    <w:rPr>
                      <w:szCs w:val="21"/>
                      <w:u w:val="single"/>
                    </w:rPr>
                  </w:pPr>
                  <w:r>
                    <w:rPr>
                      <w:rFonts w:hint="eastAsia"/>
                      <w:szCs w:val="21"/>
                      <w:u w:val="single"/>
                    </w:rPr>
                    <w:t>新增1台</w:t>
                  </w:r>
                </w:p>
              </w:tc>
            </w:tr>
            <w:tr w14:paraId="30A25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640BF154">
                  <w:pPr>
                    <w:adjustRightInd w:val="0"/>
                    <w:snapToGrid w:val="0"/>
                    <w:jc w:val="center"/>
                    <w:rPr>
                      <w:szCs w:val="21"/>
                      <w:u w:val="single"/>
                    </w:rPr>
                  </w:pPr>
                  <w:r>
                    <w:rPr>
                      <w:rFonts w:hint="eastAsia"/>
                      <w:szCs w:val="21"/>
                      <w:u w:val="single"/>
                    </w:rPr>
                    <w:t>10</w:t>
                  </w:r>
                </w:p>
              </w:tc>
              <w:tc>
                <w:tcPr>
                  <w:tcW w:w="0" w:type="auto"/>
                  <w:vMerge w:val="continue"/>
                  <w:vAlign w:val="center"/>
                </w:tcPr>
                <w:p w14:paraId="39361016">
                  <w:pPr>
                    <w:adjustRightInd w:val="0"/>
                    <w:snapToGrid w:val="0"/>
                    <w:jc w:val="center"/>
                    <w:rPr>
                      <w:szCs w:val="21"/>
                      <w:u w:val="single"/>
                    </w:rPr>
                  </w:pPr>
                </w:p>
              </w:tc>
              <w:tc>
                <w:tcPr>
                  <w:tcW w:w="0" w:type="auto"/>
                  <w:vAlign w:val="center"/>
                </w:tcPr>
                <w:p w14:paraId="6A13FD66">
                  <w:pPr>
                    <w:adjustRightInd w:val="0"/>
                    <w:snapToGrid w:val="0"/>
                    <w:jc w:val="center"/>
                    <w:rPr>
                      <w:szCs w:val="21"/>
                      <w:u w:val="single"/>
                    </w:rPr>
                  </w:pPr>
                  <w:r>
                    <w:rPr>
                      <w:rFonts w:hint="eastAsia"/>
                      <w:szCs w:val="21"/>
                      <w:u w:val="single"/>
                    </w:rPr>
                    <w:t>烫平机</w:t>
                  </w:r>
                </w:p>
              </w:tc>
              <w:tc>
                <w:tcPr>
                  <w:tcW w:w="0" w:type="auto"/>
                  <w:vAlign w:val="center"/>
                </w:tcPr>
                <w:p w14:paraId="1BED10FE">
                  <w:pPr>
                    <w:adjustRightInd w:val="0"/>
                    <w:snapToGrid w:val="0"/>
                    <w:jc w:val="center"/>
                    <w:rPr>
                      <w:szCs w:val="21"/>
                      <w:u w:val="single"/>
                    </w:rPr>
                  </w:pPr>
                  <w:r>
                    <w:rPr>
                      <w:rFonts w:hint="eastAsia"/>
                      <w:szCs w:val="21"/>
                      <w:u w:val="single"/>
                    </w:rPr>
                    <w:t>台</w:t>
                  </w:r>
                </w:p>
              </w:tc>
              <w:tc>
                <w:tcPr>
                  <w:tcW w:w="0" w:type="auto"/>
                  <w:vAlign w:val="center"/>
                </w:tcPr>
                <w:p w14:paraId="70B19911">
                  <w:pPr>
                    <w:adjustRightInd w:val="0"/>
                    <w:snapToGrid w:val="0"/>
                    <w:jc w:val="center"/>
                    <w:rPr>
                      <w:szCs w:val="21"/>
                      <w:u w:val="single"/>
                    </w:rPr>
                  </w:pPr>
                  <w:r>
                    <w:rPr>
                      <w:rFonts w:hint="eastAsia"/>
                      <w:szCs w:val="21"/>
                      <w:u w:val="single"/>
                    </w:rPr>
                    <w:t>2</w:t>
                  </w:r>
                </w:p>
              </w:tc>
              <w:tc>
                <w:tcPr>
                  <w:tcW w:w="579" w:type="dxa"/>
                  <w:vAlign w:val="center"/>
                </w:tcPr>
                <w:p w14:paraId="684A153D">
                  <w:pPr>
                    <w:adjustRightInd w:val="0"/>
                    <w:snapToGrid w:val="0"/>
                    <w:jc w:val="center"/>
                    <w:rPr>
                      <w:rFonts w:hint="eastAsia" w:eastAsia="宋体"/>
                      <w:szCs w:val="21"/>
                      <w:u w:val="single"/>
                      <w:lang w:eastAsia="zh-CN"/>
                    </w:rPr>
                  </w:pPr>
                  <w:r>
                    <w:rPr>
                      <w:rFonts w:hint="eastAsia"/>
                      <w:szCs w:val="21"/>
                      <w:u w:val="single"/>
                      <w:lang w:val="en-US" w:eastAsia="zh-CN"/>
                    </w:rPr>
                    <w:t>0</w:t>
                  </w:r>
                </w:p>
              </w:tc>
              <w:tc>
                <w:tcPr>
                  <w:tcW w:w="656" w:type="dxa"/>
                  <w:shd w:val="clear" w:color="auto" w:fill="auto"/>
                  <w:vAlign w:val="center"/>
                </w:tcPr>
                <w:p w14:paraId="7D1DACEF">
                  <w:pPr>
                    <w:adjustRightInd w:val="0"/>
                    <w:snapToGrid w:val="0"/>
                    <w:jc w:val="center"/>
                    <w:rPr>
                      <w:rFonts w:hint="eastAsia" w:eastAsia="宋体"/>
                      <w:szCs w:val="21"/>
                      <w:u w:val="single"/>
                      <w:lang w:eastAsia="zh-CN"/>
                    </w:rPr>
                  </w:pPr>
                  <w:r>
                    <w:rPr>
                      <w:rFonts w:hint="eastAsia"/>
                      <w:szCs w:val="21"/>
                      <w:u w:val="single"/>
                      <w:lang w:val="en-US" w:eastAsia="zh-CN"/>
                    </w:rPr>
                    <w:t>2</w:t>
                  </w:r>
                </w:p>
              </w:tc>
              <w:tc>
                <w:tcPr>
                  <w:tcW w:w="0" w:type="auto"/>
                  <w:vAlign w:val="center"/>
                </w:tcPr>
                <w:p w14:paraId="76803C9D">
                  <w:pPr>
                    <w:adjustRightInd w:val="0"/>
                    <w:snapToGrid w:val="0"/>
                    <w:jc w:val="center"/>
                    <w:rPr>
                      <w:szCs w:val="21"/>
                      <w:u w:val="single"/>
                    </w:rPr>
                  </w:pPr>
                  <w:r>
                    <w:rPr>
                      <w:rFonts w:hint="eastAsia"/>
                      <w:szCs w:val="21"/>
                      <w:u w:val="single"/>
                    </w:rPr>
                    <w:t>新增1台</w:t>
                  </w:r>
                </w:p>
              </w:tc>
            </w:tr>
            <w:tr w14:paraId="41C7B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5E6B9C63">
                  <w:pPr>
                    <w:adjustRightInd w:val="0"/>
                    <w:snapToGrid w:val="0"/>
                    <w:jc w:val="center"/>
                    <w:rPr>
                      <w:szCs w:val="21"/>
                      <w:u w:val="single"/>
                    </w:rPr>
                  </w:pPr>
                </w:p>
              </w:tc>
              <w:tc>
                <w:tcPr>
                  <w:tcW w:w="0" w:type="auto"/>
                  <w:vMerge w:val="continue"/>
                  <w:vAlign w:val="center"/>
                </w:tcPr>
                <w:p w14:paraId="615B7833">
                  <w:pPr>
                    <w:adjustRightInd w:val="0"/>
                    <w:snapToGrid w:val="0"/>
                    <w:jc w:val="center"/>
                    <w:rPr>
                      <w:szCs w:val="21"/>
                      <w:u w:val="single"/>
                    </w:rPr>
                  </w:pPr>
                </w:p>
              </w:tc>
              <w:tc>
                <w:tcPr>
                  <w:tcW w:w="0" w:type="auto"/>
                  <w:vAlign w:val="center"/>
                </w:tcPr>
                <w:p w14:paraId="0D1F2E7F">
                  <w:pPr>
                    <w:adjustRightInd w:val="0"/>
                    <w:snapToGrid w:val="0"/>
                    <w:jc w:val="center"/>
                    <w:rPr>
                      <w:szCs w:val="21"/>
                      <w:u w:val="single"/>
                    </w:rPr>
                  </w:pPr>
                  <w:r>
                    <w:rPr>
                      <w:rFonts w:hint="eastAsia"/>
                      <w:szCs w:val="21"/>
                      <w:u w:val="single"/>
                    </w:rPr>
                    <w:t>槽烫烫平机</w:t>
                  </w:r>
                </w:p>
              </w:tc>
              <w:tc>
                <w:tcPr>
                  <w:tcW w:w="0" w:type="auto"/>
                  <w:vAlign w:val="center"/>
                </w:tcPr>
                <w:p w14:paraId="00477C2E">
                  <w:pPr>
                    <w:adjustRightInd w:val="0"/>
                    <w:snapToGrid w:val="0"/>
                    <w:jc w:val="center"/>
                    <w:rPr>
                      <w:szCs w:val="21"/>
                      <w:u w:val="single"/>
                    </w:rPr>
                  </w:pPr>
                  <w:r>
                    <w:rPr>
                      <w:rFonts w:hint="eastAsia"/>
                      <w:szCs w:val="21"/>
                      <w:u w:val="single"/>
                    </w:rPr>
                    <w:t>台</w:t>
                  </w:r>
                </w:p>
              </w:tc>
              <w:tc>
                <w:tcPr>
                  <w:tcW w:w="0" w:type="auto"/>
                  <w:vAlign w:val="center"/>
                </w:tcPr>
                <w:p w14:paraId="5173B379">
                  <w:pPr>
                    <w:adjustRightInd w:val="0"/>
                    <w:snapToGrid w:val="0"/>
                    <w:jc w:val="center"/>
                    <w:rPr>
                      <w:szCs w:val="21"/>
                      <w:u w:val="single"/>
                    </w:rPr>
                  </w:pPr>
                  <w:r>
                    <w:rPr>
                      <w:rFonts w:hint="eastAsia"/>
                      <w:szCs w:val="21"/>
                      <w:u w:val="single"/>
                    </w:rPr>
                    <w:t>/</w:t>
                  </w:r>
                </w:p>
              </w:tc>
              <w:tc>
                <w:tcPr>
                  <w:tcW w:w="579" w:type="dxa"/>
                  <w:vAlign w:val="center"/>
                </w:tcPr>
                <w:p w14:paraId="5EB8FCBA">
                  <w:pPr>
                    <w:adjustRightInd w:val="0"/>
                    <w:snapToGrid w:val="0"/>
                    <w:jc w:val="center"/>
                    <w:rPr>
                      <w:szCs w:val="21"/>
                      <w:u w:val="single"/>
                    </w:rPr>
                  </w:pPr>
                  <w:r>
                    <w:rPr>
                      <w:rFonts w:hint="eastAsia"/>
                      <w:szCs w:val="21"/>
                      <w:u w:val="single"/>
                    </w:rPr>
                    <w:t>1</w:t>
                  </w:r>
                </w:p>
              </w:tc>
              <w:tc>
                <w:tcPr>
                  <w:tcW w:w="656" w:type="dxa"/>
                  <w:shd w:val="clear" w:color="auto" w:fill="auto"/>
                  <w:vAlign w:val="center"/>
                </w:tcPr>
                <w:p w14:paraId="79C456A4">
                  <w:pPr>
                    <w:adjustRightInd w:val="0"/>
                    <w:snapToGrid w:val="0"/>
                    <w:jc w:val="center"/>
                    <w:rPr>
                      <w:szCs w:val="21"/>
                      <w:u w:val="single"/>
                    </w:rPr>
                  </w:pPr>
                  <w:r>
                    <w:rPr>
                      <w:rFonts w:hint="eastAsia"/>
                      <w:szCs w:val="21"/>
                      <w:u w:val="single"/>
                    </w:rPr>
                    <w:t>1</w:t>
                  </w:r>
                </w:p>
              </w:tc>
              <w:tc>
                <w:tcPr>
                  <w:tcW w:w="0" w:type="auto"/>
                  <w:vAlign w:val="center"/>
                </w:tcPr>
                <w:p w14:paraId="7C3CC111">
                  <w:pPr>
                    <w:adjustRightInd w:val="0"/>
                    <w:snapToGrid w:val="0"/>
                    <w:jc w:val="center"/>
                    <w:rPr>
                      <w:szCs w:val="21"/>
                      <w:u w:val="single"/>
                    </w:rPr>
                  </w:pPr>
                  <w:r>
                    <w:rPr>
                      <w:rFonts w:hint="eastAsia"/>
                      <w:szCs w:val="21"/>
                      <w:u w:val="single"/>
                    </w:rPr>
                    <w:t>新增</w:t>
                  </w:r>
                </w:p>
              </w:tc>
            </w:tr>
            <w:tr w14:paraId="06188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557AD5D">
                  <w:pPr>
                    <w:adjustRightInd w:val="0"/>
                    <w:snapToGrid w:val="0"/>
                    <w:jc w:val="center"/>
                    <w:rPr>
                      <w:szCs w:val="21"/>
                      <w:u w:val="single"/>
                    </w:rPr>
                  </w:pPr>
                  <w:r>
                    <w:rPr>
                      <w:rFonts w:hint="eastAsia"/>
                      <w:szCs w:val="21"/>
                      <w:u w:val="single"/>
                    </w:rPr>
                    <w:t>11</w:t>
                  </w:r>
                </w:p>
              </w:tc>
              <w:tc>
                <w:tcPr>
                  <w:tcW w:w="0" w:type="auto"/>
                  <w:vMerge w:val="continue"/>
                  <w:vAlign w:val="center"/>
                </w:tcPr>
                <w:p w14:paraId="2FA29729">
                  <w:pPr>
                    <w:adjustRightInd w:val="0"/>
                    <w:snapToGrid w:val="0"/>
                    <w:jc w:val="center"/>
                    <w:rPr>
                      <w:szCs w:val="21"/>
                      <w:u w:val="single"/>
                    </w:rPr>
                  </w:pPr>
                </w:p>
              </w:tc>
              <w:tc>
                <w:tcPr>
                  <w:tcW w:w="0" w:type="auto"/>
                  <w:vAlign w:val="center"/>
                </w:tcPr>
                <w:p w14:paraId="0B8DD996">
                  <w:pPr>
                    <w:adjustRightInd w:val="0"/>
                    <w:snapToGrid w:val="0"/>
                    <w:jc w:val="center"/>
                    <w:rPr>
                      <w:szCs w:val="21"/>
                      <w:u w:val="single"/>
                    </w:rPr>
                  </w:pPr>
                  <w:r>
                    <w:rPr>
                      <w:rFonts w:hint="eastAsia"/>
                      <w:szCs w:val="21"/>
                      <w:u w:val="single"/>
                    </w:rPr>
                    <w:t>隧道式连续洗涤机（含压榨脱水机、皮带称重运输送机、提升机、中央集成控制系统、贯穿式打散机）</w:t>
                  </w:r>
                </w:p>
              </w:tc>
              <w:tc>
                <w:tcPr>
                  <w:tcW w:w="0" w:type="auto"/>
                  <w:vAlign w:val="center"/>
                </w:tcPr>
                <w:p w14:paraId="5BE1133A">
                  <w:pPr>
                    <w:adjustRightInd w:val="0"/>
                    <w:snapToGrid w:val="0"/>
                    <w:jc w:val="center"/>
                    <w:rPr>
                      <w:szCs w:val="21"/>
                      <w:u w:val="single"/>
                    </w:rPr>
                  </w:pPr>
                  <w:r>
                    <w:rPr>
                      <w:rFonts w:hint="eastAsia"/>
                      <w:szCs w:val="21"/>
                      <w:u w:val="single"/>
                    </w:rPr>
                    <w:t>套</w:t>
                  </w:r>
                </w:p>
              </w:tc>
              <w:tc>
                <w:tcPr>
                  <w:tcW w:w="0" w:type="auto"/>
                  <w:vAlign w:val="center"/>
                </w:tcPr>
                <w:p w14:paraId="64AB79B3">
                  <w:pPr>
                    <w:adjustRightInd w:val="0"/>
                    <w:snapToGrid w:val="0"/>
                    <w:jc w:val="center"/>
                    <w:rPr>
                      <w:szCs w:val="21"/>
                      <w:u w:val="single"/>
                    </w:rPr>
                  </w:pPr>
                  <w:r>
                    <w:rPr>
                      <w:rFonts w:hint="eastAsia"/>
                      <w:szCs w:val="21"/>
                      <w:u w:val="single"/>
                    </w:rPr>
                    <w:t>/</w:t>
                  </w:r>
                </w:p>
              </w:tc>
              <w:tc>
                <w:tcPr>
                  <w:tcW w:w="579" w:type="dxa"/>
                  <w:vAlign w:val="center"/>
                </w:tcPr>
                <w:p w14:paraId="2168BBDE">
                  <w:pPr>
                    <w:adjustRightInd w:val="0"/>
                    <w:snapToGrid w:val="0"/>
                    <w:jc w:val="center"/>
                    <w:rPr>
                      <w:rFonts w:hint="eastAsia" w:eastAsia="宋体"/>
                      <w:szCs w:val="21"/>
                      <w:u w:val="single"/>
                      <w:lang w:eastAsia="zh-CN"/>
                    </w:rPr>
                  </w:pPr>
                  <w:r>
                    <w:rPr>
                      <w:rFonts w:hint="eastAsia"/>
                      <w:szCs w:val="21"/>
                      <w:u w:val="single"/>
                      <w:lang w:val="en-US" w:eastAsia="zh-CN"/>
                    </w:rPr>
                    <w:t>1</w:t>
                  </w:r>
                </w:p>
              </w:tc>
              <w:tc>
                <w:tcPr>
                  <w:tcW w:w="656" w:type="dxa"/>
                  <w:shd w:val="clear" w:color="auto" w:fill="auto"/>
                  <w:vAlign w:val="center"/>
                </w:tcPr>
                <w:p w14:paraId="49FC0672">
                  <w:pPr>
                    <w:adjustRightInd w:val="0"/>
                    <w:snapToGrid w:val="0"/>
                    <w:jc w:val="center"/>
                    <w:rPr>
                      <w:rFonts w:hint="eastAsia" w:eastAsia="宋体"/>
                      <w:szCs w:val="21"/>
                      <w:u w:val="single"/>
                      <w:lang w:eastAsia="zh-CN"/>
                    </w:rPr>
                  </w:pPr>
                  <w:r>
                    <w:rPr>
                      <w:rFonts w:hint="eastAsia"/>
                      <w:szCs w:val="21"/>
                      <w:u w:val="single"/>
                      <w:lang w:val="en-US" w:eastAsia="zh-CN"/>
                    </w:rPr>
                    <w:t>1</w:t>
                  </w:r>
                </w:p>
              </w:tc>
              <w:tc>
                <w:tcPr>
                  <w:tcW w:w="0" w:type="auto"/>
                  <w:vAlign w:val="center"/>
                </w:tcPr>
                <w:p w14:paraId="6490123D">
                  <w:pPr>
                    <w:adjustRightInd w:val="0"/>
                    <w:snapToGrid w:val="0"/>
                    <w:jc w:val="center"/>
                    <w:rPr>
                      <w:szCs w:val="21"/>
                      <w:u w:val="single"/>
                    </w:rPr>
                  </w:pPr>
                  <w:r>
                    <w:rPr>
                      <w:rFonts w:hint="eastAsia"/>
                      <w:szCs w:val="21"/>
                      <w:u w:val="single"/>
                    </w:rPr>
                    <w:t>新增</w:t>
                  </w:r>
                </w:p>
              </w:tc>
            </w:tr>
            <w:tr w14:paraId="59985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6DAE0C07">
                  <w:pPr>
                    <w:adjustRightInd w:val="0"/>
                    <w:snapToGrid w:val="0"/>
                    <w:jc w:val="center"/>
                    <w:rPr>
                      <w:szCs w:val="21"/>
                      <w:u w:val="single"/>
                    </w:rPr>
                  </w:pPr>
                  <w:r>
                    <w:rPr>
                      <w:rFonts w:hint="eastAsia"/>
                      <w:szCs w:val="21"/>
                      <w:u w:val="single"/>
                    </w:rPr>
                    <w:t>13</w:t>
                  </w:r>
                </w:p>
              </w:tc>
              <w:tc>
                <w:tcPr>
                  <w:tcW w:w="0" w:type="auto"/>
                  <w:vMerge w:val="continue"/>
                  <w:vAlign w:val="center"/>
                </w:tcPr>
                <w:p w14:paraId="49105B1C">
                  <w:pPr>
                    <w:adjustRightInd w:val="0"/>
                    <w:snapToGrid w:val="0"/>
                    <w:jc w:val="center"/>
                    <w:rPr>
                      <w:szCs w:val="21"/>
                      <w:u w:val="single"/>
                    </w:rPr>
                  </w:pPr>
                </w:p>
              </w:tc>
              <w:tc>
                <w:tcPr>
                  <w:tcW w:w="0" w:type="auto"/>
                  <w:vAlign w:val="center"/>
                </w:tcPr>
                <w:p w14:paraId="138410AD">
                  <w:pPr>
                    <w:adjustRightInd w:val="0"/>
                    <w:snapToGrid w:val="0"/>
                    <w:jc w:val="center"/>
                    <w:rPr>
                      <w:szCs w:val="21"/>
                      <w:u w:val="single"/>
                    </w:rPr>
                  </w:pPr>
                  <w:r>
                    <w:rPr>
                      <w:rFonts w:hint="eastAsia"/>
                      <w:szCs w:val="21"/>
                      <w:u w:val="single"/>
                    </w:rPr>
                    <w:t>捆扎机</w:t>
                  </w:r>
                </w:p>
              </w:tc>
              <w:tc>
                <w:tcPr>
                  <w:tcW w:w="0" w:type="auto"/>
                  <w:vAlign w:val="center"/>
                </w:tcPr>
                <w:p w14:paraId="4C80659C">
                  <w:pPr>
                    <w:adjustRightInd w:val="0"/>
                    <w:snapToGrid w:val="0"/>
                    <w:jc w:val="center"/>
                    <w:rPr>
                      <w:szCs w:val="21"/>
                      <w:u w:val="single"/>
                    </w:rPr>
                  </w:pPr>
                  <w:r>
                    <w:rPr>
                      <w:rFonts w:hint="eastAsia"/>
                      <w:szCs w:val="21"/>
                      <w:u w:val="single"/>
                    </w:rPr>
                    <w:t>台</w:t>
                  </w:r>
                </w:p>
              </w:tc>
              <w:tc>
                <w:tcPr>
                  <w:tcW w:w="0" w:type="auto"/>
                  <w:shd w:val="clear" w:color="auto" w:fill="auto"/>
                  <w:vAlign w:val="center"/>
                </w:tcPr>
                <w:p w14:paraId="74C6E451">
                  <w:pPr>
                    <w:adjustRightInd w:val="0"/>
                    <w:snapToGrid w:val="0"/>
                    <w:jc w:val="center"/>
                    <w:rPr>
                      <w:szCs w:val="21"/>
                      <w:u w:val="single"/>
                    </w:rPr>
                  </w:pPr>
                  <w:r>
                    <w:rPr>
                      <w:rFonts w:hint="eastAsia"/>
                      <w:szCs w:val="21"/>
                      <w:u w:val="single"/>
                    </w:rPr>
                    <w:t>/</w:t>
                  </w:r>
                </w:p>
              </w:tc>
              <w:tc>
                <w:tcPr>
                  <w:tcW w:w="579" w:type="dxa"/>
                  <w:vAlign w:val="center"/>
                </w:tcPr>
                <w:p w14:paraId="0D31DEAE">
                  <w:pPr>
                    <w:adjustRightInd w:val="0"/>
                    <w:snapToGrid w:val="0"/>
                    <w:jc w:val="center"/>
                    <w:rPr>
                      <w:szCs w:val="21"/>
                      <w:u w:val="single"/>
                    </w:rPr>
                  </w:pPr>
                </w:p>
              </w:tc>
              <w:tc>
                <w:tcPr>
                  <w:tcW w:w="656" w:type="dxa"/>
                  <w:shd w:val="clear" w:color="auto" w:fill="auto"/>
                  <w:vAlign w:val="center"/>
                </w:tcPr>
                <w:p w14:paraId="4D387860">
                  <w:pPr>
                    <w:adjustRightInd w:val="0"/>
                    <w:snapToGrid w:val="0"/>
                    <w:jc w:val="center"/>
                    <w:rPr>
                      <w:szCs w:val="21"/>
                      <w:u w:val="single"/>
                    </w:rPr>
                  </w:pPr>
                  <w:r>
                    <w:rPr>
                      <w:rFonts w:hint="eastAsia"/>
                      <w:szCs w:val="21"/>
                      <w:u w:val="single"/>
                    </w:rPr>
                    <w:t>6</w:t>
                  </w:r>
                </w:p>
              </w:tc>
              <w:tc>
                <w:tcPr>
                  <w:tcW w:w="0" w:type="auto"/>
                  <w:vAlign w:val="center"/>
                </w:tcPr>
                <w:p w14:paraId="0A6ED970">
                  <w:pPr>
                    <w:adjustRightInd w:val="0"/>
                    <w:snapToGrid w:val="0"/>
                    <w:jc w:val="center"/>
                    <w:rPr>
                      <w:szCs w:val="21"/>
                      <w:u w:val="single"/>
                    </w:rPr>
                  </w:pPr>
                  <w:r>
                    <w:rPr>
                      <w:rFonts w:hint="eastAsia"/>
                      <w:szCs w:val="21"/>
                      <w:u w:val="single"/>
                    </w:rPr>
                    <w:t>新增</w:t>
                  </w:r>
                </w:p>
              </w:tc>
            </w:tr>
            <w:tr w14:paraId="21EDF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44C1BAAB">
                  <w:pPr>
                    <w:adjustRightInd w:val="0"/>
                    <w:snapToGrid w:val="0"/>
                    <w:jc w:val="center"/>
                    <w:rPr>
                      <w:color w:val="auto"/>
                      <w:szCs w:val="21"/>
                      <w:u w:val="single"/>
                    </w:rPr>
                  </w:pPr>
                  <w:r>
                    <w:rPr>
                      <w:rFonts w:hint="eastAsia"/>
                      <w:color w:val="auto"/>
                      <w:szCs w:val="21"/>
                      <w:u w:val="single"/>
                    </w:rPr>
                    <w:t>14</w:t>
                  </w:r>
                </w:p>
              </w:tc>
              <w:tc>
                <w:tcPr>
                  <w:tcW w:w="0" w:type="auto"/>
                  <w:vMerge w:val="restart"/>
                  <w:vAlign w:val="center"/>
                </w:tcPr>
                <w:p w14:paraId="572317F3">
                  <w:pPr>
                    <w:adjustRightInd w:val="0"/>
                    <w:snapToGrid w:val="0"/>
                    <w:jc w:val="center"/>
                    <w:rPr>
                      <w:color w:val="auto"/>
                      <w:szCs w:val="21"/>
                      <w:u w:val="single"/>
                    </w:rPr>
                  </w:pPr>
                  <w:r>
                    <w:rPr>
                      <w:rFonts w:hint="eastAsia"/>
                      <w:color w:val="auto"/>
                      <w:szCs w:val="21"/>
                      <w:u w:val="single"/>
                    </w:rPr>
                    <w:t>医院布草洗涤</w:t>
                  </w:r>
                </w:p>
              </w:tc>
              <w:tc>
                <w:tcPr>
                  <w:tcW w:w="0" w:type="auto"/>
                  <w:shd w:val="clear" w:color="auto" w:fill="auto"/>
                  <w:vAlign w:val="center"/>
                </w:tcPr>
                <w:p w14:paraId="785A9958">
                  <w:pPr>
                    <w:pStyle w:val="32"/>
                    <w:rPr>
                      <w:color w:val="auto"/>
                      <w:u w:val="single"/>
                    </w:rPr>
                  </w:pPr>
                  <w:r>
                    <w:rPr>
                      <w:rFonts w:hint="eastAsia"/>
                      <w:color w:val="auto"/>
                      <w:u w:val="single"/>
                    </w:rPr>
                    <w:t>全自动倾斜洗脱机</w:t>
                  </w:r>
                </w:p>
              </w:tc>
              <w:tc>
                <w:tcPr>
                  <w:tcW w:w="0" w:type="auto"/>
                  <w:vAlign w:val="center"/>
                </w:tcPr>
                <w:p w14:paraId="46B9BD87">
                  <w:pPr>
                    <w:adjustRightInd w:val="0"/>
                    <w:snapToGrid w:val="0"/>
                    <w:jc w:val="center"/>
                    <w:rPr>
                      <w:color w:val="auto"/>
                      <w:szCs w:val="21"/>
                      <w:u w:val="single"/>
                    </w:rPr>
                  </w:pPr>
                  <w:r>
                    <w:rPr>
                      <w:rFonts w:hint="eastAsia"/>
                      <w:color w:val="auto"/>
                      <w:u w:val="single"/>
                    </w:rPr>
                    <w:t>台</w:t>
                  </w:r>
                </w:p>
              </w:tc>
              <w:tc>
                <w:tcPr>
                  <w:tcW w:w="0" w:type="auto"/>
                  <w:shd w:val="clear" w:color="auto" w:fill="auto"/>
                  <w:vAlign w:val="center"/>
                </w:tcPr>
                <w:p w14:paraId="5EA8C7EC">
                  <w:pPr>
                    <w:rPr>
                      <w:color w:val="auto"/>
                      <w:kern w:val="0"/>
                      <w:sz w:val="20"/>
                      <w:szCs w:val="20"/>
                      <w:u w:val="single"/>
                    </w:rPr>
                  </w:pPr>
                  <w:r>
                    <w:rPr>
                      <w:rFonts w:hint="eastAsia"/>
                      <w:color w:val="auto"/>
                      <w:u w:val="single"/>
                    </w:rPr>
                    <w:t>/</w:t>
                  </w:r>
                </w:p>
              </w:tc>
              <w:tc>
                <w:tcPr>
                  <w:tcW w:w="579" w:type="dxa"/>
                  <w:shd w:val="clear" w:color="auto" w:fill="auto"/>
                  <w:vAlign w:val="center"/>
                </w:tcPr>
                <w:p w14:paraId="0C0A8772">
                  <w:pPr>
                    <w:pStyle w:val="32"/>
                    <w:rPr>
                      <w:color w:val="auto"/>
                      <w:u w:val="single"/>
                    </w:rPr>
                  </w:pPr>
                  <w:r>
                    <w:rPr>
                      <w:rFonts w:hint="eastAsia"/>
                      <w:color w:val="auto"/>
                      <w:u w:val="single"/>
                    </w:rPr>
                    <w:t>1</w:t>
                  </w:r>
                </w:p>
              </w:tc>
              <w:tc>
                <w:tcPr>
                  <w:tcW w:w="656" w:type="dxa"/>
                  <w:shd w:val="clear" w:color="auto" w:fill="auto"/>
                  <w:vAlign w:val="center"/>
                </w:tcPr>
                <w:p w14:paraId="0AFAEAAC">
                  <w:pPr>
                    <w:pStyle w:val="32"/>
                    <w:rPr>
                      <w:color w:val="auto"/>
                      <w:u w:val="single"/>
                    </w:rPr>
                  </w:pPr>
                  <w:r>
                    <w:rPr>
                      <w:rFonts w:hint="eastAsia"/>
                      <w:color w:val="auto"/>
                      <w:u w:val="single"/>
                    </w:rPr>
                    <w:t>1</w:t>
                  </w:r>
                </w:p>
              </w:tc>
              <w:tc>
                <w:tcPr>
                  <w:tcW w:w="0" w:type="auto"/>
                  <w:vAlign w:val="center"/>
                </w:tcPr>
                <w:p w14:paraId="57097C2F">
                  <w:pPr>
                    <w:adjustRightInd w:val="0"/>
                    <w:snapToGrid w:val="0"/>
                    <w:jc w:val="center"/>
                    <w:rPr>
                      <w:color w:val="auto"/>
                      <w:szCs w:val="21"/>
                      <w:u w:val="single"/>
                    </w:rPr>
                  </w:pPr>
                  <w:r>
                    <w:rPr>
                      <w:rFonts w:hint="eastAsia"/>
                      <w:color w:val="auto"/>
                      <w:szCs w:val="21"/>
                      <w:u w:val="single"/>
                    </w:rPr>
                    <w:t>新增</w:t>
                  </w:r>
                </w:p>
              </w:tc>
            </w:tr>
            <w:tr w14:paraId="79DBA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4228BCB2">
                  <w:pPr>
                    <w:adjustRightInd w:val="0"/>
                    <w:snapToGrid w:val="0"/>
                    <w:jc w:val="center"/>
                    <w:rPr>
                      <w:color w:val="auto"/>
                      <w:szCs w:val="21"/>
                      <w:u w:val="single"/>
                    </w:rPr>
                  </w:pPr>
                  <w:r>
                    <w:rPr>
                      <w:rFonts w:hint="eastAsia"/>
                      <w:color w:val="auto"/>
                      <w:szCs w:val="21"/>
                      <w:u w:val="single"/>
                    </w:rPr>
                    <w:t>15</w:t>
                  </w:r>
                </w:p>
              </w:tc>
              <w:tc>
                <w:tcPr>
                  <w:tcW w:w="0" w:type="auto"/>
                  <w:vMerge w:val="continue"/>
                  <w:vAlign w:val="center"/>
                </w:tcPr>
                <w:p w14:paraId="2FDBC804">
                  <w:pPr>
                    <w:adjustRightInd w:val="0"/>
                    <w:snapToGrid w:val="0"/>
                    <w:jc w:val="center"/>
                    <w:rPr>
                      <w:color w:val="auto"/>
                      <w:szCs w:val="21"/>
                      <w:u w:val="single"/>
                    </w:rPr>
                  </w:pPr>
                </w:p>
              </w:tc>
              <w:tc>
                <w:tcPr>
                  <w:tcW w:w="0" w:type="auto"/>
                  <w:shd w:val="clear" w:color="auto" w:fill="auto"/>
                  <w:vAlign w:val="center"/>
                </w:tcPr>
                <w:p w14:paraId="1D9502A5">
                  <w:pPr>
                    <w:pStyle w:val="32"/>
                    <w:rPr>
                      <w:color w:val="auto"/>
                      <w:u w:val="single"/>
                    </w:rPr>
                  </w:pPr>
                  <w:r>
                    <w:rPr>
                      <w:rFonts w:hint="eastAsia"/>
                      <w:color w:val="auto"/>
                      <w:u w:val="single"/>
                    </w:rPr>
                    <w:t>全自动洗脱机</w:t>
                  </w:r>
                </w:p>
              </w:tc>
              <w:tc>
                <w:tcPr>
                  <w:tcW w:w="0" w:type="auto"/>
                  <w:vAlign w:val="center"/>
                </w:tcPr>
                <w:p w14:paraId="78932877">
                  <w:pPr>
                    <w:adjustRightInd w:val="0"/>
                    <w:snapToGrid w:val="0"/>
                    <w:jc w:val="center"/>
                    <w:rPr>
                      <w:color w:val="auto"/>
                      <w:szCs w:val="21"/>
                      <w:u w:val="single"/>
                    </w:rPr>
                  </w:pPr>
                  <w:r>
                    <w:rPr>
                      <w:rFonts w:hint="eastAsia"/>
                      <w:color w:val="auto"/>
                      <w:u w:val="single"/>
                    </w:rPr>
                    <w:t>台</w:t>
                  </w:r>
                </w:p>
              </w:tc>
              <w:tc>
                <w:tcPr>
                  <w:tcW w:w="0" w:type="auto"/>
                  <w:shd w:val="clear" w:color="auto" w:fill="auto"/>
                  <w:vAlign w:val="center"/>
                </w:tcPr>
                <w:p w14:paraId="408443BC">
                  <w:pPr>
                    <w:rPr>
                      <w:color w:val="auto"/>
                      <w:kern w:val="0"/>
                      <w:sz w:val="20"/>
                      <w:szCs w:val="20"/>
                      <w:u w:val="single"/>
                    </w:rPr>
                  </w:pPr>
                  <w:r>
                    <w:rPr>
                      <w:rFonts w:hint="eastAsia"/>
                      <w:color w:val="auto"/>
                      <w:u w:val="single"/>
                    </w:rPr>
                    <w:t>/</w:t>
                  </w:r>
                </w:p>
              </w:tc>
              <w:tc>
                <w:tcPr>
                  <w:tcW w:w="579" w:type="dxa"/>
                  <w:shd w:val="clear" w:color="auto" w:fill="auto"/>
                  <w:vAlign w:val="center"/>
                </w:tcPr>
                <w:p w14:paraId="2D27495B">
                  <w:pPr>
                    <w:pStyle w:val="32"/>
                    <w:rPr>
                      <w:color w:val="auto"/>
                      <w:u w:val="single"/>
                    </w:rPr>
                  </w:pPr>
                  <w:r>
                    <w:rPr>
                      <w:rFonts w:hint="eastAsia"/>
                      <w:color w:val="auto"/>
                      <w:u w:val="single"/>
                    </w:rPr>
                    <w:t>1</w:t>
                  </w:r>
                </w:p>
              </w:tc>
              <w:tc>
                <w:tcPr>
                  <w:tcW w:w="656" w:type="dxa"/>
                  <w:shd w:val="clear" w:color="auto" w:fill="auto"/>
                  <w:vAlign w:val="center"/>
                </w:tcPr>
                <w:p w14:paraId="5735FB87">
                  <w:pPr>
                    <w:pStyle w:val="32"/>
                    <w:rPr>
                      <w:color w:val="auto"/>
                      <w:u w:val="single"/>
                    </w:rPr>
                  </w:pPr>
                  <w:r>
                    <w:rPr>
                      <w:rFonts w:hint="eastAsia"/>
                      <w:color w:val="auto"/>
                      <w:u w:val="single"/>
                    </w:rPr>
                    <w:t>1</w:t>
                  </w:r>
                </w:p>
              </w:tc>
              <w:tc>
                <w:tcPr>
                  <w:tcW w:w="0" w:type="auto"/>
                  <w:vAlign w:val="center"/>
                </w:tcPr>
                <w:p w14:paraId="4CFF5138">
                  <w:pPr>
                    <w:adjustRightInd w:val="0"/>
                    <w:snapToGrid w:val="0"/>
                    <w:jc w:val="center"/>
                    <w:rPr>
                      <w:color w:val="auto"/>
                      <w:szCs w:val="21"/>
                      <w:u w:val="single"/>
                    </w:rPr>
                  </w:pPr>
                  <w:r>
                    <w:rPr>
                      <w:rFonts w:hint="eastAsia"/>
                      <w:color w:val="auto"/>
                      <w:szCs w:val="21"/>
                      <w:u w:val="single"/>
                    </w:rPr>
                    <w:t>新增</w:t>
                  </w:r>
                </w:p>
              </w:tc>
            </w:tr>
            <w:tr w14:paraId="22CDF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7BF253DB">
                  <w:pPr>
                    <w:adjustRightInd w:val="0"/>
                    <w:snapToGrid w:val="0"/>
                    <w:jc w:val="center"/>
                    <w:rPr>
                      <w:color w:val="auto"/>
                      <w:szCs w:val="21"/>
                      <w:u w:val="single"/>
                    </w:rPr>
                  </w:pPr>
                  <w:r>
                    <w:rPr>
                      <w:rFonts w:hint="eastAsia"/>
                      <w:color w:val="auto"/>
                      <w:szCs w:val="21"/>
                      <w:u w:val="single"/>
                    </w:rPr>
                    <w:t>16</w:t>
                  </w:r>
                </w:p>
              </w:tc>
              <w:tc>
                <w:tcPr>
                  <w:tcW w:w="0" w:type="auto"/>
                  <w:vMerge w:val="continue"/>
                  <w:vAlign w:val="center"/>
                </w:tcPr>
                <w:p w14:paraId="1A87E32F">
                  <w:pPr>
                    <w:adjustRightInd w:val="0"/>
                    <w:snapToGrid w:val="0"/>
                    <w:jc w:val="center"/>
                    <w:rPr>
                      <w:color w:val="auto"/>
                      <w:szCs w:val="21"/>
                      <w:u w:val="single"/>
                    </w:rPr>
                  </w:pPr>
                </w:p>
              </w:tc>
              <w:tc>
                <w:tcPr>
                  <w:tcW w:w="0" w:type="auto"/>
                  <w:shd w:val="clear" w:color="auto" w:fill="auto"/>
                  <w:vAlign w:val="center"/>
                </w:tcPr>
                <w:p w14:paraId="6A2347D5">
                  <w:pPr>
                    <w:pStyle w:val="32"/>
                    <w:rPr>
                      <w:color w:val="auto"/>
                      <w:kern w:val="2"/>
                      <w:sz w:val="21"/>
                      <w:u w:val="single"/>
                    </w:rPr>
                  </w:pPr>
                  <w:r>
                    <w:rPr>
                      <w:rFonts w:hint="eastAsia"/>
                      <w:color w:val="auto"/>
                      <w:u w:val="single"/>
                    </w:rPr>
                    <w:t>双扉隔离式洗脱机</w:t>
                  </w:r>
                </w:p>
              </w:tc>
              <w:tc>
                <w:tcPr>
                  <w:tcW w:w="0" w:type="auto"/>
                  <w:vAlign w:val="center"/>
                </w:tcPr>
                <w:p w14:paraId="66879456">
                  <w:pPr>
                    <w:adjustRightInd w:val="0"/>
                    <w:snapToGrid w:val="0"/>
                    <w:jc w:val="center"/>
                    <w:rPr>
                      <w:color w:val="auto"/>
                      <w:szCs w:val="21"/>
                      <w:u w:val="single"/>
                    </w:rPr>
                  </w:pPr>
                  <w:r>
                    <w:rPr>
                      <w:rFonts w:hint="eastAsia"/>
                      <w:color w:val="auto"/>
                      <w:u w:val="single"/>
                    </w:rPr>
                    <w:t>台</w:t>
                  </w:r>
                </w:p>
              </w:tc>
              <w:tc>
                <w:tcPr>
                  <w:tcW w:w="0" w:type="auto"/>
                  <w:shd w:val="clear" w:color="auto" w:fill="auto"/>
                  <w:vAlign w:val="center"/>
                </w:tcPr>
                <w:p w14:paraId="7A529EE6">
                  <w:pPr>
                    <w:rPr>
                      <w:color w:val="auto"/>
                      <w:kern w:val="0"/>
                      <w:sz w:val="20"/>
                      <w:szCs w:val="20"/>
                      <w:u w:val="single"/>
                    </w:rPr>
                  </w:pPr>
                  <w:r>
                    <w:rPr>
                      <w:rFonts w:hint="eastAsia"/>
                      <w:color w:val="auto"/>
                      <w:u w:val="single"/>
                    </w:rPr>
                    <w:t>/</w:t>
                  </w:r>
                </w:p>
              </w:tc>
              <w:tc>
                <w:tcPr>
                  <w:tcW w:w="579" w:type="dxa"/>
                  <w:shd w:val="clear" w:color="auto" w:fill="auto"/>
                  <w:vAlign w:val="center"/>
                </w:tcPr>
                <w:p w14:paraId="4EA6E0D4">
                  <w:pPr>
                    <w:pStyle w:val="32"/>
                    <w:rPr>
                      <w:color w:val="auto"/>
                      <w:kern w:val="2"/>
                      <w:sz w:val="21"/>
                      <w:u w:val="single"/>
                    </w:rPr>
                  </w:pPr>
                  <w:r>
                    <w:rPr>
                      <w:rFonts w:hint="eastAsia"/>
                      <w:color w:val="auto"/>
                      <w:u w:val="single"/>
                    </w:rPr>
                    <w:t>1</w:t>
                  </w:r>
                </w:p>
              </w:tc>
              <w:tc>
                <w:tcPr>
                  <w:tcW w:w="656" w:type="dxa"/>
                  <w:shd w:val="clear" w:color="auto" w:fill="auto"/>
                  <w:vAlign w:val="center"/>
                </w:tcPr>
                <w:p w14:paraId="730C07D8">
                  <w:pPr>
                    <w:pStyle w:val="32"/>
                    <w:rPr>
                      <w:color w:val="auto"/>
                      <w:kern w:val="2"/>
                      <w:sz w:val="21"/>
                      <w:u w:val="single"/>
                    </w:rPr>
                  </w:pPr>
                  <w:r>
                    <w:rPr>
                      <w:rFonts w:hint="eastAsia"/>
                      <w:color w:val="auto"/>
                      <w:u w:val="single"/>
                    </w:rPr>
                    <w:t>1</w:t>
                  </w:r>
                </w:p>
              </w:tc>
              <w:tc>
                <w:tcPr>
                  <w:tcW w:w="0" w:type="auto"/>
                  <w:vAlign w:val="center"/>
                </w:tcPr>
                <w:p w14:paraId="2F95D9B6">
                  <w:pPr>
                    <w:adjustRightInd w:val="0"/>
                    <w:snapToGrid w:val="0"/>
                    <w:jc w:val="center"/>
                    <w:rPr>
                      <w:color w:val="auto"/>
                      <w:szCs w:val="21"/>
                      <w:u w:val="single"/>
                    </w:rPr>
                  </w:pPr>
                  <w:r>
                    <w:rPr>
                      <w:rFonts w:hint="eastAsia"/>
                      <w:color w:val="auto"/>
                      <w:szCs w:val="21"/>
                      <w:u w:val="single"/>
                    </w:rPr>
                    <w:t>新增</w:t>
                  </w:r>
                </w:p>
              </w:tc>
            </w:tr>
            <w:tr w14:paraId="10ADC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52D0A5F3">
                  <w:pPr>
                    <w:adjustRightInd w:val="0"/>
                    <w:snapToGrid w:val="0"/>
                    <w:jc w:val="center"/>
                    <w:rPr>
                      <w:color w:val="auto"/>
                      <w:szCs w:val="21"/>
                      <w:u w:val="single"/>
                    </w:rPr>
                  </w:pPr>
                  <w:r>
                    <w:rPr>
                      <w:rFonts w:hint="eastAsia"/>
                      <w:color w:val="auto"/>
                      <w:szCs w:val="21"/>
                      <w:u w:val="single"/>
                    </w:rPr>
                    <w:t>17</w:t>
                  </w:r>
                </w:p>
              </w:tc>
              <w:tc>
                <w:tcPr>
                  <w:tcW w:w="0" w:type="auto"/>
                  <w:vMerge w:val="continue"/>
                  <w:vAlign w:val="center"/>
                </w:tcPr>
                <w:p w14:paraId="297B448E">
                  <w:pPr>
                    <w:adjustRightInd w:val="0"/>
                    <w:snapToGrid w:val="0"/>
                    <w:jc w:val="center"/>
                    <w:rPr>
                      <w:color w:val="auto"/>
                      <w:szCs w:val="21"/>
                      <w:u w:val="single"/>
                    </w:rPr>
                  </w:pPr>
                </w:p>
              </w:tc>
              <w:tc>
                <w:tcPr>
                  <w:tcW w:w="0" w:type="auto"/>
                  <w:shd w:val="clear" w:color="auto" w:fill="auto"/>
                  <w:vAlign w:val="center"/>
                </w:tcPr>
                <w:p w14:paraId="7901B6ED">
                  <w:pPr>
                    <w:pStyle w:val="32"/>
                    <w:rPr>
                      <w:color w:val="auto"/>
                      <w:kern w:val="2"/>
                      <w:sz w:val="21"/>
                      <w:u w:val="single"/>
                    </w:rPr>
                  </w:pPr>
                  <w:r>
                    <w:rPr>
                      <w:rFonts w:hint="eastAsia"/>
                      <w:color w:val="auto"/>
                      <w:u w:val="single"/>
                    </w:rPr>
                    <w:t>自动干衣机</w:t>
                  </w:r>
                </w:p>
              </w:tc>
              <w:tc>
                <w:tcPr>
                  <w:tcW w:w="0" w:type="auto"/>
                  <w:vAlign w:val="center"/>
                </w:tcPr>
                <w:p w14:paraId="51D39CE8">
                  <w:pPr>
                    <w:adjustRightInd w:val="0"/>
                    <w:snapToGrid w:val="0"/>
                    <w:jc w:val="center"/>
                    <w:rPr>
                      <w:color w:val="auto"/>
                      <w:szCs w:val="21"/>
                      <w:u w:val="single"/>
                    </w:rPr>
                  </w:pPr>
                  <w:r>
                    <w:rPr>
                      <w:rFonts w:hint="eastAsia"/>
                      <w:color w:val="auto"/>
                      <w:u w:val="single"/>
                    </w:rPr>
                    <w:t>台</w:t>
                  </w:r>
                </w:p>
              </w:tc>
              <w:tc>
                <w:tcPr>
                  <w:tcW w:w="0" w:type="auto"/>
                  <w:shd w:val="clear" w:color="auto" w:fill="auto"/>
                  <w:vAlign w:val="center"/>
                </w:tcPr>
                <w:p w14:paraId="3E373F08">
                  <w:pPr>
                    <w:rPr>
                      <w:color w:val="auto"/>
                      <w:kern w:val="0"/>
                      <w:sz w:val="20"/>
                      <w:szCs w:val="20"/>
                      <w:u w:val="single"/>
                    </w:rPr>
                  </w:pPr>
                  <w:r>
                    <w:rPr>
                      <w:rFonts w:hint="eastAsia"/>
                      <w:color w:val="auto"/>
                      <w:u w:val="single"/>
                    </w:rPr>
                    <w:t>/</w:t>
                  </w:r>
                </w:p>
              </w:tc>
              <w:tc>
                <w:tcPr>
                  <w:tcW w:w="579" w:type="dxa"/>
                  <w:shd w:val="clear" w:color="auto" w:fill="auto"/>
                  <w:vAlign w:val="center"/>
                </w:tcPr>
                <w:p w14:paraId="6879EC12">
                  <w:pPr>
                    <w:pStyle w:val="32"/>
                    <w:rPr>
                      <w:color w:val="auto"/>
                      <w:kern w:val="2"/>
                      <w:sz w:val="21"/>
                      <w:u w:val="single"/>
                    </w:rPr>
                  </w:pPr>
                  <w:r>
                    <w:rPr>
                      <w:rFonts w:hint="eastAsia"/>
                      <w:color w:val="auto"/>
                      <w:u w:val="single"/>
                    </w:rPr>
                    <w:t>2</w:t>
                  </w:r>
                </w:p>
              </w:tc>
              <w:tc>
                <w:tcPr>
                  <w:tcW w:w="656" w:type="dxa"/>
                  <w:shd w:val="clear" w:color="auto" w:fill="auto"/>
                  <w:vAlign w:val="center"/>
                </w:tcPr>
                <w:p w14:paraId="28626A66">
                  <w:pPr>
                    <w:pStyle w:val="32"/>
                    <w:rPr>
                      <w:color w:val="auto"/>
                      <w:kern w:val="2"/>
                      <w:sz w:val="21"/>
                      <w:u w:val="single"/>
                    </w:rPr>
                  </w:pPr>
                  <w:r>
                    <w:rPr>
                      <w:rFonts w:hint="eastAsia"/>
                      <w:color w:val="auto"/>
                      <w:u w:val="single"/>
                    </w:rPr>
                    <w:t>2</w:t>
                  </w:r>
                </w:p>
              </w:tc>
              <w:tc>
                <w:tcPr>
                  <w:tcW w:w="0" w:type="auto"/>
                  <w:vAlign w:val="center"/>
                </w:tcPr>
                <w:p w14:paraId="62988832">
                  <w:pPr>
                    <w:adjustRightInd w:val="0"/>
                    <w:snapToGrid w:val="0"/>
                    <w:jc w:val="center"/>
                    <w:rPr>
                      <w:color w:val="auto"/>
                      <w:szCs w:val="21"/>
                      <w:u w:val="single"/>
                    </w:rPr>
                  </w:pPr>
                  <w:r>
                    <w:rPr>
                      <w:rFonts w:hint="eastAsia"/>
                      <w:color w:val="auto"/>
                      <w:szCs w:val="21"/>
                      <w:u w:val="single"/>
                    </w:rPr>
                    <w:t>新增</w:t>
                  </w:r>
                </w:p>
              </w:tc>
            </w:tr>
            <w:tr w14:paraId="21FEE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75EDA98C">
                  <w:pPr>
                    <w:adjustRightInd w:val="0"/>
                    <w:snapToGrid w:val="0"/>
                    <w:jc w:val="center"/>
                    <w:rPr>
                      <w:color w:val="auto"/>
                      <w:szCs w:val="21"/>
                      <w:u w:val="single"/>
                    </w:rPr>
                  </w:pPr>
                  <w:r>
                    <w:rPr>
                      <w:rFonts w:hint="eastAsia"/>
                      <w:color w:val="auto"/>
                      <w:szCs w:val="21"/>
                      <w:u w:val="single"/>
                    </w:rPr>
                    <w:t>18</w:t>
                  </w:r>
                </w:p>
              </w:tc>
              <w:tc>
                <w:tcPr>
                  <w:tcW w:w="0" w:type="auto"/>
                  <w:vMerge w:val="continue"/>
                  <w:vAlign w:val="center"/>
                </w:tcPr>
                <w:p w14:paraId="398E5E6A">
                  <w:pPr>
                    <w:adjustRightInd w:val="0"/>
                    <w:snapToGrid w:val="0"/>
                    <w:jc w:val="center"/>
                    <w:rPr>
                      <w:color w:val="auto"/>
                      <w:szCs w:val="21"/>
                      <w:u w:val="single"/>
                    </w:rPr>
                  </w:pPr>
                </w:p>
              </w:tc>
              <w:tc>
                <w:tcPr>
                  <w:tcW w:w="0" w:type="auto"/>
                  <w:shd w:val="clear" w:color="auto" w:fill="auto"/>
                  <w:vAlign w:val="center"/>
                </w:tcPr>
                <w:p w14:paraId="25C8DA68">
                  <w:pPr>
                    <w:pStyle w:val="32"/>
                    <w:rPr>
                      <w:color w:val="auto"/>
                      <w:kern w:val="2"/>
                      <w:sz w:val="21"/>
                      <w:u w:val="single"/>
                    </w:rPr>
                  </w:pPr>
                  <w:r>
                    <w:rPr>
                      <w:rFonts w:hint="eastAsia"/>
                      <w:color w:val="auto"/>
                      <w:u w:val="single"/>
                    </w:rPr>
                    <w:t>自动折叠机</w:t>
                  </w:r>
                </w:p>
              </w:tc>
              <w:tc>
                <w:tcPr>
                  <w:tcW w:w="0" w:type="auto"/>
                  <w:vAlign w:val="center"/>
                </w:tcPr>
                <w:p w14:paraId="256F8FB7">
                  <w:pPr>
                    <w:adjustRightInd w:val="0"/>
                    <w:snapToGrid w:val="0"/>
                    <w:jc w:val="center"/>
                    <w:rPr>
                      <w:color w:val="auto"/>
                      <w:szCs w:val="21"/>
                      <w:u w:val="single"/>
                    </w:rPr>
                  </w:pPr>
                  <w:r>
                    <w:rPr>
                      <w:rFonts w:hint="eastAsia"/>
                      <w:color w:val="auto"/>
                      <w:u w:val="single"/>
                    </w:rPr>
                    <w:t>台</w:t>
                  </w:r>
                </w:p>
              </w:tc>
              <w:tc>
                <w:tcPr>
                  <w:tcW w:w="0" w:type="auto"/>
                  <w:shd w:val="clear" w:color="auto" w:fill="auto"/>
                  <w:vAlign w:val="center"/>
                </w:tcPr>
                <w:p w14:paraId="43E92158">
                  <w:pPr>
                    <w:pStyle w:val="32"/>
                    <w:rPr>
                      <w:color w:val="auto"/>
                      <w:u w:val="single"/>
                    </w:rPr>
                  </w:pPr>
                  <w:r>
                    <w:rPr>
                      <w:rFonts w:hint="eastAsia"/>
                      <w:color w:val="auto"/>
                      <w:u w:val="single"/>
                    </w:rPr>
                    <w:t>1</w:t>
                  </w:r>
                </w:p>
              </w:tc>
              <w:tc>
                <w:tcPr>
                  <w:tcW w:w="579" w:type="dxa"/>
                  <w:shd w:val="clear" w:color="auto" w:fill="auto"/>
                  <w:vAlign w:val="center"/>
                </w:tcPr>
                <w:p w14:paraId="61B0F9D8">
                  <w:pPr>
                    <w:pStyle w:val="32"/>
                    <w:rPr>
                      <w:color w:val="auto"/>
                      <w:kern w:val="2"/>
                      <w:sz w:val="21"/>
                      <w:u w:val="single"/>
                    </w:rPr>
                  </w:pPr>
                  <w:r>
                    <w:rPr>
                      <w:rFonts w:hint="eastAsia"/>
                      <w:color w:val="auto"/>
                      <w:kern w:val="2"/>
                      <w:sz w:val="21"/>
                      <w:u w:val="single"/>
                    </w:rPr>
                    <w:t>/</w:t>
                  </w:r>
                </w:p>
              </w:tc>
              <w:tc>
                <w:tcPr>
                  <w:tcW w:w="656" w:type="dxa"/>
                  <w:shd w:val="clear" w:color="auto" w:fill="auto"/>
                  <w:vAlign w:val="center"/>
                </w:tcPr>
                <w:p w14:paraId="5D6DBB3E">
                  <w:pPr>
                    <w:pStyle w:val="32"/>
                    <w:rPr>
                      <w:color w:val="auto"/>
                      <w:kern w:val="2"/>
                      <w:sz w:val="21"/>
                      <w:u w:val="single"/>
                    </w:rPr>
                  </w:pPr>
                  <w:r>
                    <w:rPr>
                      <w:rFonts w:hint="eastAsia"/>
                      <w:color w:val="auto"/>
                      <w:u w:val="single"/>
                    </w:rPr>
                    <w:t>1</w:t>
                  </w:r>
                </w:p>
              </w:tc>
              <w:tc>
                <w:tcPr>
                  <w:tcW w:w="0" w:type="auto"/>
                  <w:vAlign w:val="center"/>
                </w:tcPr>
                <w:p w14:paraId="55B52951">
                  <w:pPr>
                    <w:adjustRightInd w:val="0"/>
                    <w:snapToGrid w:val="0"/>
                    <w:jc w:val="center"/>
                    <w:rPr>
                      <w:color w:val="auto"/>
                      <w:szCs w:val="21"/>
                      <w:u w:val="single"/>
                    </w:rPr>
                  </w:pPr>
                  <w:r>
                    <w:rPr>
                      <w:rFonts w:hint="eastAsia"/>
                      <w:color w:val="auto"/>
                      <w:szCs w:val="21"/>
                      <w:u w:val="single"/>
                    </w:rPr>
                    <w:t>利旧</w:t>
                  </w:r>
                </w:p>
              </w:tc>
            </w:tr>
            <w:tr w14:paraId="3D466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4A469BDB">
                  <w:pPr>
                    <w:adjustRightInd w:val="0"/>
                    <w:snapToGrid w:val="0"/>
                    <w:jc w:val="center"/>
                    <w:rPr>
                      <w:color w:val="auto"/>
                      <w:szCs w:val="21"/>
                      <w:u w:val="single"/>
                    </w:rPr>
                  </w:pPr>
                  <w:r>
                    <w:rPr>
                      <w:rFonts w:hint="eastAsia"/>
                      <w:color w:val="auto"/>
                      <w:szCs w:val="21"/>
                      <w:u w:val="single"/>
                    </w:rPr>
                    <w:t>19</w:t>
                  </w:r>
                </w:p>
              </w:tc>
              <w:tc>
                <w:tcPr>
                  <w:tcW w:w="0" w:type="auto"/>
                  <w:vMerge w:val="continue"/>
                  <w:vAlign w:val="center"/>
                </w:tcPr>
                <w:p w14:paraId="11D60FD5">
                  <w:pPr>
                    <w:adjustRightInd w:val="0"/>
                    <w:snapToGrid w:val="0"/>
                    <w:jc w:val="center"/>
                    <w:rPr>
                      <w:color w:val="auto"/>
                      <w:szCs w:val="21"/>
                      <w:u w:val="single"/>
                    </w:rPr>
                  </w:pPr>
                </w:p>
              </w:tc>
              <w:tc>
                <w:tcPr>
                  <w:tcW w:w="0" w:type="auto"/>
                  <w:shd w:val="clear" w:color="auto" w:fill="auto"/>
                  <w:vAlign w:val="center"/>
                </w:tcPr>
                <w:p w14:paraId="5C2A07BD">
                  <w:pPr>
                    <w:pStyle w:val="32"/>
                    <w:rPr>
                      <w:color w:val="auto"/>
                      <w:kern w:val="2"/>
                      <w:sz w:val="21"/>
                      <w:u w:val="single"/>
                    </w:rPr>
                  </w:pPr>
                  <w:r>
                    <w:rPr>
                      <w:rFonts w:hint="eastAsia"/>
                      <w:color w:val="auto"/>
                      <w:u w:val="single"/>
                    </w:rPr>
                    <w:t>抽湿熨烫台（配熨斗）</w:t>
                  </w:r>
                </w:p>
              </w:tc>
              <w:tc>
                <w:tcPr>
                  <w:tcW w:w="0" w:type="auto"/>
                  <w:vAlign w:val="center"/>
                </w:tcPr>
                <w:p w14:paraId="5377C1B0">
                  <w:pPr>
                    <w:adjustRightInd w:val="0"/>
                    <w:snapToGrid w:val="0"/>
                    <w:jc w:val="center"/>
                    <w:rPr>
                      <w:color w:val="auto"/>
                      <w:szCs w:val="21"/>
                      <w:u w:val="single"/>
                    </w:rPr>
                  </w:pPr>
                  <w:r>
                    <w:rPr>
                      <w:rFonts w:hint="eastAsia"/>
                      <w:color w:val="auto"/>
                      <w:u w:val="single"/>
                    </w:rPr>
                    <w:t>台</w:t>
                  </w:r>
                </w:p>
              </w:tc>
              <w:tc>
                <w:tcPr>
                  <w:tcW w:w="0" w:type="auto"/>
                  <w:shd w:val="clear" w:color="auto" w:fill="auto"/>
                  <w:vAlign w:val="center"/>
                </w:tcPr>
                <w:p w14:paraId="344E6996">
                  <w:pPr>
                    <w:pStyle w:val="32"/>
                    <w:rPr>
                      <w:color w:val="auto"/>
                      <w:u w:val="single"/>
                    </w:rPr>
                  </w:pPr>
                  <w:r>
                    <w:rPr>
                      <w:rFonts w:hint="eastAsia"/>
                      <w:color w:val="auto"/>
                      <w:u w:val="single"/>
                    </w:rPr>
                    <w:t>/</w:t>
                  </w:r>
                </w:p>
              </w:tc>
              <w:tc>
                <w:tcPr>
                  <w:tcW w:w="579" w:type="dxa"/>
                  <w:shd w:val="clear" w:color="auto" w:fill="auto"/>
                  <w:vAlign w:val="center"/>
                </w:tcPr>
                <w:p w14:paraId="3F356181">
                  <w:pPr>
                    <w:pStyle w:val="32"/>
                    <w:rPr>
                      <w:color w:val="auto"/>
                      <w:kern w:val="2"/>
                      <w:sz w:val="21"/>
                      <w:u w:val="single"/>
                    </w:rPr>
                  </w:pPr>
                  <w:r>
                    <w:rPr>
                      <w:rFonts w:hint="eastAsia"/>
                      <w:color w:val="auto"/>
                      <w:u w:val="single"/>
                    </w:rPr>
                    <w:t>1</w:t>
                  </w:r>
                </w:p>
              </w:tc>
              <w:tc>
                <w:tcPr>
                  <w:tcW w:w="656" w:type="dxa"/>
                  <w:shd w:val="clear" w:color="auto" w:fill="auto"/>
                  <w:vAlign w:val="center"/>
                </w:tcPr>
                <w:p w14:paraId="7DEA6CAC">
                  <w:pPr>
                    <w:pStyle w:val="32"/>
                    <w:rPr>
                      <w:color w:val="auto"/>
                      <w:kern w:val="2"/>
                      <w:sz w:val="21"/>
                      <w:u w:val="single"/>
                    </w:rPr>
                  </w:pPr>
                  <w:r>
                    <w:rPr>
                      <w:rFonts w:hint="eastAsia"/>
                      <w:color w:val="auto"/>
                      <w:u w:val="single"/>
                    </w:rPr>
                    <w:t>1</w:t>
                  </w:r>
                </w:p>
              </w:tc>
              <w:tc>
                <w:tcPr>
                  <w:tcW w:w="0" w:type="auto"/>
                  <w:vAlign w:val="center"/>
                </w:tcPr>
                <w:p w14:paraId="25580862">
                  <w:pPr>
                    <w:adjustRightInd w:val="0"/>
                    <w:snapToGrid w:val="0"/>
                    <w:jc w:val="center"/>
                    <w:rPr>
                      <w:color w:val="auto"/>
                      <w:szCs w:val="21"/>
                      <w:u w:val="single"/>
                    </w:rPr>
                  </w:pPr>
                  <w:r>
                    <w:rPr>
                      <w:rFonts w:hint="eastAsia"/>
                      <w:color w:val="auto"/>
                      <w:szCs w:val="21"/>
                      <w:u w:val="single"/>
                    </w:rPr>
                    <w:t>新增</w:t>
                  </w:r>
                </w:p>
              </w:tc>
            </w:tr>
            <w:tr w14:paraId="67E3A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5024E89F">
                  <w:pPr>
                    <w:adjustRightInd w:val="0"/>
                    <w:snapToGrid w:val="0"/>
                    <w:jc w:val="center"/>
                    <w:rPr>
                      <w:szCs w:val="21"/>
                      <w:u w:val="single"/>
                    </w:rPr>
                  </w:pPr>
                  <w:r>
                    <w:rPr>
                      <w:rFonts w:hint="eastAsia"/>
                      <w:szCs w:val="21"/>
                      <w:u w:val="single"/>
                    </w:rPr>
                    <w:t>20</w:t>
                  </w:r>
                </w:p>
              </w:tc>
              <w:tc>
                <w:tcPr>
                  <w:tcW w:w="0" w:type="auto"/>
                  <w:vMerge w:val="restart"/>
                  <w:shd w:val="clear" w:color="auto" w:fill="auto"/>
                  <w:vAlign w:val="center"/>
                </w:tcPr>
                <w:p w14:paraId="32FD0257">
                  <w:pPr>
                    <w:adjustRightInd w:val="0"/>
                    <w:snapToGrid w:val="0"/>
                    <w:jc w:val="center"/>
                    <w:rPr>
                      <w:szCs w:val="21"/>
                      <w:u w:val="single"/>
                    </w:rPr>
                  </w:pPr>
                  <w:r>
                    <w:rPr>
                      <w:rFonts w:hint="eastAsia"/>
                      <w:szCs w:val="21"/>
                      <w:u w:val="single"/>
                    </w:rPr>
                    <w:t>三车间生产线共用</w:t>
                  </w:r>
                </w:p>
              </w:tc>
              <w:tc>
                <w:tcPr>
                  <w:tcW w:w="0" w:type="auto"/>
                  <w:shd w:val="clear" w:color="auto" w:fill="auto"/>
                  <w:vAlign w:val="center"/>
                </w:tcPr>
                <w:p w14:paraId="2F4F90A2">
                  <w:pPr>
                    <w:adjustRightInd w:val="0"/>
                    <w:snapToGrid w:val="0"/>
                    <w:jc w:val="center"/>
                    <w:rPr>
                      <w:color w:val="auto"/>
                      <w:szCs w:val="21"/>
                      <w:u w:val="single"/>
                    </w:rPr>
                  </w:pPr>
                  <w:r>
                    <w:rPr>
                      <w:rFonts w:hint="eastAsia"/>
                      <w:color w:val="auto"/>
                      <w:szCs w:val="21"/>
                      <w:u w:val="single"/>
                    </w:rPr>
                    <w:t>生物燃料锅炉</w:t>
                  </w:r>
                </w:p>
              </w:tc>
              <w:tc>
                <w:tcPr>
                  <w:tcW w:w="0" w:type="auto"/>
                  <w:shd w:val="clear" w:color="auto" w:fill="auto"/>
                  <w:vAlign w:val="center"/>
                </w:tcPr>
                <w:p w14:paraId="1A6C6634">
                  <w:pPr>
                    <w:adjustRightInd w:val="0"/>
                    <w:snapToGrid w:val="0"/>
                    <w:jc w:val="center"/>
                    <w:rPr>
                      <w:color w:val="auto"/>
                      <w:szCs w:val="21"/>
                      <w:u w:val="single"/>
                    </w:rPr>
                  </w:pPr>
                  <w:r>
                    <w:rPr>
                      <w:rFonts w:hint="eastAsia"/>
                      <w:color w:val="auto"/>
                      <w:szCs w:val="21"/>
                      <w:u w:val="single"/>
                    </w:rPr>
                    <w:t>台</w:t>
                  </w:r>
                </w:p>
              </w:tc>
              <w:tc>
                <w:tcPr>
                  <w:tcW w:w="0" w:type="auto"/>
                  <w:shd w:val="clear" w:color="auto" w:fill="auto"/>
                  <w:vAlign w:val="center"/>
                </w:tcPr>
                <w:p w14:paraId="4B999A14">
                  <w:pPr>
                    <w:adjustRightInd w:val="0"/>
                    <w:snapToGrid w:val="0"/>
                    <w:jc w:val="center"/>
                    <w:rPr>
                      <w:color w:val="auto"/>
                      <w:szCs w:val="21"/>
                      <w:u w:val="single"/>
                    </w:rPr>
                  </w:pPr>
                  <w:r>
                    <w:rPr>
                      <w:rFonts w:hint="eastAsia"/>
                      <w:color w:val="auto"/>
                      <w:szCs w:val="21"/>
                      <w:u w:val="single"/>
                    </w:rPr>
                    <w:t>1</w:t>
                  </w:r>
                </w:p>
              </w:tc>
              <w:tc>
                <w:tcPr>
                  <w:tcW w:w="579" w:type="dxa"/>
                  <w:shd w:val="clear" w:color="auto" w:fill="auto"/>
                  <w:vAlign w:val="center"/>
                </w:tcPr>
                <w:p w14:paraId="5EB8CC27">
                  <w:pPr>
                    <w:adjustRightInd w:val="0"/>
                    <w:snapToGrid w:val="0"/>
                    <w:jc w:val="center"/>
                    <w:rPr>
                      <w:color w:val="auto"/>
                      <w:szCs w:val="21"/>
                      <w:u w:val="single"/>
                    </w:rPr>
                  </w:pPr>
                  <w:r>
                    <w:rPr>
                      <w:rFonts w:hint="eastAsia"/>
                      <w:color w:val="auto"/>
                      <w:szCs w:val="21"/>
                      <w:u w:val="single"/>
                    </w:rPr>
                    <w:t>1</w:t>
                  </w:r>
                </w:p>
              </w:tc>
              <w:tc>
                <w:tcPr>
                  <w:tcW w:w="656" w:type="dxa"/>
                  <w:shd w:val="clear" w:color="auto" w:fill="auto"/>
                  <w:vAlign w:val="center"/>
                </w:tcPr>
                <w:p w14:paraId="727CDAAB">
                  <w:pPr>
                    <w:adjustRightInd w:val="0"/>
                    <w:snapToGrid w:val="0"/>
                    <w:jc w:val="center"/>
                    <w:rPr>
                      <w:rFonts w:hint="eastAsia" w:eastAsia="宋体"/>
                      <w:color w:val="auto"/>
                      <w:szCs w:val="21"/>
                      <w:u w:val="single"/>
                      <w:lang w:eastAsia="zh-CN"/>
                    </w:rPr>
                  </w:pPr>
                  <w:r>
                    <w:rPr>
                      <w:rFonts w:hint="eastAsia"/>
                      <w:color w:val="auto"/>
                      <w:szCs w:val="21"/>
                      <w:u w:val="single"/>
                      <w:lang w:val="en-US" w:eastAsia="zh-CN"/>
                    </w:rPr>
                    <w:t>1</w:t>
                  </w:r>
                </w:p>
              </w:tc>
              <w:tc>
                <w:tcPr>
                  <w:tcW w:w="0" w:type="auto"/>
                  <w:shd w:val="clear" w:color="auto" w:fill="auto"/>
                  <w:vAlign w:val="center"/>
                </w:tcPr>
                <w:p w14:paraId="3ADDBE8B">
                  <w:pPr>
                    <w:adjustRightInd w:val="0"/>
                    <w:snapToGrid w:val="0"/>
                    <w:jc w:val="center"/>
                    <w:rPr>
                      <w:color w:val="auto"/>
                      <w:szCs w:val="21"/>
                      <w:u w:val="single"/>
                    </w:rPr>
                  </w:pPr>
                  <w:r>
                    <w:rPr>
                      <w:rFonts w:hint="eastAsia"/>
                      <w:color w:val="auto"/>
                      <w:szCs w:val="21"/>
                      <w:u w:val="single"/>
                    </w:rPr>
                    <w:t>4t/h</w:t>
                  </w:r>
                </w:p>
              </w:tc>
            </w:tr>
            <w:tr w14:paraId="7D735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0" w:type="auto"/>
                  <w:vAlign w:val="center"/>
                </w:tcPr>
                <w:p w14:paraId="2498A3C8">
                  <w:pPr>
                    <w:adjustRightInd w:val="0"/>
                    <w:snapToGrid w:val="0"/>
                    <w:jc w:val="center"/>
                    <w:rPr>
                      <w:szCs w:val="21"/>
                      <w:u w:val="single"/>
                    </w:rPr>
                  </w:pPr>
                  <w:r>
                    <w:rPr>
                      <w:rFonts w:hint="eastAsia"/>
                      <w:szCs w:val="21"/>
                      <w:u w:val="single"/>
                    </w:rPr>
                    <w:t>21</w:t>
                  </w:r>
                </w:p>
              </w:tc>
              <w:tc>
                <w:tcPr>
                  <w:tcW w:w="0" w:type="auto"/>
                  <w:vMerge w:val="continue"/>
                  <w:shd w:val="clear" w:color="auto" w:fill="auto"/>
                  <w:vAlign w:val="center"/>
                </w:tcPr>
                <w:p w14:paraId="0ECFE396">
                  <w:pPr>
                    <w:adjustRightInd w:val="0"/>
                    <w:snapToGrid w:val="0"/>
                    <w:jc w:val="center"/>
                    <w:rPr>
                      <w:szCs w:val="21"/>
                      <w:u w:val="single"/>
                    </w:rPr>
                  </w:pPr>
                </w:p>
              </w:tc>
              <w:tc>
                <w:tcPr>
                  <w:tcW w:w="0" w:type="auto"/>
                  <w:shd w:val="clear" w:color="auto" w:fill="auto"/>
                  <w:vAlign w:val="center"/>
                </w:tcPr>
                <w:p w14:paraId="585AA03F">
                  <w:pPr>
                    <w:adjustRightInd w:val="0"/>
                    <w:snapToGrid w:val="0"/>
                    <w:jc w:val="center"/>
                    <w:rPr>
                      <w:szCs w:val="21"/>
                      <w:u w:val="single"/>
                    </w:rPr>
                  </w:pPr>
                  <w:r>
                    <w:rPr>
                      <w:rFonts w:hint="eastAsia"/>
                      <w:szCs w:val="21"/>
                      <w:u w:val="single"/>
                    </w:rPr>
                    <w:t>软水设备</w:t>
                  </w:r>
                </w:p>
              </w:tc>
              <w:tc>
                <w:tcPr>
                  <w:tcW w:w="0" w:type="auto"/>
                  <w:shd w:val="clear" w:color="auto" w:fill="auto"/>
                  <w:vAlign w:val="center"/>
                </w:tcPr>
                <w:p w14:paraId="27C277EA">
                  <w:pPr>
                    <w:adjustRightInd w:val="0"/>
                    <w:snapToGrid w:val="0"/>
                    <w:jc w:val="center"/>
                    <w:rPr>
                      <w:szCs w:val="21"/>
                      <w:u w:val="single"/>
                    </w:rPr>
                  </w:pPr>
                  <w:r>
                    <w:rPr>
                      <w:rFonts w:hint="eastAsia"/>
                      <w:szCs w:val="21"/>
                      <w:u w:val="single"/>
                    </w:rPr>
                    <w:t>台</w:t>
                  </w:r>
                </w:p>
              </w:tc>
              <w:tc>
                <w:tcPr>
                  <w:tcW w:w="0" w:type="auto"/>
                  <w:shd w:val="clear" w:color="auto" w:fill="auto"/>
                  <w:vAlign w:val="center"/>
                </w:tcPr>
                <w:p w14:paraId="6A7F1C7B">
                  <w:pPr>
                    <w:adjustRightInd w:val="0"/>
                    <w:snapToGrid w:val="0"/>
                    <w:jc w:val="center"/>
                    <w:rPr>
                      <w:szCs w:val="21"/>
                      <w:u w:val="single"/>
                    </w:rPr>
                  </w:pPr>
                  <w:r>
                    <w:rPr>
                      <w:rFonts w:hint="eastAsia"/>
                      <w:szCs w:val="21"/>
                      <w:u w:val="single"/>
                    </w:rPr>
                    <w:t>1</w:t>
                  </w:r>
                </w:p>
              </w:tc>
              <w:tc>
                <w:tcPr>
                  <w:tcW w:w="579" w:type="dxa"/>
                  <w:shd w:val="clear" w:color="auto" w:fill="auto"/>
                  <w:vAlign w:val="center"/>
                </w:tcPr>
                <w:p w14:paraId="297477AC">
                  <w:pPr>
                    <w:adjustRightInd w:val="0"/>
                    <w:snapToGrid w:val="0"/>
                    <w:jc w:val="center"/>
                    <w:rPr>
                      <w:szCs w:val="21"/>
                      <w:u w:val="single"/>
                    </w:rPr>
                  </w:pPr>
                  <w:r>
                    <w:rPr>
                      <w:rFonts w:hint="eastAsia"/>
                      <w:szCs w:val="21"/>
                      <w:u w:val="single"/>
                    </w:rPr>
                    <w:t>/</w:t>
                  </w:r>
                </w:p>
              </w:tc>
              <w:tc>
                <w:tcPr>
                  <w:tcW w:w="656" w:type="dxa"/>
                  <w:shd w:val="clear" w:color="auto" w:fill="auto"/>
                  <w:vAlign w:val="center"/>
                </w:tcPr>
                <w:p w14:paraId="741FC4EB">
                  <w:pPr>
                    <w:adjustRightInd w:val="0"/>
                    <w:snapToGrid w:val="0"/>
                    <w:jc w:val="center"/>
                    <w:rPr>
                      <w:szCs w:val="21"/>
                      <w:u w:val="single"/>
                    </w:rPr>
                  </w:pPr>
                  <w:r>
                    <w:rPr>
                      <w:rFonts w:hint="eastAsia"/>
                      <w:szCs w:val="21"/>
                      <w:u w:val="single"/>
                    </w:rPr>
                    <w:t>1</w:t>
                  </w:r>
                </w:p>
              </w:tc>
              <w:tc>
                <w:tcPr>
                  <w:tcW w:w="0" w:type="auto"/>
                  <w:shd w:val="clear" w:color="auto" w:fill="auto"/>
                  <w:vAlign w:val="center"/>
                </w:tcPr>
                <w:p w14:paraId="01D2577F">
                  <w:pPr>
                    <w:adjustRightInd w:val="0"/>
                    <w:snapToGrid w:val="0"/>
                    <w:jc w:val="center"/>
                    <w:rPr>
                      <w:szCs w:val="21"/>
                      <w:u w:val="single"/>
                    </w:rPr>
                  </w:pPr>
                  <w:r>
                    <w:rPr>
                      <w:rFonts w:hint="eastAsia"/>
                      <w:szCs w:val="21"/>
                      <w:u w:val="single"/>
                    </w:rPr>
                    <w:t>原有</w:t>
                  </w:r>
                </w:p>
              </w:tc>
            </w:tr>
          </w:tbl>
          <w:p w14:paraId="4D6F8F77">
            <w:pPr>
              <w:spacing w:line="360" w:lineRule="auto"/>
              <w:ind w:firstLine="480" w:firstLineChars="200"/>
              <w:rPr>
                <w:b/>
                <w:sz w:val="24"/>
              </w:rPr>
            </w:pPr>
            <w:r>
              <w:rPr>
                <w:rFonts w:hint="eastAsia"/>
                <w:sz w:val="24"/>
              </w:rPr>
              <w:t>根据建设方提供的资料，</w:t>
            </w:r>
            <w:r>
              <w:rPr>
                <w:sz w:val="24"/>
              </w:rPr>
              <w:t>本项目所</w:t>
            </w:r>
            <w:r>
              <w:rPr>
                <w:rFonts w:hint="eastAsia"/>
                <w:sz w:val="24"/>
              </w:rPr>
              <w:t>用</w:t>
            </w:r>
            <w:r>
              <w:rPr>
                <w:sz w:val="24"/>
              </w:rPr>
              <w:t>的设备没有</w:t>
            </w:r>
            <w:r>
              <w:rPr>
                <w:rFonts w:hint="eastAsia" w:hAnsi="宋体"/>
                <w:sz w:val="24"/>
              </w:rPr>
              <w:t>《产业结构调整指导目录（2024年本）》</w:t>
            </w:r>
            <w:r>
              <w:rPr>
                <w:rFonts w:hAnsi="宋体"/>
                <w:sz w:val="24"/>
              </w:rPr>
              <w:t>中的限制类、淘汰类产品。</w:t>
            </w:r>
          </w:p>
          <w:p w14:paraId="4BDFB819">
            <w:pPr>
              <w:adjustRightInd w:val="0"/>
              <w:snapToGrid w:val="0"/>
              <w:spacing w:line="360" w:lineRule="auto"/>
              <w:ind w:firstLine="482" w:firstLineChars="200"/>
              <w:rPr>
                <w:b/>
                <w:bCs/>
                <w:sz w:val="24"/>
                <w:szCs w:val="24"/>
              </w:rPr>
            </w:pPr>
            <w:r>
              <w:rPr>
                <w:rFonts w:hint="eastAsia"/>
                <w:b/>
                <w:bCs/>
                <w:sz w:val="24"/>
                <w:szCs w:val="24"/>
              </w:rPr>
              <w:t>6</w:t>
            </w:r>
            <w:r>
              <w:rPr>
                <w:b/>
                <w:bCs/>
                <w:sz w:val="24"/>
                <w:szCs w:val="24"/>
              </w:rPr>
              <w:t>、给排水及水平衡</w:t>
            </w:r>
          </w:p>
          <w:p w14:paraId="60A67830">
            <w:pPr>
              <w:adjustRightInd w:val="0"/>
              <w:snapToGrid w:val="0"/>
              <w:spacing w:line="360" w:lineRule="auto"/>
              <w:ind w:firstLine="480" w:firstLineChars="200"/>
              <w:rPr>
                <w:bCs/>
                <w:color w:val="auto"/>
                <w:sz w:val="24"/>
                <w:szCs w:val="24"/>
                <w:u w:val="single" w:color="auto"/>
              </w:rPr>
            </w:pPr>
            <w:r>
              <w:rPr>
                <w:rFonts w:hint="eastAsia"/>
                <w:bCs/>
                <w:color w:val="auto"/>
                <w:sz w:val="24"/>
                <w:szCs w:val="24"/>
                <w:u w:val="single" w:color="auto"/>
              </w:rPr>
              <w:t>（1）给水</w:t>
            </w:r>
          </w:p>
          <w:p w14:paraId="6A9F0994">
            <w:pPr>
              <w:adjustRightInd w:val="0"/>
              <w:snapToGrid w:val="0"/>
              <w:spacing w:line="360" w:lineRule="auto"/>
              <w:ind w:firstLine="480" w:firstLineChars="200"/>
              <w:rPr>
                <w:rFonts w:hint="eastAsia" w:eastAsia="宋体"/>
                <w:color w:val="auto"/>
                <w:sz w:val="24"/>
                <w:szCs w:val="24"/>
                <w:u w:val="single" w:color="auto"/>
                <w:lang w:eastAsia="zh-CN"/>
              </w:rPr>
            </w:pPr>
            <w:r>
              <w:rPr>
                <w:rFonts w:hint="eastAsia"/>
                <w:color w:val="auto"/>
                <w:sz w:val="24"/>
                <w:szCs w:val="24"/>
                <w:u w:val="single" w:color="auto"/>
              </w:rPr>
              <w:t>布草洗涤用水：</w:t>
            </w:r>
            <w:r>
              <w:rPr>
                <w:rFonts w:hint="eastAsia"/>
                <w:color w:val="auto"/>
                <w:sz w:val="24"/>
                <w:szCs w:val="24"/>
                <w:u w:val="single" w:color="auto"/>
                <w:lang w:eastAsia="zh-CN"/>
              </w:rPr>
              <w:t>根据《湖南省用水定额标准》（</w:t>
            </w:r>
            <w:r>
              <w:rPr>
                <w:rFonts w:hint="eastAsia"/>
                <w:color w:val="auto"/>
                <w:sz w:val="24"/>
                <w:szCs w:val="24"/>
                <w:u w:val="single" w:color="auto"/>
                <w:lang w:val="en-US" w:eastAsia="zh-CN"/>
              </w:rPr>
              <w:t>DB43/T 388-2020</w:t>
            </w:r>
            <w:r>
              <w:rPr>
                <w:rFonts w:hint="eastAsia"/>
                <w:color w:val="auto"/>
                <w:sz w:val="24"/>
                <w:szCs w:val="24"/>
                <w:u w:val="single" w:color="auto"/>
                <w:lang w:eastAsia="zh-CN"/>
              </w:rPr>
              <w:t>），</w:t>
            </w:r>
            <w:r>
              <w:rPr>
                <w:rFonts w:hint="eastAsia"/>
                <w:color w:val="auto"/>
                <w:sz w:val="24"/>
                <w:szCs w:val="24"/>
                <w:u w:val="single" w:color="auto"/>
                <w:lang w:val="en-US" w:eastAsia="zh-CN"/>
              </w:rPr>
              <w:t>C</w:t>
            </w:r>
            <w:r>
              <w:rPr>
                <w:rFonts w:hint="eastAsia"/>
                <w:color w:val="auto"/>
                <w:sz w:val="24"/>
                <w:szCs w:val="24"/>
                <w:u w:val="single" w:color="auto"/>
              </w:rPr>
              <w:t>8031洗染服务500L/m</w:t>
            </w:r>
            <w:r>
              <w:rPr>
                <w:rFonts w:hint="eastAsia"/>
                <w:color w:val="auto"/>
                <w:sz w:val="24"/>
                <w:szCs w:val="24"/>
                <w:u w:val="single" w:color="auto"/>
                <w:vertAlign w:val="superscript"/>
                <w:lang w:val="en-US" w:eastAsia="zh-CN"/>
              </w:rPr>
              <w:t>2</w:t>
            </w:r>
            <w:r>
              <w:rPr>
                <w:rFonts w:hint="eastAsia"/>
                <w:color w:val="auto"/>
                <w:sz w:val="24"/>
                <w:szCs w:val="24"/>
                <w:u w:val="single" w:color="auto"/>
              </w:rPr>
              <w:t>·d洗衣(按营业面积)</w:t>
            </w:r>
            <w:r>
              <w:rPr>
                <w:rFonts w:hint="eastAsia"/>
                <w:color w:val="auto"/>
                <w:sz w:val="24"/>
                <w:szCs w:val="24"/>
                <w:u w:val="single" w:color="auto"/>
                <w:lang w:eastAsia="zh-CN"/>
              </w:rPr>
              <w:t>，更适应用洗衣店，且核算用水量远大于企业设备用水参数量，故本次核算以设备洗脱机用水参数进行计算。</w:t>
            </w:r>
          </w:p>
          <w:p w14:paraId="6D5DB2DC">
            <w:pPr>
              <w:adjustRightInd w:val="0"/>
              <w:snapToGrid w:val="0"/>
              <w:spacing w:line="360" w:lineRule="auto"/>
              <w:ind w:firstLine="480" w:firstLineChars="200"/>
              <w:rPr>
                <w:rFonts w:hint="eastAsia" w:eastAsia="宋体"/>
                <w:color w:val="auto"/>
                <w:sz w:val="24"/>
                <w:szCs w:val="24"/>
                <w:u w:val="single" w:color="auto"/>
                <w:lang w:eastAsia="zh-CN"/>
              </w:rPr>
            </w:pPr>
            <w:r>
              <w:rPr>
                <w:rFonts w:hint="eastAsia"/>
                <w:color w:val="auto"/>
                <w:sz w:val="24"/>
                <w:szCs w:val="24"/>
                <w:u w:val="single" w:color="auto"/>
              </w:rPr>
              <w:t>建设单位按照洗脱机的用水参数计算，公司清洗1t干衣物需要用水7m</w:t>
            </w:r>
            <w:r>
              <w:rPr>
                <w:rFonts w:hint="eastAsia"/>
                <w:color w:val="auto"/>
                <w:sz w:val="24"/>
                <w:szCs w:val="24"/>
                <w:u w:val="single" w:color="auto"/>
                <w:vertAlign w:val="superscript"/>
              </w:rPr>
              <w:t>3</w:t>
            </w:r>
            <w:r>
              <w:rPr>
                <w:rFonts w:hint="eastAsia"/>
                <w:color w:val="auto"/>
                <w:sz w:val="24"/>
                <w:szCs w:val="24"/>
                <w:u w:val="single" w:color="auto"/>
                <w:vertAlign w:val="baseline"/>
                <w:lang w:eastAsia="zh-CN"/>
              </w:rPr>
              <w:t>（不含锅炉提供的蒸汽量）</w:t>
            </w:r>
            <w:r>
              <w:rPr>
                <w:rFonts w:hint="eastAsia"/>
                <w:color w:val="auto"/>
                <w:sz w:val="24"/>
                <w:szCs w:val="24"/>
                <w:u w:val="single" w:color="auto"/>
              </w:rPr>
              <w:t>，本项目年洗涤酒店布草为1800t/a、医院布草600t/a，年工作天数为360天，每日用水量为46.67m</w:t>
            </w:r>
            <w:r>
              <w:rPr>
                <w:rFonts w:hint="eastAsia"/>
                <w:color w:val="auto"/>
                <w:sz w:val="24"/>
                <w:szCs w:val="24"/>
                <w:u w:val="single" w:color="auto"/>
                <w:vertAlign w:val="superscript"/>
              </w:rPr>
              <w:t>3</w:t>
            </w:r>
            <w:r>
              <w:rPr>
                <w:rFonts w:hint="eastAsia"/>
                <w:color w:val="auto"/>
                <w:sz w:val="24"/>
                <w:szCs w:val="24"/>
                <w:u w:val="single" w:color="auto"/>
              </w:rPr>
              <w:t>/d（16800m</w:t>
            </w:r>
            <w:r>
              <w:rPr>
                <w:rFonts w:hint="eastAsia"/>
                <w:color w:val="auto"/>
                <w:sz w:val="24"/>
                <w:szCs w:val="24"/>
                <w:u w:val="single" w:color="auto"/>
                <w:vertAlign w:val="superscript"/>
              </w:rPr>
              <w:t>3</w:t>
            </w:r>
            <w:r>
              <w:rPr>
                <w:rFonts w:hint="eastAsia"/>
                <w:color w:val="auto"/>
                <w:sz w:val="24"/>
                <w:szCs w:val="24"/>
                <w:u w:val="single" w:color="auto"/>
              </w:rPr>
              <w:t>/a）</w:t>
            </w:r>
            <w:r>
              <w:rPr>
                <w:rFonts w:hint="eastAsia"/>
                <w:color w:val="auto"/>
                <w:sz w:val="24"/>
                <w:szCs w:val="24"/>
                <w:u w:val="single" w:color="auto"/>
                <w:lang w:eastAsia="zh-CN"/>
              </w:rPr>
              <w:t>。</w:t>
            </w:r>
          </w:p>
          <w:p w14:paraId="61E9D4B5">
            <w:pPr>
              <w:adjustRightInd w:val="0"/>
              <w:snapToGrid w:val="0"/>
              <w:spacing w:line="360" w:lineRule="auto"/>
              <w:ind w:firstLine="480" w:firstLineChars="200"/>
              <w:rPr>
                <w:rFonts w:hint="eastAsia"/>
                <w:color w:val="auto"/>
                <w:sz w:val="24"/>
                <w:szCs w:val="24"/>
                <w:u w:val="single" w:color="auto"/>
                <w:lang w:eastAsia="zh-CN"/>
              </w:rPr>
            </w:pPr>
            <w:r>
              <w:rPr>
                <w:rFonts w:hint="eastAsia"/>
                <w:color w:val="auto"/>
                <w:sz w:val="24"/>
                <w:szCs w:val="24"/>
                <w:u w:val="single" w:color="auto"/>
              </w:rPr>
              <w:t>锅炉</w:t>
            </w:r>
            <w:r>
              <w:rPr>
                <w:rFonts w:hint="eastAsia"/>
                <w:color w:val="auto"/>
                <w:sz w:val="24"/>
                <w:szCs w:val="24"/>
                <w:u w:val="single" w:color="auto"/>
                <w:lang w:eastAsia="zh-CN"/>
              </w:rPr>
              <w:t>软水制备</w:t>
            </w:r>
            <w:r>
              <w:rPr>
                <w:rFonts w:hint="eastAsia"/>
                <w:color w:val="auto"/>
                <w:sz w:val="24"/>
                <w:szCs w:val="24"/>
                <w:u w:val="single" w:color="auto"/>
              </w:rPr>
              <w:t>用水：项目使用1台额定蒸汽量为4t/h的锅炉供热，每天工作8h，一年工作360d，满负荷耗水4m</w:t>
            </w:r>
            <w:r>
              <w:rPr>
                <w:rFonts w:hint="eastAsia"/>
                <w:color w:val="auto"/>
                <w:sz w:val="24"/>
                <w:szCs w:val="24"/>
                <w:u w:val="single" w:color="auto"/>
                <w:vertAlign w:val="superscript"/>
              </w:rPr>
              <w:t>3</w:t>
            </w:r>
            <w:r>
              <w:rPr>
                <w:rFonts w:hint="eastAsia"/>
                <w:color w:val="auto"/>
                <w:sz w:val="24"/>
                <w:szCs w:val="24"/>
                <w:u w:val="single" w:color="auto"/>
              </w:rPr>
              <w:t>/h。</w:t>
            </w:r>
            <w:r>
              <w:rPr>
                <w:rFonts w:hint="eastAsia"/>
                <w:color w:val="auto"/>
                <w:sz w:val="24"/>
                <w:szCs w:val="24"/>
                <w:u w:val="single" w:color="auto"/>
                <w:lang w:eastAsia="zh-CN"/>
              </w:rPr>
              <w:t>项目设一台软水制备装置为锅炉供水</w:t>
            </w:r>
            <w:r>
              <w:rPr>
                <w:rFonts w:hint="eastAsia"/>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软水制备设施出水率为85%，</w:t>
            </w:r>
            <w:r>
              <w:rPr>
                <w:rFonts w:hint="eastAsia"/>
                <w:color w:val="auto"/>
                <w:sz w:val="24"/>
                <w:szCs w:val="24"/>
                <w:u w:val="single" w:color="auto"/>
              </w:rPr>
              <w:t>每日用水量为</w:t>
            </w:r>
            <w:r>
              <w:rPr>
                <w:rFonts w:hint="eastAsia"/>
                <w:color w:val="auto"/>
                <w:sz w:val="24"/>
                <w:szCs w:val="24"/>
                <w:u w:val="single" w:color="auto"/>
                <w:lang w:val="en-US" w:eastAsia="zh-CN"/>
              </w:rPr>
              <w:t>37.64</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val="en-US" w:eastAsia="zh-CN"/>
              </w:rPr>
              <w:t>13553</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/a）</w:t>
            </w:r>
            <w:r>
              <w:rPr>
                <w:rFonts w:hint="eastAsia"/>
                <w:color w:val="auto"/>
                <w:sz w:val="24"/>
                <w:szCs w:val="24"/>
                <w:u w:val="single" w:color="auto"/>
                <w:lang w:eastAsia="zh-CN"/>
              </w:rPr>
              <w:t>。</w:t>
            </w:r>
          </w:p>
          <w:p w14:paraId="039E0058">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textAlignment w:val="auto"/>
              <w:rPr>
                <w:rFonts w:hint="eastAsia" w:ascii="Times New Roman" w:hAnsi="Times New Roman" w:eastAsia="宋体" w:cs="Times New Roman"/>
                <w:color w:val="auto"/>
                <w:sz w:val="24"/>
                <w:szCs w:val="24"/>
                <w:u w:val="single" w:color="auto"/>
                <w:lang w:val="en-US" w:eastAsia="zh-CN"/>
              </w:rPr>
            </w:pPr>
            <w:r>
              <w:rPr>
                <w:rFonts w:hint="eastAsia"/>
                <w:color w:val="auto"/>
                <w:sz w:val="24"/>
                <w:szCs w:val="24"/>
                <w:u w:val="single" w:color="auto"/>
                <w:lang w:eastAsia="zh-CN"/>
              </w:rPr>
              <w:t>锅炉定期补充水：</w:t>
            </w:r>
            <w:r>
              <w:rPr>
                <w:rFonts w:hint="eastAsia" w:ascii="Times New Roman" w:hAnsi="Times New Roman" w:eastAsia="宋体" w:cs="Times New Roman"/>
                <w:color w:val="auto"/>
                <w:sz w:val="24"/>
                <w:szCs w:val="24"/>
                <w:u w:val="single" w:color="auto"/>
                <w:lang w:val="en-US" w:eastAsia="zh-CN"/>
              </w:rPr>
              <w:t>锅炉同时需要定期排放浓水，防止锅炉结垢，排放浓水比例约为2%，锅炉定期排放浓水量为</w:t>
            </w:r>
            <w:r>
              <w:rPr>
                <w:rFonts w:hint="eastAsia"/>
                <w:color w:val="auto"/>
                <w:sz w:val="24"/>
                <w:szCs w:val="24"/>
                <w:u w:val="single" w:color="auto"/>
                <w:lang w:val="en-US" w:eastAsia="zh-CN"/>
              </w:rPr>
              <w:t>0.64</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eastAsia="zh-CN"/>
              </w:rPr>
              <w:t>（</w:t>
            </w:r>
            <w:r>
              <w:rPr>
                <w:rFonts w:hint="eastAsia" w:cs="Times New Roman"/>
                <w:color w:val="auto"/>
                <w:sz w:val="24"/>
                <w:szCs w:val="24"/>
                <w:u w:val="single" w:color="auto"/>
                <w:lang w:val="en-US" w:eastAsia="zh-CN"/>
              </w:rPr>
              <w:t>230.4</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a</w:t>
            </w:r>
            <w:r>
              <w:rPr>
                <w:rFonts w:hint="eastAsia"/>
                <w:color w:val="auto"/>
                <w:sz w:val="24"/>
                <w:szCs w:val="24"/>
                <w:u w:val="single" w:color="auto"/>
                <w:lang w:eastAsia="zh-CN"/>
              </w:rPr>
              <w:t>）</w:t>
            </w:r>
            <w:r>
              <w:rPr>
                <w:rFonts w:hint="eastAsia" w:ascii="Times New Roman" w:hAnsi="Times New Roman" w:cs="Times New Roman"/>
                <w:color w:val="auto"/>
                <w:sz w:val="24"/>
                <w:szCs w:val="24"/>
                <w:u w:val="single" w:color="auto"/>
                <w:lang w:val="en-US" w:eastAsia="zh-CN"/>
              </w:rPr>
              <w:t>，故定期需补充新鲜水</w:t>
            </w:r>
            <w:r>
              <w:rPr>
                <w:rFonts w:hint="eastAsia"/>
                <w:color w:val="auto"/>
                <w:sz w:val="24"/>
                <w:szCs w:val="24"/>
                <w:u w:val="single" w:color="auto"/>
                <w:lang w:val="en-US" w:eastAsia="zh-CN"/>
              </w:rPr>
              <w:t>0.64</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eastAsia="zh-CN"/>
              </w:rPr>
              <w:t>（</w:t>
            </w:r>
            <w:r>
              <w:rPr>
                <w:rFonts w:hint="eastAsia" w:cs="Times New Roman"/>
                <w:color w:val="auto"/>
                <w:sz w:val="24"/>
                <w:szCs w:val="24"/>
                <w:u w:val="single" w:color="auto"/>
                <w:lang w:val="en-US" w:eastAsia="zh-CN"/>
              </w:rPr>
              <w:t>230.4</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a</w:t>
            </w:r>
            <w:r>
              <w:rPr>
                <w:rFonts w:hint="eastAsia"/>
                <w:color w:val="auto"/>
                <w:sz w:val="24"/>
                <w:szCs w:val="24"/>
                <w:u w:val="single" w:color="auto"/>
                <w:lang w:eastAsia="zh-CN"/>
              </w:rPr>
              <w:t>）</w:t>
            </w:r>
            <w:r>
              <w:rPr>
                <w:rFonts w:hint="eastAsia" w:ascii="Times New Roman" w:hAnsi="Times New Roman" w:cs="Times New Roman"/>
                <w:color w:val="auto"/>
                <w:sz w:val="24"/>
                <w:szCs w:val="24"/>
                <w:u w:val="single" w:color="auto"/>
                <w:lang w:val="en-US" w:eastAsia="zh-CN"/>
              </w:rPr>
              <w:t>。</w:t>
            </w:r>
          </w:p>
          <w:p w14:paraId="59C9BF39">
            <w:pPr>
              <w:pStyle w:val="5"/>
              <w:spacing w:line="360" w:lineRule="auto"/>
              <w:rPr>
                <w:rFonts w:hint="eastAsia" w:eastAsia="宋体"/>
                <w:color w:val="auto"/>
                <w:sz w:val="24"/>
                <w:szCs w:val="24"/>
                <w:u w:val="single" w:color="auto"/>
                <w:lang w:eastAsia="zh-CN"/>
              </w:rPr>
            </w:pPr>
            <w:r>
              <w:rPr>
                <w:rFonts w:hint="eastAsia"/>
                <w:color w:val="auto"/>
                <w:sz w:val="24"/>
                <w:szCs w:val="24"/>
                <w:u w:val="single" w:color="auto"/>
                <w:lang w:eastAsia="zh-CN"/>
              </w:rPr>
              <w:t>地面保洁用水：项目地面保洁采用拖洗，</w:t>
            </w:r>
            <w:r>
              <w:rPr>
                <w:rFonts w:hint="eastAsia"/>
                <w:color w:val="auto"/>
                <w:kern w:val="2"/>
                <w:sz w:val="24"/>
                <w:szCs w:val="24"/>
                <w:u w:val="single" w:color="auto"/>
              </w:rPr>
              <w:t>本项目生产车间需清洁面积约</w:t>
            </w:r>
            <w:r>
              <w:rPr>
                <w:rFonts w:hint="eastAsia"/>
                <w:color w:val="auto"/>
                <w:kern w:val="2"/>
                <w:sz w:val="24"/>
                <w:szCs w:val="24"/>
                <w:u w:val="single" w:color="auto"/>
                <w:lang w:val="en-US" w:eastAsia="zh-CN"/>
              </w:rPr>
              <w:t>3600</w:t>
            </w:r>
            <w:r>
              <w:rPr>
                <w:rFonts w:hint="eastAsia"/>
                <w:color w:val="auto"/>
                <w:kern w:val="2"/>
                <w:sz w:val="24"/>
                <w:szCs w:val="24"/>
                <w:u w:val="single" w:color="auto"/>
              </w:rPr>
              <w:t>m</w:t>
            </w:r>
            <w:r>
              <w:rPr>
                <w:rFonts w:hint="eastAsia"/>
                <w:color w:val="auto"/>
                <w:kern w:val="2"/>
                <w:sz w:val="24"/>
                <w:szCs w:val="24"/>
                <w:u w:val="single" w:color="auto"/>
                <w:vertAlign w:val="superscript"/>
              </w:rPr>
              <w:t>2</w:t>
            </w:r>
            <w:r>
              <w:rPr>
                <w:rFonts w:hint="eastAsia"/>
                <w:color w:val="auto"/>
                <w:kern w:val="2"/>
                <w:sz w:val="24"/>
                <w:szCs w:val="24"/>
                <w:u w:val="single" w:color="auto"/>
              </w:rPr>
              <w:t>，用水量为0.1L/m</w:t>
            </w:r>
            <w:r>
              <w:rPr>
                <w:rFonts w:hint="eastAsia"/>
                <w:color w:val="auto"/>
                <w:kern w:val="2"/>
                <w:sz w:val="24"/>
                <w:szCs w:val="24"/>
                <w:u w:val="single" w:color="auto"/>
                <w:vertAlign w:val="superscript"/>
              </w:rPr>
              <w:t>2</w:t>
            </w:r>
            <w:r>
              <w:rPr>
                <w:color w:val="auto"/>
                <w:kern w:val="2"/>
                <w:sz w:val="24"/>
                <w:szCs w:val="24"/>
                <w:u w:val="single" w:color="auto"/>
              </w:rPr>
              <w:t>·d，测算用水量为</w:t>
            </w:r>
            <w:r>
              <w:rPr>
                <w:rFonts w:hint="eastAsia"/>
                <w:color w:val="auto"/>
                <w:kern w:val="2"/>
                <w:sz w:val="24"/>
                <w:szCs w:val="24"/>
                <w:u w:val="single" w:color="auto"/>
                <w:lang w:val="en-US" w:eastAsia="zh-CN"/>
              </w:rPr>
              <w:t>129.6</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a</w:t>
            </w:r>
            <w:r>
              <w:rPr>
                <w:rFonts w:hint="eastAsia"/>
                <w:color w:val="auto"/>
                <w:kern w:val="2"/>
                <w:sz w:val="24"/>
                <w:szCs w:val="24"/>
                <w:u w:val="single" w:color="auto"/>
              </w:rPr>
              <w:t>，</w:t>
            </w:r>
            <w:r>
              <w:rPr>
                <w:rFonts w:hint="eastAsia"/>
                <w:color w:val="auto"/>
                <w:kern w:val="2"/>
                <w:sz w:val="24"/>
                <w:szCs w:val="24"/>
                <w:u w:val="single" w:color="auto"/>
                <w:lang w:eastAsia="zh-CN"/>
              </w:rPr>
              <w:t>项目保洁用水来源软水制备浓水。</w:t>
            </w:r>
          </w:p>
          <w:p w14:paraId="3EA39191">
            <w:pPr>
              <w:adjustRightInd w:val="0"/>
              <w:snapToGrid w:val="0"/>
              <w:spacing w:line="360" w:lineRule="auto"/>
              <w:ind w:firstLine="480" w:firstLineChars="200"/>
              <w:rPr>
                <w:rFonts w:hint="eastAsia" w:hAnsi="宋体"/>
                <w:color w:val="auto"/>
                <w:sz w:val="24"/>
                <w:szCs w:val="24"/>
                <w:u w:val="single" w:color="auto"/>
              </w:rPr>
            </w:pPr>
            <w:r>
              <w:rPr>
                <w:rFonts w:hint="eastAsia"/>
                <w:color w:val="auto"/>
                <w:sz w:val="24"/>
                <w:szCs w:val="24"/>
                <w:u w:val="single" w:color="auto"/>
              </w:rPr>
              <w:t>生活用水：本项目新增员工为50人</w:t>
            </w:r>
            <w:r>
              <w:rPr>
                <w:color w:val="auto"/>
                <w:sz w:val="24"/>
                <w:szCs w:val="24"/>
                <w:u w:val="single" w:color="auto"/>
              </w:rPr>
              <w:t>，在厂区内食宿</w:t>
            </w:r>
            <w:r>
              <w:rPr>
                <w:rFonts w:hint="eastAsia"/>
                <w:color w:val="auto"/>
                <w:sz w:val="24"/>
                <w:szCs w:val="24"/>
                <w:u w:val="single" w:color="auto"/>
              </w:rPr>
              <w:t>人数约20人</w:t>
            </w:r>
            <w:r>
              <w:rPr>
                <w:color w:val="auto"/>
                <w:sz w:val="24"/>
                <w:szCs w:val="24"/>
                <w:u w:val="single" w:color="auto"/>
              </w:rPr>
              <w:t>，项目实施</w:t>
            </w:r>
            <w:r>
              <w:rPr>
                <w:rFonts w:hint="eastAsia"/>
                <w:color w:val="auto"/>
                <w:sz w:val="24"/>
                <w:szCs w:val="24"/>
                <w:u w:val="single" w:color="auto"/>
              </w:rPr>
              <w:t>1班制，每班工作时间8小时，年工作360天</w:t>
            </w:r>
            <w:r>
              <w:rPr>
                <w:rFonts w:hAnsi="宋体"/>
                <w:color w:val="auto"/>
                <w:sz w:val="24"/>
                <w:szCs w:val="24"/>
                <w:u w:val="single" w:color="auto"/>
              </w:rPr>
              <w:t>。</w:t>
            </w:r>
            <w:r>
              <w:rPr>
                <w:rFonts w:hint="eastAsia" w:hAnsi="宋体"/>
                <w:color w:val="auto"/>
                <w:sz w:val="24"/>
                <w:szCs w:val="24"/>
                <w:u w:val="single" w:color="auto"/>
              </w:rPr>
              <w:t>食宿人员</w:t>
            </w:r>
            <w:r>
              <w:rPr>
                <w:rFonts w:hAnsi="宋体"/>
                <w:color w:val="auto"/>
                <w:sz w:val="24"/>
                <w:szCs w:val="24"/>
                <w:u w:val="single" w:color="auto"/>
              </w:rPr>
              <w:t>参考《湖南省地方标准用水定额》（DB43/T388-20</w:t>
            </w:r>
            <w:r>
              <w:rPr>
                <w:rFonts w:hint="eastAsia" w:hAnsi="宋体"/>
                <w:color w:val="auto"/>
                <w:sz w:val="24"/>
                <w:szCs w:val="24"/>
                <w:u w:val="single" w:color="auto"/>
              </w:rPr>
              <w:t>20</w:t>
            </w:r>
            <w:r>
              <w:rPr>
                <w:rFonts w:hAnsi="宋体"/>
                <w:color w:val="auto"/>
                <w:sz w:val="24"/>
                <w:szCs w:val="24"/>
                <w:u w:val="single" w:color="auto"/>
              </w:rPr>
              <w:t>）中城镇居民生活用水定额，用水定额为</w:t>
            </w:r>
            <w:r>
              <w:rPr>
                <w:rFonts w:hint="eastAsia" w:hAnsi="宋体"/>
                <w:color w:val="auto"/>
                <w:sz w:val="24"/>
                <w:szCs w:val="24"/>
                <w:u w:val="single" w:color="auto"/>
              </w:rPr>
              <w:t>145L/人</w:t>
            </w:r>
            <w:r>
              <w:rPr>
                <w:rFonts w:hint="eastAsia"/>
                <w:color w:val="auto"/>
                <w:sz w:val="24"/>
                <w:szCs w:val="24"/>
                <w:u w:val="single" w:color="auto"/>
              </w:rPr>
              <w:t>•d</w:t>
            </w:r>
            <w:r>
              <w:rPr>
                <w:rFonts w:hint="eastAsia" w:hAnsi="宋体"/>
                <w:color w:val="auto"/>
                <w:sz w:val="24"/>
                <w:szCs w:val="24"/>
                <w:u w:val="single" w:color="auto"/>
              </w:rPr>
              <w:t>，非食宿人员</w:t>
            </w:r>
            <w:r>
              <w:rPr>
                <w:rFonts w:hAnsi="宋体"/>
                <w:color w:val="auto"/>
                <w:sz w:val="24"/>
                <w:szCs w:val="24"/>
                <w:u w:val="single" w:color="auto"/>
              </w:rPr>
              <w:t>参考</w:t>
            </w:r>
            <w:r>
              <w:rPr>
                <w:rFonts w:hint="eastAsia" w:hAnsi="宋体"/>
                <w:color w:val="auto"/>
                <w:sz w:val="24"/>
                <w:szCs w:val="24"/>
                <w:u w:val="single" w:color="auto"/>
              </w:rPr>
              <w:t>办公单位人员用水量</w:t>
            </w:r>
            <w:r>
              <w:rPr>
                <w:rFonts w:hint="eastAsia" w:hAnsi="宋体"/>
                <w:color w:val="auto"/>
                <w:sz w:val="24"/>
                <w:szCs w:val="24"/>
                <w:u w:val="single" w:color="auto"/>
                <w:lang w:val="en-US" w:eastAsia="zh-CN"/>
              </w:rPr>
              <w:t>38</w:t>
            </w:r>
            <w:r>
              <w:rPr>
                <w:rFonts w:hint="eastAsia" w:hAnsi="宋体"/>
                <w:color w:val="auto"/>
                <w:sz w:val="24"/>
                <w:szCs w:val="24"/>
                <w:u w:val="single" w:color="auto"/>
              </w:rPr>
              <w:t>L/人</w:t>
            </w:r>
            <w:r>
              <w:rPr>
                <w:rFonts w:hint="eastAsia"/>
                <w:color w:val="auto"/>
                <w:sz w:val="24"/>
                <w:szCs w:val="24"/>
                <w:u w:val="single" w:color="auto"/>
              </w:rPr>
              <w:t>•d</w:t>
            </w:r>
            <w:r>
              <w:rPr>
                <w:rFonts w:hint="eastAsia" w:hAnsi="宋体"/>
                <w:color w:val="auto"/>
                <w:sz w:val="24"/>
                <w:szCs w:val="24"/>
                <w:u w:val="single" w:color="auto"/>
              </w:rPr>
              <w:t>，</w:t>
            </w:r>
            <w:r>
              <w:rPr>
                <w:rFonts w:hAnsi="宋体"/>
                <w:color w:val="auto"/>
                <w:sz w:val="24"/>
                <w:szCs w:val="24"/>
                <w:u w:val="single" w:color="auto"/>
              </w:rPr>
              <w:t>项目生活用水量为</w:t>
            </w:r>
            <w:r>
              <w:rPr>
                <w:rFonts w:hint="eastAsia" w:hAnsi="宋体"/>
                <w:color w:val="auto"/>
                <w:sz w:val="24"/>
                <w:szCs w:val="24"/>
                <w:u w:val="single" w:color="auto"/>
              </w:rPr>
              <w:t>1454.4</w:t>
            </w:r>
            <w:r>
              <w:rPr>
                <w:rFonts w:hAnsi="宋体"/>
                <w:color w:val="auto"/>
                <w:sz w:val="24"/>
                <w:szCs w:val="24"/>
                <w:u w:val="single" w:color="auto"/>
              </w:rPr>
              <w:t>m</w:t>
            </w:r>
            <w:r>
              <w:rPr>
                <w:rFonts w:hAnsi="宋体"/>
                <w:color w:val="auto"/>
                <w:sz w:val="24"/>
                <w:szCs w:val="24"/>
                <w:u w:val="single" w:color="auto"/>
                <w:vertAlign w:val="superscript"/>
              </w:rPr>
              <w:t>3</w:t>
            </w:r>
            <w:r>
              <w:rPr>
                <w:rFonts w:hAnsi="宋体"/>
                <w:color w:val="auto"/>
                <w:sz w:val="24"/>
                <w:szCs w:val="24"/>
                <w:u w:val="single" w:color="auto"/>
              </w:rPr>
              <w:t>/a（</w:t>
            </w:r>
            <w:r>
              <w:rPr>
                <w:rFonts w:hint="eastAsia" w:hAnsi="宋体"/>
                <w:color w:val="auto"/>
                <w:sz w:val="24"/>
                <w:szCs w:val="24"/>
                <w:u w:val="single" w:color="auto"/>
              </w:rPr>
              <w:t>4.04</w:t>
            </w:r>
            <w:r>
              <w:rPr>
                <w:rFonts w:hAnsi="宋体"/>
                <w:color w:val="auto"/>
                <w:sz w:val="24"/>
                <w:szCs w:val="24"/>
                <w:u w:val="single" w:color="auto"/>
              </w:rPr>
              <w:t>m</w:t>
            </w:r>
            <w:r>
              <w:rPr>
                <w:rFonts w:hAnsi="宋体"/>
                <w:color w:val="auto"/>
                <w:sz w:val="24"/>
                <w:szCs w:val="24"/>
                <w:u w:val="single" w:color="auto"/>
                <w:vertAlign w:val="superscript"/>
              </w:rPr>
              <w:t>3</w:t>
            </w:r>
            <w:r>
              <w:rPr>
                <w:rFonts w:hAnsi="宋体"/>
                <w:color w:val="auto"/>
                <w:sz w:val="24"/>
                <w:szCs w:val="24"/>
                <w:u w:val="single" w:color="auto"/>
              </w:rPr>
              <w:t>/d）。</w:t>
            </w:r>
          </w:p>
          <w:p w14:paraId="64A2790B">
            <w:pPr>
              <w:adjustRightInd w:val="0"/>
              <w:snapToGrid w:val="0"/>
              <w:spacing w:line="360" w:lineRule="auto"/>
              <w:ind w:firstLine="480" w:firstLineChars="200"/>
              <w:rPr>
                <w:bCs/>
                <w:color w:val="auto"/>
                <w:sz w:val="24"/>
                <w:szCs w:val="24"/>
                <w:u w:val="single" w:color="auto"/>
              </w:rPr>
            </w:pPr>
            <w:r>
              <w:rPr>
                <w:rFonts w:hint="eastAsia"/>
                <w:bCs/>
                <w:color w:val="auto"/>
                <w:sz w:val="24"/>
                <w:szCs w:val="24"/>
                <w:u w:val="single" w:color="auto"/>
              </w:rPr>
              <w:t>（2）排水</w:t>
            </w:r>
          </w:p>
          <w:p w14:paraId="480A810C">
            <w:pPr>
              <w:adjustRightInd w:val="0"/>
              <w:snapToGrid w:val="0"/>
              <w:spacing w:line="360" w:lineRule="auto"/>
              <w:ind w:firstLine="480" w:firstLineChars="200"/>
              <w:rPr>
                <w:bCs/>
                <w:color w:val="auto"/>
                <w:sz w:val="24"/>
                <w:szCs w:val="24"/>
                <w:u w:val="single" w:color="auto"/>
              </w:rPr>
            </w:pPr>
            <w:r>
              <w:rPr>
                <w:rFonts w:hint="eastAsia"/>
                <w:color w:val="auto"/>
                <w:sz w:val="24"/>
                <w:szCs w:val="24"/>
                <w:u w:val="single" w:color="auto"/>
              </w:rPr>
              <w:t>本项目实行雨污分流，雨水进入园区雨水管网，各车间生产废水经车间外预处理，后统一经厂区废水处理站生化+消毒处理，生活污水经化粪池处理，两股废水一并经通过厂区北侧污水排放口排至市政管网，纳入衡阳西渡高新区污水处理，</w:t>
            </w:r>
            <w:r>
              <w:rPr>
                <w:rFonts w:hint="eastAsia"/>
                <w:bCs/>
                <w:color w:val="auto"/>
                <w:sz w:val="24"/>
                <w:szCs w:val="24"/>
                <w:u w:val="single" w:color="auto"/>
              </w:rPr>
              <w:t>最终排入蒸水。</w:t>
            </w:r>
            <w:r>
              <w:rPr>
                <w:rFonts w:hint="eastAsia"/>
                <w:color w:val="auto"/>
                <w:sz w:val="24"/>
                <w:szCs w:val="24"/>
                <w:u w:val="single" w:color="auto"/>
                <w:lang w:eastAsia="zh-CN"/>
              </w:rPr>
              <w:t>软水制备浓水、锅炉定期排放浓水通过管道直接排入雨水管网。</w:t>
            </w:r>
          </w:p>
          <w:p w14:paraId="56059255">
            <w:pPr>
              <w:adjustRightInd w:val="0"/>
              <w:snapToGrid w:val="0"/>
              <w:spacing w:line="360" w:lineRule="auto"/>
              <w:ind w:firstLine="480" w:firstLineChars="200"/>
              <w:rPr>
                <w:bCs/>
                <w:color w:val="auto"/>
                <w:sz w:val="24"/>
                <w:szCs w:val="24"/>
                <w:u w:val="single" w:color="auto"/>
              </w:rPr>
            </w:pPr>
            <w:r>
              <w:rPr>
                <w:rFonts w:hint="eastAsia"/>
                <w:color w:val="auto"/>
                <w:sz w:val="24"/>
                <w:szCs w:val="24"/>
                <w:u w:val="single" w:color="auto"/>
                <w:lang w:eastAsia="zh-CN"/>
              </w:rPr>
              <w:t>洗涤废水：洗涤废水</w:t>
            </w:r>
            <w:r>
              <w:rPr>
                <w:rFonts w:hint="eastAsia"/>
                <w:color w:val="auto"/>
                <w:sz w:val="24"/>
                <w:szCs w:val="24"/>
                <w:u w:val="single" w:color="auto"/>
              </w:rPr>
              <w:t>排放量为生产用水量的90%，则</w:t>
            </w:r>
            <w:r>
              <w:rPr>
                <w:rFonts w:hint="eastAsia"/>
                <w:color w:val="auto"/>
                <w:sz w:val="24"/>
                <w:szCs w:val="24"/>
                <w:u w:val="single" w:color="auto"/>
                <w:lang w:eastAsia="zh-CN"/>
              </w:rPr>
              <w:t>洗涤用水来源于新鲜水及部分蒸汽，</w:t>
            </w:r>
            <w:r>
              <w:rPr>
                <w:rFonts w:hint="eastAsia"/>
                <w:color w:val="auto"/>
                <w:sz w:val="24"/>
                <w:szCs w:val="24"/>
                <w:u w:val="single" w:color="auto"/>
              </w:rPr>
              <w:t>洗涤废水产生量为</w:t>
            </w:r>
            <w:r>
              <w:rPr>
                <w:rFonts w:hint="eastAsia"/>
                <w:color w:val="auto"/>
                <w:sz w:val="24"/>
                <w:szCs w:val="24"/>
                <w:u w:val="single" w:color="auto"/>
                <w:lang w:val="en-US" w:eastAsia="zh-CN"/>
              </w:rPr>
              <w:t>51</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/d（约</w:t>
            </w:r>
            <w:r>
              <w:rPr>
                <w:rFonts w:hint="eastAsia"/>
                <w:color w:val="auto"/>
                <w:sz w:val="24"/>
                <w:szCs w:val="24"/>
                <w:u w:val="single" w:color="auto"/>
                <w:lang w:eastAsia="zh-CN"/>
              </w:rPr>
              <w:t>18360</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/a）；经车间东侧沉淀池预处理后，进入产区废水处理站通过厂区北侧污水排放口排至市政管网，纳入衡阳西渡高新区污水处理，</w:t>
            </w:r>
            <w:r>
              <w:rPr>
                <w:rFonts w:hint="eastAsia"/>
                <w:bCs/>
                <w:color w:val="auto"/>
                <w:sz w:val="24"/>
                <w:szCs w:val="24"/>
                <w:u w:val="single" w:color="auto"/>
              </w:rPr>
              <w:t>最终排入蒸水。</w:t>
            </w:r>
          </w:p>
          <w:p w14:paraId="7EA82D26">
            <w:pPr>
              <w:adjustRightInd w:val="0"/>
              <w:snapToGrid w:val="0"/>
              <w:spacing w:line="360" w:lineRule="auto"/>
              <w:ind w:firstLine="480" w:firstLineChars="200"/>
              <w:rPr>
                <w:rFonts w:hint="eastAsia" w:eastAsia="宋体"/>
                <w:color w:val="auto"/>
                <w:sz w:val="24"/>
                <w:szCs w:val="24"/>
                <w:u w:val="single" w:color="auto"/>
                <w:lang w:val="en-US" w:eastAsia="zh-CN"/>
              </w:rPr>
            </w:pPr>
            <w:r>
              <w:rPr>
                <w:rFonts w:hint="eastAsia"/>
                <w:color w:val="auto"/>
                <w:sz w:val="24"/>
                <w:szCs w:val="24"/>
                <w:u w:val="single" w:color="auto"/>
                <w:lang w:eastAsia="zh-CN"/>
              </w:rPr>
              <w:t>软水制备浓水：</w:t>
            </w:r>
            <w:r>
              <w:rPr>
                <w:rFonts w:hint="eastAsia" w:ascii="Times New Roman" w:hAnsi="Times New Roman" w:eastAsia="宋体" w:cs="Times New Roman"/>
                <w:color w:val="auto"/>
                <w:sz w:val="24"/>
                <w:szCs w:val="24"/>
                <w:u w:val="single" w:color="auto"/>
                <w:lang w:val="en-US" w:eastAsia="zh-CN"/>
              </w:rPr>
              <w:t>软水制备设施出水率为85%，</w:t>
            </w:r>
            <w:r>
              <w:rPr>
                <w:rFonts w:hint="eastAsia"/>
                <w:color w:val="auto"/>
                <w:sz w:val="24"/>
                <w:szCs w:val="24"/>
                <w:u w:val="single" w:color="auto"/>
              </w:rPr>
              <w:t>每日用水量为</w:t>
            </w:r>
            <w:r>
              <w:rPr>
                <w:rFonts w:hint="eastAsia"/>
                <w:color w:val="auto"/>
                <w:sz w:val="24"/>
                <w:szCs w:val="24"/>
                <w:u w:val="single" w:color="auto"/>
                <w:lang w:val="en-US" w:eastAsia="zh-CN"/>
              </w:rPr>
              <w:t>37.64</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val="en-US" w:eastAsia="zh-CN"/>
              </w:rPr>
              <w:t>13553</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/a）</w:t>
            </w:r>
            <w:r>
              <w:rPr>
                <w:rFonts w:hint="eastAsia"/>
                <w:color w:val="auto"/>
                <w:sz w:val="24"/>
                <w:szCs w:val="24"/>
                <w:u w:val="single" w:color="auto"/>
                <w:lang w:eastAsia="zh-CN"/>
              </w:rPr>
              <w:t>，则软水制备浓水产生量为</w:t>
            </w:r>
            <w:r>
              <w:rPr>
                <w:rFonts w:hint="eastAsia"/>
                <w:color w:val="auto"/>
                <w:sz w:val="24"/>
                <w:szCs w:val="24"/>
                <w:u w:val="single" w:color="auto"/>
                <w:lang w:val="en-US" w:eastAsia="zh-CN"/>
              </w:rPr>
              <w:t>5.65</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val="en-US" w:eastAsia="zh-CN"/>
              </w:rPr>
              <w:t>2033</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/a）</w:t>
            </w:r>
            <w:r>
              <w:rPr>
                <w:rFonts w:hint="eastAsia"/>
                <w:color w:val="auto"/>
                <w:sz w:val="24"/>
                <w:szCs w:val="24"/>
                <w:u w:val="single" w:color="auto"/>
                <w:lang w:eastAsia="zh-CN"/>
              </w:rPr>
              <w:t>。</w:t>
            </w:r>
          </w:p>
          <w:p w14:paraId="0443D652">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textAlignment w:val="auto"/>
              <w:rPr>
                <w:rFonts w:hint="eastAsia" w:ascii="Times New Roman" w:hAnsi="Times New Roman" w:eastAsia="宋体" w:cs="Times New Roman"/>
                <w:color w:val="auto"/>
                <w:sz w:val="24"/>
                <w:szCs w:val="24"/>
                <w:u w:val="single" w:color="auto"/>
                <w:lang w:val="en-US" w:eastAsia="zh-CN"/>
              </w:rPr>
            </w:pPr>
            <w:r>
              <w:rPr>
                <w:rFonts w:hint="eastAsia"/>
                <w:color w:val="auto"/>
                <w:sz w:val="24"/>
                <w:szCs w:val="24"/>
                <w:u w:val="single" w:color="auto"/>
                <w:lang w:eastAsia="zh-CN"/>
              </w:rPr>
              <w:t>锅炉定期排放浓水：</w:t>
            </w:r>
            <w:r>
              <w:rPr>
                <w:rFonts w:hint="eastAsia" w:ascii="Times New Roman" w:hAnsi="Times New Roman" w:eastAsia="宋体" w:cs="Times New Roman"/>
                <w:color w:val="auto"/>
                <w:sz w:val="24"/>
                <w:szCs w:val="24"/>
                <w:u w:val="single" w:color="auto"/>
                <w:lang w:val="en-US" w:eastAsia="zh-CN"/>
              </w:rPr>
              <w:t>锅炉同时需要定期排放浓水，防止锅炉结垢，排放浓水比例约为2%，锅炉定期排放浓水量为</w:t>
            </w:r>
            <w:r>
              <w:rPr>
                <w:rFonts w:hint="eastAsia" w:ascii="Times New Roman" w:hAnsi="Times New Roman" w:cs="Times New Roman"/>
                <w:color w:val="auto"/>
                <w:sz w:val="24"/>
                <w:szCs w:val="24"/>
                <w:u w:val="single" w:color="auto"/>
                <w:lang w:val="en-US" w:eastAsia="zh-CN"/>
              </w:rPr>
              <w:t>0.64</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eastAsia="zh-CN"/>
              </w:rPr>
              <w:t>（</w:t>
            </w:r>
            <w:r>
              <w:rPr>
                <w:rFonts w:hint="eastAsia" w:cs="Times New Roman"/>
                <w:color w:val="auto"/>
                <w:sz w:val="24"/>
                <w:szCs w:val="24"/>
                <w:u w:val="single" w:color="auto"/>
                <w:lang w:val="en-US" w:eastAsia="zh-CN"/>
              </w:rPr>
              <w:t>230.4</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a</w:t>
            </w:r>
            <w:r>
              <w:rPr>
                <w:rFonts w:hint="eastAsia"/>
                <w:color w:val="auto"/>
                <w:sz w:val="24"/>
                <w:szCs w:val="24"/>
                <w:u w:val="single" w:color="auto"/>
                <w:lang w:eastAsia="zh-CN"/>
              </w:rPr>
              <w:t>）</w:t>
            </w:r>
            <w:r>
              <w:rPr>
                <w:rFonts w:hint="eastAsia" w:ascii="Times New Roman" w:hAnsi="Times New Roman" w:eastAsia="宋体" w:cs="Times New Roman"/>
                <w:color w:val="auto"/>
                <w:sz w:val="24"/>
                <w:szCs w:val="24"/>
                <w:u w:val="single" w:color="auto"/>
                <w:lang w:val="en-US" w:eastAsia="zh-CN"/>
              </w:rPr>
              <w:t>。</w:t>
            </w:r>
          </w:p>
          <w:p w14:paraId="561833FD">
            <w:pPr>
              <w:adjustRightInd w:val="0"/>
              <w:snapToGrid w:val="0"/>
              <w:spacing w:line="360" w:lineRule="auto"/>
              <w:ind w:firstLine="480" w:firstLineChars="200"/>
              <w:rPr>
                <w:rFonts w:hint="eastAsia"/>
                <w:color w:val="FF0000"/>
                <w:sz w:val="24"/>
                <w:szCs w:val="24"/>
                <w:u w:val="single" w:color="auto"/>
                <w:lang w:eastAsia="zh-CN"/>
              </w:rPr>
            </w:pPr>
            <w:r>
              <w:rPr>
                <w:rFonts w:hint="eastAsia"/>
                <w:color w:val="auto"/>
                <w:sz w:val="24"/>
                <w:szCs w:val="24"/>
                <w:u w:val="single" w:color="auto"/>
                <w:lang w:eastAsia="zh-CN"/>
              </w:rPr>
              <w:t>地面保洁用水：项目地面保洁采用拖洗，</w:t>
            </w:r>
            <w:r>
              <w:rPr>
                <w:rFonts w:hint="eastAsia"/>
                <w:color w:val="auto"/>
                <w:kern w:val="2"/>
                <w:sz w:val="24"/>
                <w:szCs w:val="24"/>
                <w:u w:val="single" w:color="auto"/>
              </w:rPr>
              <w:t>本项目生产车间需清洁面积约</w:t>
            </w:r>
            <w:r>
              <w:rPr>
                <w:rFonts w:hint="eastAsia"/>
                <w:color w:val="auto"/>
                <w:kern w:val="2"/>
                <w:sz w:val="24"/>
                <w:szCs w:val="24"/>
                <w:u w:val="single" w:color="auto"/>
                <w:lang w:val="en-US" w:eastAsia="zh-CN"/>
              </w:rPr>
              <w:t>3600</w:t>
            </w:r>
            <w:r>
              <w:rPr>
                <w:rFonts w:hint="eastAsia"/>
                <w:color w:val="auto"/>
                <w:kern w:val="2"/>
                <w:sz w:val="24"/>
                <w:szCs w:val="24"/>
                <w:u w:val="single" w:color="auto"/>
              </w:rPr>
              <w:t>m</w:t>
            </w:r>
            <w:r>
              <w:rPr>
                <w:rFonts w:hint="eastAsia"/>
                <w:color w:val="auto"/>
                <w:kern w:val="2"/>
                <w:sz w:val="24"/>
                <w:szCs w:val="24"/>
                <w:u w:val="single" w:color="auto"/>
                <w:vertAlign w:val="superscript"/>
              </w:rPr>
              <w:t>2</w:t>
            </w:r>
            <w:r>
              <w:rPr>
                <w:rFonts w:hint="eastAsia"/>
                <w:color w:val="auto"/>
                <w:kern w:val="2"/>
                <w:sz w:val="24"/>
                <w:szCs w:val="24"/>
                <w:u w:val="single" w:color="auto"/>
              </w:rPr>
              <w:t>，用水量为0.1L/m</w:t>
            </w:r>
            <w:r>
              <w:rPr>
                <w:rFonts w:hint="eastAsia"/>
                <w:color w:val="auto"/>
                <w:kern w:val="2"/>
                <w:sz w:val="24"/>
                <w:szCs w:val="24"/>
                <w:u w:val="single" w:color="auto"/>
                <w:vertAlign w:val="superscript"/>
              </w:rPr>
              <w:t>2</w:t>
            </w:r>
            <w:r>
              <w:rPr>
                <w:color w:val="auto"/>
                <w:kern w:val="2"/>
                <w:sz w:val="24"/>
                <w:szCs w:val="24"/>
                <w:u w:val="single" w:color="auto"/>
              </w:rPr>
              <w:t>·d，</w:t>
            </w:r>
            <w:r>
              <w:rPr>
                <w:rFonts w:hint="eastAsia"/>
                <w:color w:val="auto"/>
                <w:kern w:val="2"/>
                <w:sz w:val="24"/>
                <w:szCs w:val="24"/>
                <w:u w:val="single" w:color="auto"/>
                <w:lang w:eastAsia="zh-CN"/>
              </w:rPr>
              <w:t>每日清洁一次，则</w:t>
            </w:r>
            <w:r>
              <w:rPr>
                <w:color w:val="auto"/>
                <w:kern w:val="2"/>
                <w:sz w:val="24"/>
                <w:szCs w:val="24"/>
                <w:u w:val="single" w:color="auto"/>
              </w:rPr>
              <w:t>用水量为</w:t>
            </w:r>
            <w:r>
              <w:rPr>
                <w:rFonts w:hint="eastAsia" w:ascii="Times New Roman" w:hAnsi="Times New Roman" w:cs="Times New Roman"/>
                <w:color w:val="auto"/>
                <w:sz w:val="24"/>
                <w:szCs w:val="24"/>
                <w:u w:val="single" w:color="auto"/>
                <w:lang w:val="en-US" w:eastAsia="zh-CN"/>
              </w:rPr>
              <w:t>0.36</w:t>
            </w:r>
            <w:r>
              <w:rPr>
                <w:rFonts w:hint="eastAsia"/>
                <w:color w:val="auto"/>
                <w:sz w:val="24"/>
                <w:szCs w:val="24"/>
                <w:u w:val="single" w:color="auto"/>
              </w:rPr>
              <w:t>m</w:t>
            </w:r>
            <w:r>
              <w:rPr>
                <w:rFonts w:hint="eastAsia"/>
                <w:color w:val="auto"/>
                <w:sz w:val="24"/>
                <w:szCs w:val="24"/>
                <w:u w:val="single" w:color="auto"/>
                <w:vertAlign w:val="superscript"/>
              </w:rPr>
              <w:t>3</w:t>
            </w:r>
            <w:r>
              <w:rPr>
                <w:rFonts w:hint="eastAsia"/>
                <w:color w:val="auto"/>
                <w:sz w:val="24"/>
                <w:szCs w:val="24"/>
                <w:u w:val="single" w:color="auto"/>
              </w:rPr>
              <w:t>/d</w:t>
            </w:r>
            <w:r>
              <w:rPr>
                <w:rFonts w:hint="eastAsia"/>
                <w:color w:val="auto"/>
                <w:sz w:val="24"/>
                <w:szCs w:val="24"/>
                <w:u w:val="single" w:color="auto"/>
                <w:lang w:eastAsia="zh-CN"/>
              </w:rPr>
              <w:t>（</w:t>
            </w:r>
            <w:r>
              <w:rPr>
                <w:rFonts w:hint="eastAsia"/>
                <w:color w:val="auto"/>
                <w:kern w:val="2"/>
                <w:sz w:val="24"/>
                <w:szCs w:val="24"/>
                <w:u w:val="single" w:color="auto"/>
                <w:lang w:val="en-US" w:eastAsia="zh-CN"/>
              </w:rPr>
              <w:t>129.6</w:t>
            </w:r>
            <w:r>
              <w:rPr>
                <w:rFonts w:hint="eastAsia" w:ascii="Times New Roman" w:hAnsi="Times New Roman" w:eastAsia="宋体" w:cs="Times New Roman"/>
                <w:color w:val="auto"/>
                <w:sz w:val="24"/>
                <w:szCs w:val="24"/>
                <w:u w:val="single" w:color="auto"/>
              </w:rPr>
              <w:t>m</w:t>
            </w:r>
            <w:r>
              <w:rPr>
                <w:rFonts w:hint="eastAsia" w:ascii="Times New Roman" w:hAnsi="Times New Roman" w:eastAsia="宋体" w:cs="Times New Roman"/>
                <w:color w:val="auto"/>
                <w:sz w:val="24"/>
                <w:szCs w:val="24"/>
                <w:u w:val="single" w:color="auto"/>
                <w:vertAlign w:val="superscript"/>
              </w:rPr>
              <w:t>3</w:t>
            </w:r>
            <w:r>
              <w:rPr>
                <w:rFonts w:hint="eastAsia" w:ascii="Times New Roman" w:hAnsi="Times New Roman" w:eastAsia="宋体" w:cs="Times New Roman"/>
                <w:color w:val="auto"/>
                <w:sz w:val="24"/>
                <w:szCs w:val="24"/>
                <w:u w:val="single" w:color="auto"/>
              </w:rPr>
              <w:t>/</w:t>
            </w:r>
            <w:r>
              <w:rPr>
                <w:rFonts w:hint="eastAsia" w:ascii="Times New Roman" w:hAnsi="Times New Roman" w:eastAsia="宋体" w:cs="Times New Roman"/>
                <w:color w:val="auto"/>
                <w:sz w:val="24"/>
                <w:szCs w:val="24"/>
                <w:u w:val="single" w:color="auto"/>
                <w:lang w:val="en-US" w:eastAsia="zh-CN"/>
              </w:rPr>
              <w:t>a</w:t>
            </w:r>
            <w:r>
              <w:rPr>
                <w:rFonts w:hint="eastAsia" w:ascii="Times New Roman" w:hAnsi="Times New Roman" w:cs="Times New Roman"/>
                <w:color w:val="auto"/>
                <w:sz w:val="24"/>
                <w:szCs w:val="24"/>
                <w:u w:val="single" w:color="auto"/>
                <w:lang w:val="en-US" w:eastAsia="zh-CN"/>
              </w:rPr>
              <w:t>）</w:t>
            </w:r>
            <w:r>
              <w:rPr>
                <w:rFonts w:hint="eastAsia"/>
                <w:color w:val="auto"/>
                <w:kern w:val="2"/>
                <w:sz w:val="24"/>
                <w:szCs w:val="24"/>
                <w:u w:val="single" w:color="auto"/>
              </w:rPr>
              <w:t>，</w:t>
            </w:r>
            <w:r>
              <w:rPr>
                <w:rFonts w:hint="eastAsia"/>
                <w:color w:val="auto"/>
                <w:kern w:val="2"/>
                <w:sz w:val="24"/>
                <w:szCs w:val="24"/>
                <w:u w:val="single" w:color="auto"/>
                <w:lang w:eastAsia="zh-CN"/>
              </w:rPr>
              <w:t>项目保洁用水来源软水制备浓水，无废水排放。</w:t>
            </w:r>
          </w:p>
          <w:p w14:paraId="57A1C4D4">
            <w:pPr>
              <w:adjustRightInd w:val="0"/>
              <w:snapToGrid w:val="0"/>
              <w:spacing w:line="360" w:lineRule="auto"/>
              <w:ind w:firstLine="480" w:firstLineChars="200"/>
              <w:rPr>
                <w:rFonts w:hint="eastAsia" w:hAnsi="宋体"/>
                <w:sz w:val="24"/>
                <w:szCs w:val="24"/>
                <w:u w:val="single" w:color="auto"/>
              </w:rPr>
            </w:pPr>
            <w:r>
              <w:rPr>
                <w:rFonts w:hint="eastAsia"/>
                <w:bCs/>
                <w:sz w:val="24"/>
                <w:szCs w:val="24"/>
                <w:u w:val="single" w:color="auto"/>
              </w:rPr>
              <w:t>项目</w:t>
            </w:r>
            <w:r>
              <w:rPr>
                <w:rFonts w:hint="eastAsia" w:hAnsi="宋体"/>
                <w:sz w:val="24"/>
                <w:szCs w:val="24"/>
                <w:u w:val="single" w:color="auto"/>
              </w:rPr>
              <w:t>生活污水产生量按0.8计，则项目生活污水排放量为1163.52</w:t>
            </w:r>
            <w:r>
              <w:rPr>
                <w:rFonts w:hAnsi="宋体"/>
                <w:sz w:val="24"/>
                <w:szCs w:val="24"/>
                <w:u w:val="single" w:color="auto"/>
              </w:rPr>
              <w:t>m</w:t>
            </w:r>
            <w:r>
              <w:rPr>
                <w:rFonts w:hAnsi="宋体"/>
                <w:sz w:val="24"/>
                <w:szCs w:val="24"/>
                <w:u w:val="single" w:color="auto"/>
                <w:vertAlign w:val="superscript"/>
              </w:rPr>
              <w:t>3</w:t>
            </w:r>
            <w:r>
              <w:rPr>
                <w:rFonts w:hAnsi="宋体"/>
                <w:sz w:val="24"/>
                <w:szCs w:val="24"/>
                <w:u w:val="single" w:color="auto"/>
              </w:rPr>
              <w:t>/a（</w:t>
            </w:r>
            <w:r>
              <w:rPr>
                <w:rFonts w:hint="eastAsia" w:hAnsi="宋体"/>
                <w:sz w:val="24"/>
                <w:szCs w:val="24"/>
                <w:u w:val="single" w:color="auto"/>
              </w:rPr>
              <w:t>3.232</w:t>
            </w:r>
            <w:r>
              <w:rPr>
                <w:rFonts w:hAnsi="宋体"/>
                <w:sz w:val="24"/>
                <w:szCs w:val="24"/>
                <w:u w:val="single" w:color="auto"/>
              </w:rPr>
              <w:t>m</w:t>
            </w:r>
            <w:r>
              <w:rPr>
                <w:rFonts w:hAnsi="宋体"/>
                <w:sz w:val="24"/>
                <w:szCs w:val="24"/>
                <w:u w:val="single" w:color="auto"/>
                <w:vertAlign w:val="superscript"/>
              </w:rPr>
              <w:t>3</w:t>
            </w:r>
            <w:r>
              <w:rPr>
                <w:rFonts w:hAnsi="宋体"/>
                <w:sz w:val="24"/>
                <w:szCs w:val="24"/>
                <w:u w:val="single" w:color="auto"/>
              </w:rPr>
              <w:t>/d）。</w:t>
            </w:r>
          </w:p>
          <w:p w14:paraId="7408EC8D">
            <w:pPr>
              <w:adjustRightInd w:val="0"/>
              <w:snapToGrid w:val="0"/>
              <w:spacing w:line="360" w:lineRule="auto"/>
              <w:jc w:val="center"/>
              <w:rPr>
                <w:b/>
                <w:bCs/>
                <w:sz w:val="24"/>
              </w:rPr>
            </w:pPr>
            <w:r>
              <w:rPr>
                <w:rFonts w:hint="eastAsia"/>
                <w:b/>
                <w:bCs/>
                <w:sz w:val="24"/>
              </w:rPr>
              <w:object>
                <v:shape id="_x0000_i1025" o:spt="75" type="#_x0000_t75" style="height:206.85pt;width:372.4pt;" o:ole="t" filled="f" o:preferrelative="t" stroked="f" coordsize="21600,21600">
                  <v:path/>
                  <v:fill on="f" focussize="0,0"/>
                  <v:stroke on="f"/>
                  <v:imagedata r:id="rId9" o:title=""/>
                  <o:lock v:ext="edit" aspectratio="f"/>
                  <w10:wrap type="none"/>
                  <w10:anchorlock/>
                </v:shape>
                <o:OLEObject Type="Embed" ProgID="Visio.Drawing.11" ShapeID="_x0000_i1025" DrawAspect="Content" ObjectID="_1468075725" r:id="rId8">
                  <o:LockedField>false</o:LockedField>
                </o:OLEObject>
              </w:object>
            </w:r>
          </w:p>
          <w:p w14:paraId="1567E0E0">
            <w:pPr>
              <w:pStyle w:val="8"/>
              <w:jc w:val="center"/>
              <w:rPr>
                <w:b/>
                <w:bCs/>
                <w:sz w:val="21"/>
                <w:szCs w:val="21"/>
              </w:rPr>
            </w:pPr>
            <w:r>
              <w:rPr>
                <w:b/>
                <w:bCs/>
                <w:sz w:val="21"/>
                <w:szCs w:val="21"/>
              </w:rPr>
              <w:t>图2-1</w:t>
            </w:r>
            <w:r>
              <w:rPr>
                <w:rFonts w:hint="eastAsia"/>
                <w:b/>
                <w:bCs/>
                <w:sz w:val="21"/>
                <w:szCs w:val="21"/>
                <w:lang w:eastAsia="zh-CN"/>
              </w:rPr>
              <w:t>扩建项目</w:t>
            </w:r>
            <w:r>
              <w:rPr>
                <w:b/>
                <w:bCs/>
                <w:sz w:val="21"/>
                <w:szCs w:val="21"/>
              </w:rPr>
              <w:t>水平衡图（单位：m</w:t>
            </w:r>
            <w:r>
              <w:rPr>
                <w:b/>
                <w:bCs/>
                <w:sz w:val="21"/>
                <w:szCs w:val="21"/>
                <w:vertAlign w:val="superscript"/>
              </w:rPr>
              <w:t>3</w:t>
            </w:r>
            <w:r>
              <w:rPr>
                <w:b/>
                <w:bCs/>
                <w:sz w:val="21"/>
                <w:szCs w:val="21"/>
              </w:rPr>
              <w:t>/</w:t>
            </w:r>
            <w:r>
              <w:rPr>
                <w:rFonts w:hint="eastAsia"/>
                <w:b/>
                <w:bCs/>
                <w:sz w:val="21"/>
                <w:szCs w:val="21"/>
              </w:rPr>
              <w:t>d</w:t>
            </w:r>
            <w:r>
              <w:rPr>
                <w:b/>
                <w:bCs/>
                <w:sz w:val="21"/>
                <w:szCs w:val="21"/>
              </w:rPr>
              <w:t>）</w:t>
            </w:r>
          </w:p>
          <w:p w14:paraId="5371FD90">
            <w:pPr>
              <w:jc w:val="center"/>
            </w:pPr>
            <w:r>
              <w:rPr>
                <w:rFonts w:hint="eastAsia"/>
                <w:b/>
                <w:bCs/>
                <w:sz w:val="24"/>
              </w:rPr>
              <w:object>
                <v:shape id="_x0000_i1026" o:spt="75" type="#_x0000_t75" style="height:239.8pt;width:393.4pt;" o:ole="t" filled="f" o:preferrelative="t" stroked="f" coordsize="21600,21600">
                  <v:path/>
                  <v:fill on="f" focussize="0,0"/>
                  <v:stroke on="f"/>
                  <v:imagedata r:id="rId11" o:title=""/>
                  <o:lock v:ext="edit" aspectratio="f"/>
                  <w10:wrap type="none"/>
                  <w10:anchorlock/>
                </v:shape>
                <o:OLEObject Type="Embed" ProgID="Visio.Drawing.11" ShapeID="_x0000_i1026" DrawAspect="Content" ObjectID="_1468075726" r:id="rId10">
                  <o:LockedField>false</o:LockedField>
                </o:OLEObject>
              </w:object>
            </w:r>
          </w:p>
          <w:p w14:paraId="4E006F94">
            <w:pPr>
              <w:pStyle w:val="8"/>
              <w:jc w:val="center"/>
              <w:rPr>
                <w:b/>
                <w:bCs/>
                <w:sz w:val="21"/>
                <w:szCs w:val="21"/>
              </w:rPr>
            </w:pPr>
            <w:r>
              <w:rPr>
                <w:b/>
                <w:bCs/>
                <w:sz w:val="21"/>
                <w:szCs w:val="21"/>
              </w:rPr>
              <w:t>图2-</w:t>
            </w:r>
            <w:r>
              <w:rPr>
                <w:rFonts w:hint="eastAsia"/>
                <w:b/>
                <w:bCs/>
                <w:sz w:val="21"/>
                <w:szCs w:val="21"/>
                <w:lang w:val="en-US" w:eastAsia="zh-CN"/>
              </w:rPr>
              <w:t>2</w:t>
            </w:r>
            <w:r>
              <w:rPr>
                <w:rFonts w:hint="eastAsia"/>
                <w:b/>
                <w:bCs/>
                <w:sz w:val="21"/>
                <w:szCs w:val="21"/>
                <w:lang w:eastAsia="zh-CN"/>
              </w:rPr>
              <w:t>扩建后全厂</w:t>
            </w:r>
            <w:r>
              <w:rPr>
                <w:b/>
                <w:bCs/>
                <w:sz w:val="21"/>
                <w:szCs w:val="21"/>
              </w:rPr>
              <w:t>水平衡图（单位：m</w:t>
            </w:r>
            <w:r>
              <w:rPr>
                <w:b/>
                <w:bCs/>
                <w:sz w:val="21"/>
                <w:szCs w:val="21"/>
                <w:vertAlign w:val="superscript"/>
              </w:rPr>
              <w:t>3</w:t>
            </w:r>
            <w:r>
              <w:rPr>
                <w:b/>
                <w:bCs/>
                <w:sz w:val="21"/>
                <w:szCs w:val="21"/>
              </w:rPr>
              <w:t>/</w:t>
            </w:r>
            <w:r>
              <w:rPr>
                <w:rFonts w:hint="eastAsia"/>
                <w:b/>
                <w:bCs/>
                <w:sz w:val="21"/>
                <w:szCs w:val="21"/>
              </w:rPr>
              <w:t>d</w:t>
            </w:r>
            <w:r>
              <w:rPr>
                <w:b/>
                <w:bCs/>
                <w:sz w:val="21"/>
                <w:szCs w:val="21"/>
              </w:rPr>
              <w:t>）</w:t>
            </w:r>
          </w:p>
          <w:p w14:paraId="4AA0F93A"/>
          <w:p w14:paraId="70C5A303">
            <w:pPr>
              <w:adjustRightInd w:val="0"/>
              <w:snapToGrid w:val="0"/>
              <w:spacing w:line="360" w:lineRule="auto"/>
              <w:ind w:firstLine="480" w:firstLineChars="200"/>
              <w:rPr>
                <w:rFonts w:hint="eastAsia" w:eastAsia="宋体"/>
                <w:bCs/>
                <w:sz w:val="24"/>
                <w:u w:val="single"/>
                <w:lang w:eastAsia="zh-CN"/>
              </w:rPr>
            </w:pPr>
            <w:r>
              <w:rPr>
                <w:rFonts w:hint="eastAsia"/>
                <w:bCs/>
                <w:sz w:val="24"/>
                <w:u w:val="single"/>
              </w:rPr>
              <w:t>（3）供</w:t>
            </w:r>
            <w:r>
              <w:rPr>
                <w:rFonts w:hint="eastAsia"/>
                <w:bCs/>
                <w:sz w:val="24"/>
                <w:u w:val="single"/>
                <w:lang w:eastAsia="zh-CN"/>
              </w:rPr>
              <w:t>热</w:t>
            </w:r>
          </w:p>
          <w:p w14:paraId="7A38F6C1">
            <w:pPr>
              <w:adjustRightInd w:val="0"/>
              <w:snapToGrid w:val="0"/>
              <w:spacing w:line="360" w:lineRule="auto"/>
              <w:ind w:firstLine="480" w:firstLineChars="200"/>
              <w:rPr>
                <w:rFonts w:hint="eastAsia"/>
                <w:bCs/>
                <w:sz w:val="24"/>
                <w:u w:val="single"/>
              </w:rPr>
            </w:pPr>
            <w:r>
              <w:rPr>
                <w:rFonts w:hint="eastAsia"/>
                <w:bCs/>
                <w:sz w:val="24"/>
                <w:u w:val="single"/>
              </w:rPr>
              <w:t>生产过程需要的蒸汽由</w:t>
            </w:r>
            <w:r>
              <w:rPr>
                <w:rFonts w:hint="eastAsia"/>
                <w:bCs/>
                <w:sz w:val="24"/>
                <w:u w:val="single"/>
                <w:lang w:val="en-US" w:eastAsia="zh-CN"/>
              </w:rPr>
              <w:t>4</w:t>
            </w:r>
            <w:r>
              <w:rPr>
                <w:rFonts w:hint="eastAsia"/>
                <w:bCs/>
                <w:sz w:val="24"/>
                <w:u w:val="single"/>
              </w:rPr>
              <w:t>t</w:t>
            </w:r>
            <w:r>
              <w:rPr>
                <w:rFonts w:hint="eastAsia"/>
                <w:bCs/>
                <w:sz w:val="24"/>
                <w:u w:val="single"/>
                <w:lang w:val="en-US" w:eastAsia="zh-CN"/>
              </w:rPr>
              <w:t>/</w:t>
            </w:r>
            <w:r>
              <w:rPr>
                <w:rFonts w:hint="eastAsia"/>
                <w:bCs/>
                <w:sz w:val="24"/>
                <w:u w:val="single"/>
              </w:rPr>
              <w:t>h生物质锅炉供给</w:t>
            </w:r>
            <w:r>
              <w:rPr>
                <w:rFonts w:hint="eastAsia"/>
                <w:bCs/>
                <w:sz w:val="24"/>
                <w:u w:val="single"/>
                <w:lang w:eastAsia="zh-CN"/>
              </w:rPr>
              <w:t>，日工作</w:t>
            </w:r>
            <w:r>
              <w:rPr>
                <w:rFonts w:hint="eastAsia"/>
                <w:bCs/>
                <w:sz w:val="24"/>
                <w:u w:val="single"/>
                <w:lang w:val="en-US" w:eastAsia="zh-CN"/>
              </w:rPr>
              <w:t>8h，年工作360天</w:t>
            </w:r>
            <w:r>
              <w:rPr>
                <w:rFonts w:hint="eastAsia"/>
                <w:bCs/>
                <w:sz w:val="24"/>
                <w:u w:val="single"/>
              </w:rPr>
              <w:t>。</w:t>
            </w:r>
          </w:p>
          <w:p w14:paraId="470E15B8">
            <w:pPr>
              <w:adjustRightInd w:val="0"/>
              <w:snapToGrid w:val="0"/>
              <w:spacing w:line="360" w:lineRule="auto"/>
              <w:ind w:firstLine="482" w:firstLineChars="200"/>
              <w:rPr>
                <w:rFonts w:hint="eastAsia"/>
                <w:bCs/>
                <w:sz w:val="24"/>
                <w:u w:val="single"/>
              </w:rPr>
            </w:pPr>
            <w:r>
              <w:rPr>
                <w:rFonts w:hint="eastAsia"/>
                <w:b/>
                <w:bCs/>
                <w:sz w:val="24"/>
                <w:u w:val="single"/>
              </w:rPr>
              <w:object>
                <v:shape id="_x0000_i1027" o:spt="75" type="#_x0000_t75" style="height:145.2pt;width:383.3pt;" o:ole="t" filled="f" o:preferrelative="t" stroked="f" coordsize="21600,21600">
                  <v:path/>
                  <v:fill on="f" focussize="0,0"/>
                  <v:stroke on="f"/>
                  <v:imagedata r:id="rId13" cropleft="9754f" croptop="19800f" cropright="6339f" cropbottom="12367f" o:title=""/>
                  <o:lock v:ext="edit" aspectratio="f"/>
                  <w10:wrap type="none"/>
                  <w10:anchorlock/>
                </v:shape>
                <o:OLEObject Type="Embed" ProgID="Visio.Drawing.11" ShapeID="_x0000_i1027" DrawAspect="Content" ObjectID="_1468075727" r:id="rId12">
                  <o:LockedField>false</o:LockedField>
                </o:OLEObject>
              </w:object>
            </w:r>
          </w:p>
          <w:p w14:paraId="4D2AAA65">
            <w:pPr>
              <w:adjustRightInd w:val="0"/>
              <w:snapToGrid w:val="0"/>
              <w:spacing w:line="360" w:lineRule="auto"/>
              <w:ind w:firstLine="480" w:firstLineChars="200"/>
              <w:rPr>
                <w:bCs/>
                <w:sz w:val="24"/>
              </w:rPr>
            </w:pPr>
            <w:r>
              <w:rPr>
                <w:rFonts w:hint="eastAsia"/>
                <w:bCs/>
                <w:sz w:val="24"/>
              </w:rPr>
              <w:t>（</w:t>
            </w:r>
            <w:r>
              <w:rPr>
                <w:rFonts w:hint="eastAsia"/>
                <w:bCs/>
                <w:sz w:val="24"/>
                <w:lang w:val="en-US" w:eastAsia="zh-CN"/>
              </w:rPr>
              <w:t>4</w:t>
            </w:r>
            <w:r>
              <w:rPr>
                <w:rFonts w:hint="eastAsia"/>
                <w:bCs/>
                <w:sz w:val="24"/>
              </w:rPr>
              <w:t>）供电</w:t>
            </w:r>
          </w:p>
          <w:p w14:paraId="78D7C74B">
            <w:pPr>
              <w:adjustRightInd w:val="0"/>
              <w:snapToGrid w:val="0"/>
              <w:spacing w:line="360" w:lineRule="auto"/>
              <w:ind w:firstLine="480" w:firstLineChars="200"/>
              <w:rPr>
                <w:bCs/>
                <w:sz w:val="24"/>
              </w:rPr>
            </w:pPr>
            <w:r>
              <w:rPr>
                <w:bCs/>
                <w:sz w:val="24"/>
              </w:rPr>
              <w:t>项目用电来源于市政供电系统</w:t>
            </w:r>
            <w:r>
              <w:rPr>
                <w:rFonts w:hint="eastAsia"/>
                <w:bCs/>
                <w:sz w:val="24"/>
              </w:rPr>
              <w:t>，年用电量约70万kW•h。</w:t>
            </w:r>
          </w:p>
          <w:p w14:paraId="090589F3">
            <w:pPr>
              <w:adjustRightInd w:val="0"/>
              <w:snapToGrid w:val="0"/>
              <w:spacing w:line="360" w:lineRule="auto"/>
              <w:ind w:firstLine="482" w:firstLineChars="200"/>
              <w:rPr>
                <w:b/>
                <w:bCs/>
                <w:sz w:val="24"/>
              </w:rPr>
            </w:pPr>
            <w:r>
              <w:rPr>
                <w:rFonts w:hint="eastAsia"/>
                <w:b/>
                <w:bCs/>
                <w:sz w:val="24"/>
              </w:rPr>
              <w:t>7</w:t>
            </w:r>
            <w:r>
              <w:rPr>
                <w:b/>
                <w:bCs/>
                <w:sz w:val="24"/>
              </w:rPr>
              <w:t>、劳动定员及工作制度</w:t>
            </w:r>
          </w:p>
          <w:p w14:paraId="3489F2F0">
            <w:pPr>
              <w:adjustRightInd w:val="0"/>
              <w:snapToGrid w:val="0"/>
              <w:spacing w:line="360" w:lineRule="auto"/>
              <w:ind w:firstLine="480" w:firstLineChars="200"/>
              <w:rPr>
                <w:rFonts w:hint="eastAsia" w:hAnsi="宋体"/>
                <w:sz w:val="24"/>
              </w:rPr>
            </w:pPr>
            <w:r>
              <w:rPr>
                <w:rFonts w:hint="eastAsia"/>
                <w:sz w:val="24"/>
              </w:rPr>
              <w:t>本项目新增员工为50人</w:t>
            </w:r>
            <w:r>
              <w:rPr>
                <w:sz w:val="24"/>
              </w:rPr>
              <w:t>，在厂区内食宿</w:t>
            </w:r>
            <w:r>
              <w:rPr>
                <w:rFonts w:hint="eastAsia"/>
                <w:sz w:val="24"/>
              </w:rPr>
              <w:t>约20人</w:t>
            </w:r>
            <w:r>
              <w:rPr>
                <w:sz w:val="24"/>
              </w:rPr>
              <w:t>，项目实施</w:t>
            </w:r>
            <w:r>
              <w:rPr>
                <w:rFonts w:hint="eastAsia"/>
                <w:sz w:val="24"/>
              </w:rPr>
              <w:t>1班制，每班工作时间8小时，年工作360天</w:t>
            </w:r>
            <w:r>
              <w:rPr>
                <w:rFonts w:hAnsi="宋体"/>
                <w:sz w:val="24"/>
              </w:rPr>
              <w:t>。</w:t>
            </w:r>
          </w:p>
          <w:p w14:paraId="2B39BBDA">
            <w:pPr>
              <w:adjustRightInd w:val="0"/>
              <w:snapToGrid w:val="0"/>
              <w:spacing w:line="360" w:lineRule="auto"/>
              <w:ind w:firstLine="482" w:firstLineChars="200"/>
              <w:rPr>
                <w:b/>
                <w:bCs/>
                <w:sz w:val="24"/>
              </w:rPr>
            </w:pPr>
            <w:r>
              <w:rPr>
                <w:rFonts w:hint="eastAsia"/>
                <w:b/>
                <w:bCs/>
                <w:sz w:val="24"/>
              </w:rPr>
              <w:t>8、厂区平面布置</w:t>
            </w:r>
          </w:p>
          <w:p w14:paraId="60E86BCA">
            <w:pPr>
              <w:adjustRightInd w:val="0"/>
              <w:snapToGrid w:val="0"/>
              <w:spacing w:line="360" w:lineRule="auto"/>
              <w:ind w:firstLine="480" w:firstLineChars="200"/>
              <w:rPr>
                <w:b/>
                <w:bCs/>
                <w:color w:val="FF0000"/>
                <w:sz w:val="24"/>
              </w:rPr>
            </w:pPr>
            <w:r>
              <w:rPr>
                <w:rFonts w:hint="eastAsia"/>
                <w:sz w:val="24"/>
              </w:rPr>
              <w:t>本项目选址位于</w:t>
            </w:r>
            <w:r>
              <w:rPr>
                <w:rFonts w:hint="eastAsia"/>
                <w:sz w:val="24"/>
                <w:lang w:eastAsia="zh-CN"/>
              </w:rPr>
              <w:t>湖南省衡阳市衡阳县西渡镇豆陂村</w:t>
            </w:r>
            <w:r>
              <w:rPr>
                <w:rFonts w:hint="eastAsia"/>
                <w:sz w:val="24"/>
              </w:rPr>
              <w:t>，项目东侧为S336、北侧为衡阳双雁运输机械有限公司、东南侧、西侧有几户零散居民点、西南侧为空地。</w:t>
            </w:r>
          </w:p>
          <w:p w14:paraId="4F7C1D2B">
            <w:pPr>
              <w:adjustRightInd w:val="0"/>
              <w:snapToGrid w:val="0"/>
              <w:spacing w:line="360" w:lineRule="auto"/>
              <w:ind w:firstLine="480" w:firstLineChars="200"/>
              <w:rPr>
                <w:bCs/>
                <w:sz w:val="24"/>
              </w:rPr>
            </w:pPr>
            <w:r>
              <w:rPr>
                <w:rFonts w:hint="eastAsia"/>
                <w:bCs/>
                <w:sz w:val="24"/>
              </w:rPr>
              <w:t>项目总占地面积约</w:t>
            </w:r>
            <w:r>
              <w:rPr>
                <w:rFonts w:hint="eastAsia" w:eastAsia="仿宋_GB2312"/>
                <w:sz w:val="24"/>
              </w:rPr>
              <w:t>15688</w:t>
            </w:r>
            <w:r>
              <w:rPr>
                <w:rFonts w:hint="eastAsia"/>
                <w:bCs/>
                <w:sz w:val="24"/>
              </w:rPr>
              <w:t>m</w:t>
            </w:r>
            <w:r>
              <w:rPr>
                <w:rFonts w:hint="eastAsia"/>
                <w:bCs/>
                <w:sz w:val="24"/>
                <w:vertAlign w:val="superscript"/>
              </w:rPr>
              <w:t>2</w:t>
            </w:r>
            <w:r>
              <w:rPr>
                <w:rFonts w:hint="eastAsia"/>
                <w:bCs/>
                <w:sz w:val="24"/>
              </w:rPr>
              <w:t>，本次不新增占地，在原有厂区预留的二期用地新建1栋厂房，建筑面积约2000m</w:t>
            </w:r>
            <w:r>
              <w:rPr>
                <w:rFonts w:hint="eastAsia"/>
                <w:bCs/>
                <w:sz w:val="24"/>
                <w:vertAlign w:val="superscript"/>
              </w:rPr>
              <w:t>2</w:t>
            </w:r>
            <w:r>
              <w:rPr>
                <w:rFonts w:hint="eastAsia"/>
                <w:bCs/>
                <w:sz w:val="24"/>
              </w:rPr>
              <w:t>。整个厂区设置</w:t>
            </w:r>
            <w:r>
              <w:rPr>
                <w:rFonts w:hint="eastAsia"/>
                <w:sz w:val="24"/>
                <w:szCs w:val="22"/>
              </w:rPr>
              <w:t>两个出入口，主入口位于厂区东南角，主出入口为人流、会务出入口，厂区次入口为西北角，为物流出入口。</w:t>
            </w:r>
          </w:p>
          <w:p w14:paraId="6777CCF7">
            <w:pPr>
              <w:adjustRightInd w:val="0"/>
              <w:snapToGrid w:val="0"/>
              <w:spacing w:line="360" w:lineRule="auto"/>
              <w:ind w:firstLine="480" w:firstLineChars="200"/>
              <w:rPr>
                <w:bCs/>
                <w:sz w:val="24"/>
              </w:rPr>
            </w:pPr>
            <w:r>
              <w:rPr>
                <w:rFonts w:hint="eastAsia"/>
                <w:bCs/>
                <w:sz w:val="24"/>
              </w:rPr>
              <w:t>项目具体地理位置见附图1，周围四至图见附图2，厂区平面布置图见附图3。</w:t>
            </w:r>
          </w:p>
        </w:tc>
      </w:tr>
      <w:tr w14:paraId="4CCB85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Align w:val="center"/>
          </w:tcPr>
          <w:p w14:paraId="494E1E75">
            <w:pPr>
              <w:pStyle w:val="16"/>
              <w:adjustRightInd w:val="0"/>
              <w:snapToGrid w:val="0"/>
              <w:spacing w:before="0" w:beforeAutospacing="0" w:after="0" w:afterAutospacing="0"/>
              <w:jc w:val="center"/>
              <w:rPr>
                <w:rFonts w:hint="eastAsia" w:cs="宋体"/>
                <w:b/>
                <w:szCs w:val="24"/>
              </w:rPr>
            </w:pPr>
            <w:r>
              <w:rPr>
                <w:rFonts w:hint="eastAsia" w:cs="宋体"/>
                <w:b/>
                <w:szCs w:val="24"/>
              </w:rPr>
              <w:t>工艺流程和产排污环节</w:t>
            </w:r>
          </w:p>
        </w:tc>
        <w:tc>
          <w:tcPr>
            <w:tcW w:w="0" w:type="auto"/>
          </w:tcPr>
          <w:p w14:paraId="54F33DB4">
            <w:pPr>
              <w:adjustRightInd w:val="0"/>
              <w:snapToGrid w:val="0"/>
              <w:spacing w:line="360" w:lineRule="auto"/>
              <w:ind w:firstLine="482" w:firstLineChars="200"/>
              <w:rPr>
                <w:b/>
                <w:bCs/>
                <w:sz w:val="24"/>
              </w:rPr>
            </w:pPr>
            <w:r>
              <w:rPr>
                <w:rFonts w:hint="eastAsia"/>
                <w:b/>
                <w:bCs/>
                <w:sz w:val="24"/>
              </w:rPr>
              <w:t>1、施工期工艺流程及产污环节</w:t>
            </w:r>
          </w:p>
          <w:p w14:paraId="1292FC02">
            <w:pPr>
              <w:adjustRightInd w:val="0"/>
              <w:snapToGrid w:val="0"/>
              <w:spacing w:line="360" w:lineRule="auto"/>
              <w:ind w:firstLine="482" w:firstLineChars="200"/>
              <w:rPr>
                <w:b/>
                <w:bCs/>
                <w:sz w:val="24"/>
              </w:rPr>
            </w:pPr>
            <w:r>
              <w:rPr>
                <w:rFonts w:hint="eastAsia"/>
                <w:b/>
                <w:bCs/>
                <w:sz w:val="24"/>
              </w:rPr>
              <w:t>1、施工期</w:t>
            </w:r>
          </w:p>
          <w:p w14:paraId="2BDA957F">
            <w:pPr>
              <w:adjustRightInd w:val="0"/>
              <w:snapToGrid w:val="0"/>
              <w:spacing w:line="360" w:lineRule="auto"/>
              <w:ind w:firstLine="482" w:firstLineChars="200"/>
              <w:rPr>
                <w:b/>
                <w:bCs/>
                <w:sz w:val="24"/>
              </w:rPr>
            </w:pPr>
            <w:r>
              <w:rPr>
                <w:rFonts w:hint="eastAsia"/>
                <w:b/>
                <w:bCs/>
                <w:sz w:val="24"/>
              </w:rPr>
              <w:t>（1）工艺流程</w:t>
            </w:r>
          </w:p>
          <w:p w14:paraId="7BA5E886">
            <w:pPr>
              <w:adjustRightInd w:val="0"/>
              <w:snapToGrid w:val="0"/>
              <w:spacing w:line="360" w:lineRule="auto"/>
              <w:ind w:firstLine="480" w:firstLineChars="200"/>
              <w:rPr>
                <w:bCs/>
                <w:sz w:val="24"/>
              </w:rPr>
            </w:pPr>
            <w:r>
              <w:rPr>
                <w:rFonts w:hint="eastAsia"/>
                <w:bCs/>
                <w:sz w:val="24"/>
              </w:rPr>
              <w:t>项目施工期生产工艺流程及产污环节如下图2-2。</w:t>
            </w:r>
          </w:p>
          <w:p w14:paraId="26D65025">
            <w:pPr>
              <w:adjustRightInd w:val="0"/>
              <w:snapToGrid w:val="0"/>
              <w:spacing w:line="360" w:lineRule="auto"/>
              <w:jc w:val="center"/>
            </w:pPr>
            <w:r>
              <w:object>
                <v:shape id="_x0000_i1028" o:spt="75" type="#_x0000_t75" style="height:160.8pt;width:355.6pt;" o:ole="t" filled="f" o:preferrelative="t" stroked="f" coordsize="21600,21600">
                  <v:path/>
                  <v:fill on="f" focussize="0,0"/>
                  <v:stroke on="f"/>
                  <v:imagedata r:id="rId15" o:title=""/>
                  <o:lock v:ext="edit" aspectratio="t"/>
                  <w10:wrap type="none"/>
                  <w10:anchorlock/>
                </v:shape>
                <o:OLEObject Type="Embed" ProgID="Visio.Drawing.11" ShapeID="_x0000_i1028" DrawAspect="Content" ObjectID="_1468075728" r:id="rId14">
                  <o:LockedField>false</o:LockedField>
                </o:OLEObject>
              </w:object>
            </w:r>
          </w:p>
          <w:p w14:paraId="06CD71D6">
            <w:pPr>
              <w:pStyle w:val="33"/>
              <w:spacing w:after="120" w:afterLines="50"/>
              <w:jc w:val="center"/>
              <w:rPr>
                <w:rFonts w:ascii="Times New Roman" w:cs="Times New Roman"/>
                <w:b/>
                <w:color w:val="auto"/>
                <w:sz w:val="21"/>
                <w:szCs w:val="21"/>
              </w:rPr>
            </w:pPr>
            <w:r>
              <w:rPr>
                <w:rFonts w:ascii="Times New Roman" w:cs="Times New Roman"/>
                <w:b/>
                <w:color w:val="auto"/>
                <w:sz w:val="21"/>
                <w:szCs w:val="21"/>
              </w:rPr>
              <w:t>图</w:t>
            </w:r>
            <w:r>
              <w:rPr>
                <w:rFonts w:hint="eastAsia" w:ascii="Times New Roman" w:cs="Times New Roman"/>
                <w:b/>
                <w:color w:val="auto"/>
                <w:sz w:val="21"/>
                <w:szCs w:val="21"/>
              </w:rPr>
              <w:t>2-2</w:t>
            </w:r>
            <w:r>
              <w:rPr>
                <w:rFonts w:ascii="Times New Roman" w:cs="Times New Roman"/>
                <w:b/>
                <w:color w:val="auto"/>
                <w:sz w:val="21"/>
                <w:szCs w:val="21"/>
              </w:rPr>
              <w:t xml:space="preserve"> 项目施工期工艺流程及其产污示意图</w:t>
            </w:r>
          </w:p>
          <w:p w14:paraId="1294E2C8">
            <w:pPr>
              <w:pStyle w:val="18"/>
              <w:spacing w:after="0" w:line="360" w:lineRule="auto"/>
              <w:ind w:firstLine="480" w:firstLineChars="200"/>
              <w:rPr>
                <w:sz w:val="24"/>
              </w:rPr>
            </w:pPr>
            <w:r>
              <w:rPr>
                <w:rFonts w:hint="eastAsia"/>
                <w:sz w:val="24"/>
              </w:rPr>
              <w:t>施工期工艺流程简介：</w:t>
            </w:r>
          </w:p>
          <w:p w14:paraId="74CCC36F">
            <w:pPr>
              <w:pStyle w:val="18"/>
              <w:spacing w:after="0" w:line="360" w:lineRule="auto"/>
              <w:ind w:firstLine="480" w:firstLineChars="200"/>
              <w:rPr>
                <w:sz w:val="24"/>
              </w:rPr>
            </w:pPr>
            <w:r>
              <w:rPr>
                <w:rFonts w:hint="eastAsia"/>
                <w:sz w:val="24"/>
              </w:rPr>
              <w:t>本项目施工过程以机械施工为主，大致分为基础施工、主体施工、装修、设备安装、验收运营五大阶段，不同阶段所采用的设备有所不同，项目施工人员均为周边村民，不设施工营地，采用商品混凝土，不在场区设置混凝土拌合</w:t>
            </w:r>
            <w:r>
              <w:rPr>
                <w:rFonts w:hint="eastAsia" w:ascii="Times New Roman" w:hAnsi="Times New Roman"/>
                <w:color w:val="000000"/>
                <w:kern w:val="0"/>
                <w:sz w:val="24"/>
                <w:lang w:val="zh-CN"/>
              </w:rPr>
              <w:t>站，项目建设地内不建设大型的原料场，只设置小面积的临时原料堆场，预计施工高峰期人数为30人。</w:t>
            </w:r>
          </w:p>
          <w:p w14:paraId="6E725CAD">
            <w:pPr>
              <w:adjustRightInd w:val="0"/>
              <w:snapToGrid w:val="0"/>
              <w:spacing w:line="360" w:lineRule="auto"/>
              <w:ind w:firstLine="482" w:firstLineChars="200"/>
              <w:rPr>
                <w:b/>
                <w:color w:val="000000"/>
                <w:kern w:val="0"/>
                <w:sz w:val="24"/>
              </w:rPr>
            </w:pPr>
            <w:r>
              <w:rPr>
                <w:rFonts w:hint="eastAsia"/>
                <w:b/>
                <w:color w:val="000000"/>
                <w:kern w:val="0"/>
                <w:sz w:val="24"/>
              </w:rPr>
              <w:t>（2）产污环节：</w:t>
            </w:r>
          </w:p>
          <w:p w14:paraId="345A53A8">
            <w:pPr>
              <w:adjustRightInd w:val="0"/>
              <w:snapToGrid w:val="0"/>
              <w:spacing w:line="360" w:lineRule="auto"/>
              <w:ind w:firstLine="480" w:firstLineChars="200"/>
              <w:rPr>
                <w:color w:val="000000"/>
                <w:kern w:val="0"/>
                <w:sz w:val="24"/>
                <w:lang w:val="zh-CN"/>
              </w:rPr>
            </w:pPr>
            <w:r>
              <w:rPr>
                <w:color w:val="000000"/>
                <w:kern w:val="0"/>
                <w:sz w:val="24"/>
                <w:lang w:val="zh-CN"/>
              </w:rPr>
              <w:t>污水：由于项目位于</w:t>
            </w:r>
            <w:r>
              <w:rPr>
                <w:rFonts w:hint="eastAsia"/>
                <w:color w:val="000000"/>
                <w:kern w:val="0"/>
                <w:sz w:val="24"/>
              </w:rPr>
              <w:t>城市建成区</w:t>
            </w:r>
            <w:r>
              <w:rPr>
                <w:color w:val="000000"/>
                <w:kern w:val="0"/>
                <w:sz w:val="24"/>
                <w:lang w:val="zh-CN"/>
              </w:rPr>
              <w:t>内，交通便利，但场地有限，施工期间不在场地内设置施工生产生活区，施工人员食宿均利用周边已有设施，无施工人员生活污水产生；施工现场出口处设置车辆冲洗设施，产生车辆冲洗废水。</w:t>
            </w:r>
          </w:p>
          <w:p w14:paraId="084822C9">
            <w:pPr>
              <w:adjustRightInd w:val="0"/>
              <w:snapToGrid w:val="0"/>
              <w:spacing w:line="360" w:lineRule="auto"/>
              <w:ind w:firstLine="480" w:firstLineChars="200"/>
              <w:rPr>
                <w:color w:val="000000"/>
                <w:kern w:val="0"/>
                <w:sz w:val="24"/>
                <w:lang w:val="zh-CN"/>
              </w:rPr>
            </w:pPr>
            <w:r>
              <w:rPr>
                <w:color w:val="000000"/>
                <w:kern w:val="0"/>
                <w:sz w:val="24"/>
                <w:lang w:val="zh-CN"/>
              </w:rPr>
              <w:t>废气：主要是施工、运输扬尘；建筑装修过程使用油漆等产生的挥发物。</w:t>
            </w:r>
          </w:p>
          <w:p w14:paraId="526B28D3">
            <w:pPr>
              <w:adjustRightInd w:val="0"/>
              <w:snapToGrid w:val="0"/>
              <w:spacing w:line="360" w:lineRule="auto"/>
              <w:ind w:firstLine="480" w:firstLineChars="200"/>
              <w:rPr>
                <w:color w:val="000000"/>
                <w:kern w:val="0"/>
                <w:sz w:val="24"/>
                <w:lang w:val="zh-CN"/>
              </w:rPr>
            </w:pPr>
            <w:r>
              <w:rPr>
                <w:color w:val="000000"/>
                <w:kern w:val="0"/>
                <w:sz w:val="24"/>
                <w:lang w:val="zh-CN"/>
              </w:rPr>
              <w:t>噪声：施工设备及运输车辆产生的噪声。</w:t>
            </w:r>
          </w:p>
          <w:p w14:paraId="7409FC25">
            <w:pPr>
              <w:adjustRightInd w:val="0"/>
              <w:snapToGrid w:val="0"/>
              <w:spacing w:line="360" w:lineRule="auto"/>
              <w:ind w:firstLine="480" w:firstLineChars="200"/>
              <w:rPr>
                <w:color w:val="000000"/>
                <w:kern w:val="0"/>
                <w:sz w:val="24"/>
                <w:lang w:val="zh-CN"/>
              </w:rPr>
            </w:pPr>
            <w:r>
              <w:rPr>
                <w:color w:val="000000"/>
                <w:kern w:val="0"/>
                <w:sz w:val="24"/>
                <w:lang w:val="zh-CN"/>
              </w:rPr>
              <w:t>固体废弃物：主要是建筑垃圾和生活垃圾等。</w:t>
            </w:r>
          </w:p>
          <w:p w14:paraId="3E1AFAF2">
            <w:pPr>
              <w:adjustRightInd w:val="0"/>
              <w:snapToGrid w:val="0"/>
              <w:spacing w:line="360" w:lineRule="auto"/>
              <w:ind w:firstLine="482" w:firstLineChars="200"/>
              <w:rPr>
                <w:b/>
                <w:bCs/>
                <w:sz w:val="24"/>
              </w:rPr>
            </w:pPr>
            <w:r>
              <w:rPr>
                <w:rFonts w:hint="eastAsia"/>
                <w:b/>
                <w:bCs/>
                <w:sz w:val="24"/>
              </w:rPr>
              <w:t>2、运营期</w:t>
            </w:r>
          </w:p>
          <w:p w14:paraId="2C19F826">
            <w:pPr>
              <w:adjustRightInd w:val="0"/>
              <w:snapToGrid w:val="0"/>
              <w:spacing w:line="360" w:lineRule="auto"/>
              <w:ind w:firstLine="482" w:firstLineChars="200"/>
              <w:rPr>
                <w:b/>
                <w:bCs/>
                <w:sz w:val="24"/>
              </w:rPr>
            </w:pPr>
            <w:r>
              <w:rPr>
                <w:rFonts w:hint="eastAsia"/>
                <w:b/>
                <w:bCs/>
                <w:sz w:val="24"/>
              </w:rPr>
              <w:t>（1）工艺流程</w:t>
            </w:r>
          </w:p>
          <w:p w14:paraId="7B51824C">
            <w:pPr>
              <w:adjustRightInd w:val="0"/>
              <w:snapToGrid w:val="0"/>
              <w:spacing w:line="360" w:lineRule="auto"/>
              <w:ind w:firstLine="482" w:firstLineChars="200"/>
              <w:rPr>
                <w:b/>
                <w:sz w:val="24"/>
              </w:rPr>
            </w:pPr>
            <w:r>
              <w:rPr>
                <w:rFonts w:hint="eastAsia"/>
                <w:b/>
                <w:sz w:val="24"/>
              </w:rPr>
              <w:t>项目医疗布草洗涤生产工艺流程及产污环节如下图2-</w:t>
            </w:r>
            <w:r>
              <w:rPr>
                <w:rFonts w:hint="eastAsia"/>
                <w:b/>
                <w:sz w:val="24"/>
                <w:lang w:val="en-US" w:eastAsia="zh-CN"/>
              </w:rPr>
              <w:t>3</w:t>
            </w:r>
            <w:r>
              <w:rPr>
                <w:rFonts w:hint="eastAsia"/>
                <w:b/>
                <w:sz w:val="24"/>
              </w:rPr>
              <w:t>。</w:t>
            </w:r>
          </w:p>
          <w:p w14:paraId="01009C2B">
            <w:pPr>
              <w:spacing w:line="360" w:lineRule="auto"/>
              <w:jc w:val="center"/>
            </w:pPr>
            <w:r>
              <w:rPr>
                <w:color w:val="000000" w:themeColor="text1"/>
                <w14:textFill>
                  <w14:solidFill>
                    <w14:schemeClr w14:val="tx1"/>
                  </w14:solidFill>
                </w14:textFill>
              </w:rPr>
              <w:object>
                <v:shape id="_x0000_i1029" o:spt="75" type="#_x0000_t75" style="height:254.8pt;width:408.8pt;" o:ole="t" filled="f" o:preferrelative="t" stroked="f" coordsize="21600,21600">
                  <v:path/>
                  <v:fill on="f" focussize="0,0"/>
                  <v:stroke on="f"/>
                  <v:imagedata r:id="rId17" o:title=""/>
                  <o:lock v:ext="edit" aspectratio="t"/>
                  <w10:wrap type="none"/>
                  <w10:anchorlock/>
                </v:shape>
                <o:OLEObject Type="Embed" ProgID="Visio.Drawing.11" ShapeID="_x0000_i1029" DrawAspect="Content" ObjectID="_1468075729" r:id="rId16">
                  <o:LockedField>false</o:LockedField>
                </o:OLEObject>
              </w:object>
            </w:r>
          </w:p>
          <w:p w14:paraId="0F73C928">
            <w:pPr>
              <w:adjustRightInd w:val="0"/>
              <w:snapToGrid w:val="0"/>
              <w:spacing w:after="120" w:afterLines="50"/>
              <w:jc w:val="center"/>
              <w:rPr>
                <w:b/>
                <w:bCs/>
                <w:szCs w:val="21"/>
              </w:rPr>
            </w:pPr>
            <w:r>
              <w:rPr>
                <w:b/>
                <w:bCs/>
                <w:szCs w:val="21"/>
              </w:rPr>
              <w:t>图</w:t>
            </w:r>
            <w:r>
              <w:rPr>
                <w:rFonts w:hint="eastAsia"/>
                <w:b/>
                <w:bCs/>
                <w:szCs w:val="21"/>
              </w:rPr>
              <w:t>2-</w:t>
            </w:r>
            <w:r>
              <w:rPr>
                <w:rFonts w:hint="eastAsia"/>
                <w:b/>
                <w:bCs/>
                <w:szCs w:val="21"/>
                <w:lang w:val="en-US" w:eastAsia="zh-CN"/>
              </w:rPr>
              <w:t>3</w:t>
            </w:r>
            <w:r>
              <w:rPr>
                <w:b/>
                <w:bCs/>
                <w:szCs w:val="21"/>
              </w:rPr>
              <w:t xml:space="preserve"> </w:t>
            </w:r>
            <w:r>
              <w:rPr>
                <w:rFonts w:hint="eastAsia"/>
                <w:b/>
                <w:bCs/>
                <w:szCs w:val="21"/>
              </w:rPr>
              <w:t xml:space="preserve"> </w:t>
            </w:r>
            <w:r>
              <w:rPr>
                <w:b/>
                <w:bCs/>
                <w:szCs w:val="21"/>
              </w:rPr>
              <w:t>本项目运营期</w:t>
            </w:r>
            <w:r>
              <w:rPr>
                <w:rFonts w:hint="eastAsia"/>
                <w:b/>
                <w:bCs/>
                <w:szCs w:val="21"/>
              </w:rPr>
              <w:t>医疗布草</w:t>
            </w:r>
            <w:r>
              <w:rPr>
                <w:b/>
                <w:bCs/>
                <w:szCs w:val="21"/>
              </w:rPr>
              <w:t>工艺流程及污染节点图</w:t>
            </w:r>
          </w:p>
          <w:p w14:paraId="67F8CB76">
            <w:pPr>
              <w:adjustRightInd w:val="0"/>
              <w:snapToGrid w:val="0"/>
              <w:spacing w:line="360" w:lineRule="auto"/>
              <w:ind w:firstLine="482" w:firstLineChars="200"/>
              <w:rPr>
                <w:b/>
                <w:sz w:val="24"/>
              </w:rPr>
            </w:pPr>
            <w:r>
              <w:rPr>
                <w:b/>
                <w:sz w:val="24"/>
              </w:rPr>
              <w:t>工艺说明：</w:t>
            </w:r>
          </w:p>
          <w:p w14:paraId="4EA26198">
            <w:pPr>
              <w:pStyle w:val="31"/>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分拣：厂区进厂织物分传染科及非传染科进行收集，收集进厂后在厂区内进行分拣，传染科衣物进厂后直接进入单独设置的清洗间，非传染科衣物进入非传染科衣物清洗间，根据新生儿科、普通病人、医院职工工作服在进行分类。</w:t>
            </w:r>
          </w:p>
          <w:p w14:paraId="4686DFC8">
            <w:pPr>
              <w:pStyle w:val="31"/>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消毒：进厂衣物清洗前需先进行消毒，清洗前采用的消毒方式“浸泡式消毒”，具体操作为将分拣后的衣物按类别置于浸泡池内，浸泡池内加入84消毒液，浸泡约30min；同时在衣物清洗、烘干、熨烫过程中，由项目配备的4t/h的生物质锅炉提供蒸汽供热，可对衣物进行高温消毒。浸泡过程产生的污染物主要为浸泡废水、废消毒液桶。</w:t>
            </w:r>
          </w:p>
          <w:p w14:paraId="3F43D426">
            <w:pPr>
              <w:pStyle w:val="31"/>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③洗脱：本项目洗涤方式主要为水洗，洗脱过程由4t/h的锅炉蒸汽供热，项目根据新生儿科、普通病人、医院职工工作服、传染科四类衣物分别配备了洗脱机，浸泡后的衣物根据不同类别分别置于对应的洗脱机内，加入主洗液、助洗碱液、乳化剂、氯漂剂、氧漂剂等洗涤剂后，由洗脱机自动进行洗涤、过水清洗、脱水等工序，其中，在织物过水清洗后，取适当的中和养护剂加入一定比例的清水稀释后，放入浸泡衣物，3-5分钟后，不要再清洗，直接进行脱水工序。总时长为70min。洗脱过程产生的污染物主要为洗涤废水、设备噪声和废洗涤液桶。</w:t>
            </w:r>
          </w:p>
          <w:p w14:paraId="282E7D23">
            <w:pPr>
              <w:pStyle w:val="31"/>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如经上述清洗后，仍未达到清洁要求的织物进行复洗。</w:t>
            </w:r>
          </w:p>
          <w:p w14:paraId="1A837E8F">
            <w:pPr>
              <w:pStyle w:val="31"/>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④烘干：将漂洗干净的衣物类放入干衣机内，利用锅炉蒸汽热对衣物进行加热烘干，烘干温度约为180℃，同时利用高温对衣物进行灭菌。烘干过程为全自动，产生的污染主要为设备运行时的噪声。</w:t>
            </w:r>
          </w:p>
          <w:p w14:paraId="419AFB6E">
            <w:pPr>
              <w:pStyle w:val="31"/>
              <w:ind w:firstLine="480"/>
              <w:rPr>
                <w:color w:val="000000" w:themeColor="text1"/>
                <w:u w:val="single"/>
                <w14:textFill>
                  <w14:solidFill>
                    <w14:schemeClr w14:val="tx1"/>
                  </w14:solidFill>
                </w14:textFill>
              </w:rPr>
            </w:pPr>
            <w:r>
              <w:rPr>
                <w:rFonts w:hint="eastAsia"/>
                <w:color w:val="000000" w:themeColor="text1"/>
                <w:u w:val="single"/>
                <w14:textFill>
                  <w14:solidFill>
                    <w14:schemeClr w14:val="tx1"/>
                  </w14:solidFill>
                </w14:textFill>
              </w:rPr>
              <w:t>⑤熨烫：工人将烘干后的被单、床单、手术室等织物整理放入五辊熨平机内自动熨烫，熨烫过程中的蒸汽由生物质锅炉提供，工作人员工服、病人病服等采用抽湿熨烫台（配熨斗）进行人工熨烫。熨烫过程产生的污染主要为设备运行时的噪声。</w:t>
            </w:r>
          </w:p>
          <w:p w14:paraId="71AC8FBD">
            <w:pPr>
              <w:pStyle w:val="31"/>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折叠：熨烫后的被单、床单、手术室等织物进入自动折叠机内，自动折叠机对医物进行折叠，工作人员工服、病人病服等由人工进行折叠，折叠过程产生的污染主要为设备运行时的噪声。同时，项目配备生物质锅炉在运行过程中会产生燃烧废气及灰渣。</w:t>
            </w:r>
          </w:p>
          <w:p w14:paraId="04132B44">
            <w:pPr>
              <w:pStyle w:val="31"/>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经过上述全部步骤后的衣物分类置于库房内，定期配送。</w:t>
            </w:r>
          </w:p>
          <w:p w14:paraId="6E6F8EDD">
            <w:pPr>
              <w:adjustRightInd w:val="0"/>
              <w:snapToGrid w:val="0"/>
              <w:spacing w:line="360" w:lineRule="auto"/>
              <w:ind w:firstLine="482" w:firstLineChars="200"/>
              <w:rPr>
                <w:b/>
                <w:sz w:val="24"/>
              </w:rPr>
            </w:pPr>
            <w:r>
              <w:rPr>
                <w:rFonts w:hint="eastAsia"/>
                <w:b/>
                <w:sz w:val="24"/>
              </w:rPr>
              <w:t>项目酒店布草洗涤生产工艺流程及产污环节如下图2-</w:t>
            </w:r>
            <w:r>
              <w:rPr>
                <w:rFonts w:hint="eastAsia"/>
                <w:b/>
                <w:sz w:val="24"/>
                <w:lang w:val="en-US" w:eastAsia="zh-CN"/>
              </w:rPr>
              <w:t>4</w:t>
            </w:r>
            <w:r>
              <w:rPr>
                <w:rFonts w:hint="eastAsia"/>
                <w:b/>
                <w:sz w:val="24"/>
              </w:rPr>
              <w:t>。</w:t>
            </w:r>
          </w:p>
          <w:p w14:paraId="48C8B935">
            <w:pPr>
              <w:pStyle w:val="31"/>
              <w:ind w:firstLine="480"/>
              <w:rPr>
                <w:color w:val="000000" w:themeColor="text1"/>
                <w14:textFill>
                  <w14:solidFill>
                    <w14:schemeClr w14:val="tx1"/>
                  </w14:solidFill>
                </w14:textFill>
              </w:rPr>
            </w:pPr>
            <w:r>
              <w:rPr>
                <w:color w:val="000000" w:themeColor="text1"/>
                <w14:textFill>
                  <w14:solidFill>
                    <w14:schemeClr w14:val="tx1"/>
                  </w14:solidFill>
                </w14:textFill>
              </w:rPr>
              <w:object>
                <v:shape id="_x0000_i1030" o:spt="75" type="#_x0000_t75" style="height:214.4pt;width:344pt;" o:ole="t" filled="f" o:preferrelative="t" stroked="f" coordsize="21600,21600">
                  <v:path/>
                  <v:fill on="f" focussize="0,0"/>
                  <v:stroke on="f" joinstyle="miter"/>
                  <v:imagedata r:id="rId19" o:title=""/>
                  <o:lock v:ext="edit" aspectratio="t"/>
                  <w10:wrap type="none"/>
                  <w10:anchorlock/>
                </v:shape>
                <o:OLEObject Type="Embed" ProgID="Visio.Drawing.11" ShapeID="_x0000_i1030" DrawAspect="Content" ObjectID="_1468075730" r:id="rId18">
                  <o:LockedField>false</o:LockedField>
                </o:OLEObject>
              </w:object>
            </w:r>
          </w:p>
          <w:p w14:paraId="57760915">
            <w:pPr>
              <w:adjustRightInd w:val="0"/>
              <w:snapToGrid w:val="0"/>
              <w:spacing w:after="120" w:afterLines="50"/>
              <w:jc w:val="center"/>
              <w:rPr>
                <w:b/>
                <w:bCs/>
                <w:szCs w:val="21"/>
              </w:rPr>
            </w:pPr>
            <w:r>
              <w:rPr>
                <w:b/>
                <w:bCs/>
                <w:szCs w:val="21"/>
              </w:rPr>
              <w:t>图</w:t>
            </w:r>
            <w:r>
              <w:rPr>
                <w:rFonts w:hint="eastAsia"/>
                <w:b/>
                <w:bCs/>
                <w:szCs w:val="21"/>
              </w:rPr>
              <w:t>2-</w:t>
            </w:r>
            <w:r>
              <w:rPr>
                <w:rFonts w:hint="eastAsia"/>
                <w:b/>
                <w:bCs/>
                <w:szCs w:val="21"/>
                <w:lang w:val="en-US" w:eastAsia="zh-CN"/>
              </w:rPr>
              <w:t>4</w:t>
            </w:r>
            <w:r>
              <w:rPr>
                <w:b/>
                <w:bCs/>
                <w:szCs w:val="21"/>
              </w:rPr>
              <w:t xml:space="preserve"> </w:t>
            </w:r>
            <w:r>
              <w:rPr>
                <w:rFonts w:hint="eastAsia"/>
                <w:b/>
                <w:bCs/>
                <w:szCs w:val="21"/>
              </w:rPr>
              <w:t xml:space="preserve"> </w:t>
            </w:r>
            <w:r>
              <w:rPr>
                <w:b/>
                <w:bCs/>
                <w:szCs w:val="21"/>
              </w:rPr>
              <w:t>本项目运营期</w:t>
            </w:r>
            <w:r>
              <w:rPr>
                <w:rFonts w:hint="eastAsia"/>
                <w:b/>
                <w:bCs/>
                <w:szCs w:val="21"/>
              </w:rPr>
              <w:t>酒店布草</w:t>
            </w:r>
            <w:r>
              <w:rPr>
                <w:b/>
                <w:bCs/>
                <w:szCs w:val="21"/>
              </w:rPr>
              <w:t>工艺流程及污染节点图</w:t>
            </w:r>
          </w:p>
          <w:p w14:paraId="66475ADF">
            <w:pPr>
              <w:adjustRightInd w:val="0"/>
              <w:snapToGrid w:val="0"/>
              <w:spacing w:line="360" w:lineRule="auto"/>
              <w:ind w:firstLine="482" w:firstLineChars="200"/>
              <w:rPr>
                <w:b/>
                <w:sz w:val="24"/>
              </w:rPr>
            </w:pPr>
            <w:r>
              <w:rPr>
                <w:b/>
                <w:sz w:val="24"/>
              </w:rPr>
              <w:t>工艺说明：</w:t>
            </w:r>
          </w:p>
          <w:p w14:paraId="5A75FA99">
            <w:pPr>
              <w:spacing w:line="360" w:lineRule="auto"/>
              <w:ind w:firstLine="480"/>
              <w:rPr>
                <w:color w:val="000000"/>
                <w:sz w:val="24"/>
              </w:rPr>
            </w:pPr>
            <w:r>
              <w:rPr>
                <w:rFonts w:hint="eastAsia"/>
                <w:color w:val="000000" w:themeColor="text1"/>
                <w:sz w:val="24"/>
                <w14:textFill>
                  <w14:solidFill>
                    <w14:schemeClr w14:val="tx1"/>
                  </w14:solidFill>
                </w14:textFill>
              </w:rPr>
              <w:t>①</w:t>
            </w:r>
            <w:r>
              <w:rPr>
                <w:rFonts w:hint="eastAsia"/>
                <w:color w:val="000000"/>
                <w:sz w:val="24"/>
              </w:rPr>
              <w:t xml:space="preserve">分拣：将收回的毛巾、被套、床单等待清洗的布草，统一分拣分类。 </w:t>
            </w:r>
          </w:p>
          <w:p w14:paraId="7B1B9466">
            <w:pPr>
              <w:pStyle w:val="31"/>
              <w:ind w:firstLine="480"/>
              <w:rPr>
                <w:color w:val="000000" w:themeColor="text1"/>
                <w14:textFill>
                  <w14:solidFill>
                    <w14:schemeClr w14:val="tx1"/>
                  </w14:solidFill>
                </w14:textFill>
              </w:rPr>
            </w:pPr>
            <w:r>
              <w:rPr>
                <w:rFonts w:hint="eastAsia"/>
                <w:color w:val="000000" w:themeColor="text1"/>
                <w:u w:val="single"/>
                <w14:textFill>
                  <w14:solidFill>
                    <w14:schemeClr w14:val="tx1"/>
                  </w14:solidFill>
                </w14:textFill>
              </w:rPr>
              <w:t>②洗涤</w:t>
            </w:r>
            <w:r>
              <w:rPr>
                <w:rFonts w:hint="eastAsia"/>
                <w:color w:val="000000"/>
                <w:u w:val="single"/>
              </w:rPr>
              <w:t>：将分拣出来的毛巾、被套、床单等送至洗涤区，投放至全自动</w:t>
            </w:r>
            <w:r>
              <w:rPr>
                <w:rFonts w:hint="eastAsia"/>
                <w:color w:val="000000"/>
                <w:u w:val="single"/>
                <w:lang w:eastAsia="zh-CN"/>
              </w:rPr>
              <w:t>洗涤笼</w:t>
            </w:r>
            <w:r>
              <w:rPr>
                <w:rFonts w:hint="eastAsia"/>
                <w:color w:val="000000"/>
                <w:u w:val="single"/>
              </w:rPr>
              <w:t>内，加入清洁材料后，由全自动</w:t>
            </w:r>
            <w:r>
              <w:rPr>
                <w:rFonts w:hint="eastAsia"/>
                <w:color w:val="000000"/>
                <w:u w:val="single"/>
                <w:lang w:eastAsia="zh-CN"/>
              </w:rPr>
              <w:t>洗涤笼</w:t>
            </w:r>
            <w:r>
              <w:rPr>
                <w:rFonts w:hint="eastAsia"/>
                <w:color w:val="000000"/>
                <w:u w:val="single"/>
              </w:rPr>
              <w:t>自动进行</w:t>
            </w:r>
            <w:r>
              <w:rPr>
                <w:rFonts w:hint="eastAsia"/>
                <w:color w:val="000000"/>
                <w:u w:val="single"/>
                <w:lang w:val="en-US" w:eastAsia="zh-CN"/>
              </w:rPr>
              <w:t>1次冷水初洗、1次70℃热水主洗、3次冷水漂洗</w:t>
            </w:r>
            <w:r>
              <w:rPr>
                <w:rFonts w:hint="eastAsia"/>
                <w:color w:val="000000"/>
                <w:u w:val="single"/>
              </w:rPr>
              <w:t>、脱水等工序。</w:t>
            </w:r>
            <w:r>
              <w:rPr>
                <w:rFonts w:hint="eastAsia"/>
                <w:color w:val="000000" w:themeColor="text1"/>
                <w:u w:val="single"/>
                <w14:textFill>
                  <w14:solidFill>
                    <w14:schemeClr w14:val="tx1"/>
                  </w14:solidFill>
                </w14:textFill>
              </w:rPr>
              <w:t>如经上述清洗后，仍未达到清洁要求的织物</w:t>
            </w:r>
            <w:r>
              <w:rPr>
                <w:rFonts w:hint="eastAsia"/>
                <w:color w:val="000000" w:themeColor="text1"/>
                <w:u w:val="single"/>
                <w:lang w:eastAsia="zh-CN"/>
                <w14:textFill>
                  <w14:solidFill>
                    <w14:schemeClr w14:val="tx1"/>
                  </w14:solidFill>
                </w14:textFill>
              </w:rPr>
              <w:t>送至复洗区全自动洗衣机</w:t>
            </w:r>
            <w:r>
              <w:rPr>
                <w:rFonts w:hint="eastAsia"/>
                <w:color w:val="000000" w:themeColor="text1"/>
                <w:u w:val="single"/>
                <w14:textFill>
                  <w14:solidFill>
                    <w14:schemeClr w14:val="tx1"/>
                  </w14:solidFill>
                </w14:textFill>
              </w:rPr>
              <w:t>进行复洗。洗脱过程产生的污染物主要为洗涤废水、设备噪声和废洗涤液桶。</w:t>
            </w:r>
          </w:p>
          <w:p w14:paraId="6C18FE92">
            <w:pPr>
              <w:spacing w:line="360" w:lineRule="auto"/>
              <w:ind w:firstLine="480"/>
              <w:rPr>
                <w:color w:val="000000"/>
                <w:sz w:val="24"/>
                <w:u w:val="single"/>
              </w:rPr>
            </w:pPr>
            <w:r>
              <w:rPr>
                <w:rFonts w:hint="eastAsia"/>
                <w:color w:val="000000" w:themeColor="text1"/>
                <w:sz w:val="24"/>
                <w:u w:val="single"/>
                <w14:textFill>
                  <w14:solidFill>
                    <w14:schemeClr w14:val="tx1"/>
                  </w14:solidFill>
                </w14:textFill>
              </w:rPr>
              <w:t>④</w:t>
            </w:r>
            <w:r>
              <w:rPr>
                <w:rFonts w:hint="eastAsia"/>
                <w:color w:val="000000"/>
                <w:sz w:val="24"/>
                <w:u w:val="single"/>
              </w:rPr>
              <w:t>烘干：将清洗干净并脱水后的布草送至烘干区，通过生物质蒸汽锅炉产生蒸汽，加热烘干。毛巾</w:t>
            </w:r>
            <w:r>
              <w:rPr>
                <w:rFonts w:hint="eastAsia"/>
                <w:color w:val="000000" w:themeColor="text1"/>
                <w:sz w:val="24"/>
                <w:u w:val="single"/>
                <w14:textFill>
                  <w14:solidFill>
                    <w14:schemeClr w14:val="tx1"/>
                  </w14:solidFill>
                </w14:textFill>
              </w:rPr>
              <w:t>烘干温度约为150℃，枕套、床单烘干温度约为180℃</w:t>
            </w:r>
            <w:r>
              <w:rPr>
                <w:rFonts w:hint="eastAsia"/>
                <w:color w:val="000000"/>
                <w:sz w:val="24"/>
                <w:u w:val="single"/>
              </w:rPr>
              <w:t xml:space="preserve">，会产生锅炉燃烧废气灰渣、设备噪声。 </w:t>
            </w:r>
          </w:p>
          <w:p w14:paraId="15EB0813">
            <w:pPr>
              <w:spacing w:line="360" w:lineRule="auto"/>
              <w:ind w:firstLine="480"/>
              <w:rPr>
                <w:color w:val="000000"/>
                <w:sz w:val="24"/>
                <w:u w:val="single"/>
              </w:rPr>
            </w:pPr>
            <w:r>
              <w:rPr>
                <w:rFonts w:hint="eastAsia"/>
                <w:color w:val="000000" w:themeColor="text1"/>
                <w:sz w:val="24"/>
                <w:u w:val="single"/>
                <w14:textFill>
                  <w14:solidFill>
                    <w14:schemeClr w14:val="tx1"/>
                  </w14:solidFill>
                </w14:textFill>
              </w:rPr>
              <w:t>⑤</w:t>
            </w:r>
            <w:r>
              <w:rPr>
                <w:rFonts w:hint="eastAsia"/>
                <w:color w:val="000000"/>
                <w:sz w:val="24"/>
                <w:u w:val="single"/>
              </w:rPr>
              <w:t>熨烫/烫平 ：将烘干完成的布草（毛巾类除外）送至烫平区进行烫平，烫平以蒸汽作为热源，</w:t>
            </w:r>
            <w:r>
              <w:rPr>
                <w:rFonts w:hint="eastAsia"/>
                <w:color w:val="000000"/>
                <w:sz w:val="24"/>
                <w:u w:val="single"/>
                <w:lang w:eastAsia="zh-CN"/>
              </w:rPr>
              <w:t>熨烫温度约</w:t>
            </w:r>
            <w:r>
              <w:rPr>
                <w:rFonts w:hint="eastAsia"/>
                <w:color w:val="000000"/>
                <w:sz w:val="24"/>
                <w:u w:val="single"/>
                <w:lang w:val="en-US" w:eastAsia="zh-CN"/>
              </w:rPr>
              <w:t>75-80℃，</w:t>
            </w:r>
            <w:r>
              <w:rPr>
                <w:rFonts w:hint="eastAsia"/>
                <w:color w:val="000000"/>
                <w:sz w:val="24"/>
                <w:u w:val="single"/>
              </w:rPr>
              <w:t xml:space="preserve">蒸汽由生物质蒸汽锅炉提供。该过程会产生锅炉燃烧废气、灰渣、噪声。 </w:t>
            </w:r>
          </w:p>
          <w:p w14:paraId="74A17D11">
            <w:pPr>
              <w:spacing w:line="360" w:lineRule="auto"/>
              <w:ind w:firstLine="480"/>
              <w:rPr>
                <w:color w:val="000000"/>
                <w:sz w:val="24"/>
              </w:rPr>
            </w:pPr>
            <w:r>
              <w:rPr>
                <w:rFonts w:hint="eastAsia"/>
                <w:color w:val="000000" w:themeColor="text1"/>
                <w:sz w:val="24"/>
                <w14:textFill>
                  <w14:solidFill>
                    <w14:schemeClr w14:val="tx1"/>
                  </w14:solidFill>
                </w14:textFill>
              </w:rPr>
              <w:t>⑥</w:t>
            </w:r>
            <w:r>
              <w:rPr>
                <w:rFonts w:hint="eastAsia"/>
                <w:color w:val="000000"/>
                <w:sz w:val="24"/>
              </w:rPr>
              <w:t>折叠</w:t>
            </w:r>
            <w:r>
              <w:rPr>
                <w:color w:val="000000"/>
                <w:sz w:val="24"/>
              </w:rPr>
              <w:t>/</w:t>
            </w:r>
            <w:r>
              <w:rPr>
                <w:rFonts w:hint="eastAsia"/>
                <w:color w:val="000000"/>
                <w:sz w:val="24"/>
              </w:rPr>
              <w:t>检查</w:t>
            </w:r>
            <w:r>
              <w:rPr>
                <w:color w:val="000000"/>
                <w:sz w:val="24"/>
              </w:rPr>
              <w:t xml:space="preserve"> </w:t>
            </w:r>
            <w:r>
              <w:rPr>
                <w:rFonts w:hint="eastAsia"/>
                <w:color w:val="000000"/>
                <w:sz w:val="24"/>
              </w:rPr>
              <w:t xml:space="preserve">：将已烘干的毛巾类布草和烫平的其他类布草送至折叠区的全自动折叠机进行折叠整理，并检查是否清洗干净。 </w:t>
            </w:r>
          </w:p>
          <w:p w14:paraId="7247EFE8">
            <w:pPr>
              <w:spacing w:line="360" w:lineRule="auto"/>
              <w:ind w:firstLine="480"/>
              <w:rPr>
                <w:color w:val="000000"/>
                <w:sz w:val="24"/>
              </w:rPr>
            </w:pPr>
            <w:r>
              <w:rPr>
                <w:rFonts w:hint="eastAsia" w:ascii="微软雅黑" w:hAnsi="微软雅黑" w:eastAsia="微软雅黑" w:cs="微软雅黑"/>
                <w:color w:val="000000"/>
                <w:sz w:val="24"/>
              </w:rPr>
              <w:t>⑦</w:t>
            </w:r>
            <w:r>
              <w:rPr>
                <w:rFonts w:hint="eastAsia"/>
                <w:color w:val="000000"/>
                <w:sz w:val="24"/>
              </w:rPr>
              <w:t>打包出厂：将折叠好的布草捆扎打包出货。</w:t>
            </w:r>
          </w:p>
        </w:tc>
      </w:tr>
      <w:tr w14:paraId="635D09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Align w:val="center"/>
          </w:tcPr>
          <w:p w14:paraId="36CD60D5">
            <w:pPr>
              <w:pStyle w:val="16"/>
              <w:adjustRightInd w:val="0"/>
              <w:snapToGrid w:val="0"/>
              <w:spacing w:before="0" w:beforeAutospacing="0" w:after="0" w:afterAutospacing="0"/>
              <w:jc w:val="center"/>
              <w:rPr>
                <w:rFonts w:hint="eastAsia" w:cs="宋体"/>
                <w:b/>
                <w:szCs w:val="24"/>
              </w:rPr>
            </w:pPr>
            <w:r>
              <w:rPr>
                <w:rFonts w:hint="eastAsia" w:cs="宋体"/>
                <w:b/>
                <w:bCs/>
                <w:kern w:val="2"/>
                <w:szCs w:val="24"/>
              </w:rPr>
              <w:t>与项目有关的原有环境污染问题</w:t>
            </w:r>
          </w:p>
        </w:tc>
        <w:tc>
          <w:tcPr>
            <w:tcW w:w="0" w:type="auto"/>
          </w:tcPr>
          <w:p w14:paraId="0008A359">
            <w:pPr>
              <w:autoSpaceDE w:val="0"/>
              <w:autoSpaceDN w:val="0"/>
              <w:adjustRightInd w:val="0"/>
              <w:spacing w:line="360" w:lineRule="auto"/>
              <w:ind w:firstLine="482" w:firstLineChars="200"/>
              <w:rPr>
                <w:b/>
                <w:sz w:val="24"/>
              </w:rPr>
            </w:pPr>
            <w:r>
              <w:rPr>
                <w:rFonts w:hint="eastAsia"/>
                <w:b/>
                <w:sz w:val="24"/>
              </w:rPr>
              <w:t>一、现有项目环保审批及验收情况</w:t>
            </w:r>
          </w:p>
          <w:p w14:paraId="666F4A3F">
            <w:pPr>
              <w:adjustRightInd w:val="0"/>
              <w:snapToGrid w:val="0"/>
              <w:spacing w:line="360" w:lineRule="auto"/>
              <w:ind w:firstLine="480" w:firstLineChars="200"/>
              <w:rPr>
                <w:sz w:val="24"/>
              </w:rPr>
            </w:pPr>
            <w:r>
              <w:rPr>
                <w:rFonts w:hint="eastAsia"/>
                <w:sz w:val="24"/>
              </w:rPr>
              <w:t>湖南康康生物科技有限公司</w:t>
            </w:r>
            <w:r>
              <w:rPr>
                <w:sz w:val="24"/>
              </w:rPr>
              <w:t>位于</w:t>
            </w:r>
            <w:r>
              <w:rPr>
                <w:rFonts w:hint="eastAsia"/>
                <w:sz w:val="24"/>
                <w:lang w:eastAsia="zh-CN"/>
              </w:rPr>
              <w:t>湖南省衡阳市衡阳县西渡镇豆陂村</w:t>
            </w:r>
            <w:r>
              <w:rPr>
                <w:sz w:val="24"/>
              </w:rPr>
              <w:t>，主要从事</w:t>
            </w:r>
            <w:r>
              <w:rPr>
                <w:rFonts w:hint="eastAsia"/>
                <w:sz w:val="24"/>
              </w:rPr>
              <w:t>碗筷、布草洗涤</w:t>
            </w:r>
            <w:r>
              <w:rPr>
                <w:sz w:val="24"/>
              </w:rPr>
              <w:t>，于201</w:t>
            </w:r>
            <w:r>
              <w:rPr>
                <w:rFonts w:hint="eastAsia"/>
                <w:sz w:val="24"/>
              </w:rPr>
              <w:t>4</w:t>
            </w:r>
            <w:r>
              <w:rPr>
                <w:sz w:val="24"/>
              </w:rPr>
              <w:t>年</w:t>
            </w:r>
            <w:r>
              <w:rPr>
                <w:rFonts w:hint="eastAsia"/>
                <w:sz w:val="24"/>
              </w:rPr>
              <w:t>10</w:t>
            </w:r>
            <w:r>
              <w:rPr>
                <w:sz w:val="24"/>
              </w:rPr>
              <w:t>月委托</w:t>
            </w:r>
            <w:r>
              <w:rPr>
                <w:rFonts w:hint="eastAsia"/>
                <w:sz w:val="24"/>
              </w:rPr>
              <w:t>深圳市宗兴环保</w:t>
            </w:r>
            <w:r>
              <w:rPr>
                <w:sz w:val="24"/>
              </w:rPr>
              <w:t>编制了《</w:t>
            </w:r>
            <w:r>
              <w:rPr>
                <w:rFonts w:hint="eastAsia"/>
                <w:sz w:val="24"/>
              </w:rPr>
              <w:t>湖南康康生物科技有限公司年清洗消毒餐具450万套及洗涤消毒布草10万套建设项目环境影响报告表</w:t>
            </w:r>
            <w:r>
              <w:rPr>
                <w:sz w:val="24"/>
              </w:rPr>
              <w:t>》，并于</w:t>
            </w:r>
            <w:r>
              <w:rPr>
                <w:rFonts w:hint="eastAsia"/>
                <w:sz w:val="24"/>
              </w:rPr>
              <w:t>2015</w:t>
            </w:r>
            <w:r>
              <w:rPr>
                <w:sz w:val="24"/>
              </w:rPr>
              <w:t>年</w:t>
            </w:r>
            <w:r>
              <w:rPr>
                <w:rFonts w:hint="eastAsia"/>
                <w:sz w:val="24"/>
              </w:rPr>
              <w:t>12</w:t>
            </w:r>
            <w:r>
              <w:rPr>
                <w:sz w:val="24"/>
              </w:rPr>
              <w:t>月</w:t>
            </w:r>
            <w:r>
              <w:rPr>
                <w:rFonts w:hint="eastAsia"/>
                <w:sz w:val="24"/>
              </w:rPr>
              <w:t>17</w:t>
            </w:r>
            <w:r>
              <w:rPr>
                <w:sz w:val="24"/>
              </w:rPr>
              <w:t>日经</w:t>
            </w:r>
            <w:r>
              <w:rPr>
                <w:rFonts w:hint="eastAsia"/>
                <w:sz w:val="24"/>
              </w:rPr>
              <w:t>衡阳县环保局</w:t>
            </w:r>
            <w:r>
              <w:rPr>
                <w:sz w:val="24"/>
              </w:rPr>
              <w:t>审批同意建设（</w:t>
            </w:r>
            <w:r>
              <w:rPr>
                <w:rFonts w:hint="eastAsia"/>
                <w:sz w:val="24"/>
              </w:rPr>
              <w:t>蒸环评发[2015]03号</w:t>
            </w:r>
            <w:r>
              <w:rPr>
                <w:sz w:val="24"/>
              </w:rPr>
              <w:t>），</w:t>
            </w:r>
            <w:r>
              <w:rPr>
                <w:rFonts w:hint="eastAsia"/>
                <w:sz w:val="24"/>
              </w:rPr>
              <w:t>2016年2月3日完成环保竣工验收（蒸环验[2016]02号）。项目属于排污许可登记管理类，已取得固定污染源排污登记回执（登记编号：91430421MA4RXB4127001X）（详见附件 4、5、6）</w:t>
            </w:r>
            <w:r>
              <w:rPr>
                <w:sz w:val="24"/>
              </w:rPr>
              <w:t>。</w:t>
            </w:r>
            <w:r>
              <w:rPr>
                <w:rFonts w:hint="eastAsia"/>
                <w:sz w:val="24"/>
              </w:rPr>
              <w:t>现有项目年洗消毒餐具450万套及洗涤消毒布草10万套。</w:t>
            </w:r>
          </w:p>
          <w:p w14:paraId="56804694">
            <w:pPr>
              <w:pStyle w:val="16"/>
              <w:spacing w:before="0" w:beforeAutospacing="0" w:after="0" w:afterAutospacing="0" w:line="360" w:lineRule="auto"/>
              <w:ind w:firstLine="482" w:firstLineChars="200"/>
              <w:jc w:val="both"/>
              <w:rPr>
                <w:rFonts w:ascii="Times New Roman" w:hAnsi="Times New Roman"/>
                <w:b/>
                <w:kern w:val="2"/>
                <w:szCs w:val="24"/>
              </w:rPr>
            </w:pPr>
            <w:r>
              <w:rPr>
                <w:rFonts w:hint="eastAsia"/>
                <w:b/>
              </w:rPr>
              <w:t>二、</w:t>
            </w:r>
            <w:r>
              <w:rPr>
                <w:rFonts w:hint="eastAsia" w:ascii="Times New Roman" w:hAnsi="Times New Roman"/>
                <w:b/>
                <w:kern w:val="2"/>
                <w:szCs w:val="24"/>
              </w:rPr>
              <w:t>现有项目概况</w:t>
            </w:r>
          </w:p>
          <w:p w14:paraId="12206E44">
            <w:pPr>
              <w:pStyle w:val="33"/>
              <w:spacing w:line="360" w:lineRule="auto"/>
              <w:ind w:firstLine="482" w:firstLineChars="200"/>
              <w:rPr>
                <w:rFonts w:ascii="Times New Roman"/>
                <w:b/>
                <w:color w:val="auto"/>
              </w:rPr>
            </w:pPr>
            <w:r>
              <w:rPr>
                <w:rFonts w:ascii="Times New Roman"/>
                <w:b/>
                <w:color w:val="auto"/>
              </w:rPr>
              <w:t>1、现有工程建设内容</w:t>
            </w:r>
          </w:p>
          <w:p w14:paraId="0132D9A9">
            <w:pPr>
              <w:pStyle w:val="33"/>
              <w:spacing w:line="360" w:lineRule="auto"/>
              <w:ind w:firstLine="480" w:firstLineChars="200"/>
              <w:rPr>
                <w:rFonts w:ascii="Times New Roman"/>
                <w:color w:val="auto"/>
              </w:rPr>
            </w:pPr>
            <w:r>
              <w:rPr>
                <w:rFonts w:hint="eastAsia" w:ascii="Times New Roman"/>
                <w:color w:val="auto"/>
              </w:rPr>
              <w:t>现有工程内容及规模见表2-</w:t>
            </w:r>
            <w:r>
              <w:rPr>
                <w:rFonts w:hint="eastAsia" w:ascii="Times New Roman"/>
                <w:color w:val="auto"/>
                <w:lang w:val="en-US" w:eastAsia="zh-CN"/>
              </w:rPr>
              <w:t>5</w:t>
            </w:r>
            <w:r>
              <w:rPr>
                <w:rFonts w:hint="eastAsia" w:ascii="Times New Roman"/>
                <w:color w:val="auto"/>
              </w:rPr>
              <w:t>。</w:t>
            </w:r>
          </w:p>
          <w:p w14:paraId="16D4C94A">
            <w:pPr>
              <w:pStyle w:val="33"/>
              <w:spacing w:before="120" w:beforeLines="50"/>
              <w:jc w:val="center"/>
              <w:rPr>
                <w:rFonts w:ascii="Times New Roman"/>
                <w:b/>
                <w:color w:val="auto"/>
                <w:sz w:val="21"/>
              </w:rPr>
            </w:pPr>
            <w:r>
              <w:rPr>
                <w:rFonts w:ascii="Times New Roman"/>
                <w:b/>
                <w:color w:val="auto"/>
                <w:sz w:val="21"/>
              </w:rPr>
              <w:t>表</w:t>
            </w:r>
            <w:r>
              <w:rPr>
                <w:rFonts w:hint="eastAsia" w:ascii="Times New Roman"/>
                <w:b/>
                <w:color w:val="auto"/>
                <w:sz w:val="21"/>
              </w:rPr>
              <w:t>2-</w:t>
            </w:r>
            <w:r>
              <w:rPr>
                <w:rFonts w:hint="eastAsia" w:ascii="Times New Roman"/>
                <w:b/>
                <w:color w:val="auto"/>
                <w:sz w:val="21"/>
                <w:lang w:val="en-US" w:eastAsia="zh-CN"/>
              </w:rPr>
              <w:t>5</w:t>
            </w:r>
            <w:r>
              <w:rPr>
                <w:rFonts w:ascii="Times New Roman"/>
                <w:b/>
                <w:color w:val="auto"/>
                <w:sz w:val="21"/>
              </w:rPr>
              <w:t xml:space="preserve">  </w:t>
            </w:r>
            <w:r>
              <w:rPr>
                <w:rFonts w:hint="eastAsia" w:ascii="Times New Roman"/>
                <w:b/>
                <w:color w:val="auto"/>
                <w:sz w:val="21"/>
              </w:rPr>
              <w:t>现有工程内容一览表</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18"/>
              <w:gridCol w:w="487"/>
              <w:gridCol w:w="1678"/>
              <w:gridCol w:w="6596"/>
            </w:tblGrid>
            <w:tr w14:paraId="6F5EB3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shd w:val="clear" w:color="auto" w:fill="auto"/>
                  <w:vAlign w:val="center"/>
                </w:tcPr>
                <w:p w14:paraId="7C3AEBC1">
                  <w:pPr>
                    <w:adjustRightInd w:val="0"/>
                    <w:snapToGrid w:val="0"/>
                    <w:jc w:val="center"/>
                    <w:rPr>
                      <w:b/>
                      <w:bCs/>
                      <w:szCs w:val="21"/>
                    </w:rPr>
                  </w:pPr>
                  <w:r>
                    <w:rPr>
                      <w:b/>
                      <w:bCs/>
                      <w:szCs w:val="21"/>
                    </w:rPr>
                    <w:t>类别</w:t>
                  </w:r>
                </w:p>
              </w:tc>
              <w:tc>
                <w:tcPr>
                  <w:tcW w:w="2235" w:type="dxa"/>
                  <w:gridSpan w:val="2"/>
                  <w:shd w:val="clear" w:color="auto" w:fill="auto"/>
                  <w:vAlign w:val="center"/>
                </w:tcPr>
                <w:p w14:paraId="7B734894">
                  <w:pPr>
                    <w:adjustRightInd w:val="0"/>
                    <w:snapToGrid w:val="0"/>
                    <w:jc w:val="center"/>
                    <w:rPr>
                      <w:b/>
                      <w:bCs/>
                      <w:szCs w:val="21"/>
                    </w:rPr>
                  </w:pPr>
                  <w:r>
                    <w:rPr>
                      <w:b/>
                      <w:bCs/>
                      <w:szCs w:val="21"/>
                    </w:rPr>
                    <w:t>工程名称</w:t>
                  </w:r>
                </w:p>
              </w:tc>
              <w:tc>
                <w:tcPr>
                  <w:tcW w:w="6596" w:type="dxa"/>
                  <w:shd w:val="clear" w:color="auto" w:fill="auto"/>
                  <w:vAlign w:val="center"/>
                </w:tcPr>
                <w:p w14:paraId="10B448EF">
                  <w:pPr>
                    <w:adjustRightInd w:val="0"/>
                    <w:snapToGrid w:val="0"/>
                    <w:jc w:val="center"/>
                    <w:rPr>
                      <w:b/>
                      <w:bCs/>
                      <w:szCs w:val="21"/>
                    </w:rPr>
                  </w:pPr>
                  <w:r>
                    <w:rPr>
                      <w:b/>
                      <w:bCs/>
                      <w:szCs w:val="21"/>
                    </w:rPr>
                    <w:t>工程规模</w:t>
                  </w:r>
                </w:p>
              </w:tc>
            </w:tr>
            <w:tr w14:paraId="3D6C95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restart"/>
                  <w:shd w:val="clear" w:color="auto" w:fill="auto"/>
                  <w:vAlign w:val="center"/>
                </w:tcPr>
                <w:p w14:paraId="1F130B7D">
                  <w:pPr>
                    <w:adjustRightInd w:val="0"/>
                    <w:snapToGrid w:val="0"/>
                    <w:jc w:val="center"/>
                    <w:rPr>
                      <w:bCs/>
                      <w:szCs w:val="21"/>
                    </w:rPr>
                  </w:pPr>
                  <w:r>
                    <w:rPr>
                      <w:bCs/>
                      <w:szCs w:val="21"/>
                    </w:rPr>
                    <w:t>主体工程</w:t>
                  </w:r>
                </w:p>
              </w:tc>
              <w:tc>
                <w:tcPr>
                  <w:tcW w:w="0" w:type="auto"/>
                  <w:vMerge w:val="restart"/>
                  <w:shd w:val="clear" w:color="auto" w:fill="auto"/>
                  <w:vAlign w:val="center"/>
                </w:tcPr>
                <w:p w14:paraId="38AC900E">
                  <w:pPr>
                    <w:adjustRightInd w:val="0"/>
                    <w:snapToGrid w:val="0"/>
                    <w:jc w:val="center"/>
                    <w:rPr>
                      <w:bCs/>
                      <w:szCs w:val="21"/>
                    </w:rPr>
                  </w:pPr>
                  <w:r>
                    <w:rPr>
                      <w:rFonts w:hint="eastAsia"/>
                      <w:bCs/>
                      <w:szCs w:val="21"/>
                    </w:rPr>
                    <w:t>老厂房</w:t>
                  </w:r>
                </w:p>
              </w:tc>
              <w:tc>
                <w:tcPr>
                  <w:tcW w:w="1678" w:type="dxa"/>
                  <w:shd w:val="clear" w:color="auto" w:fill="auto"/>
                  <w:vAlign w:val="center"/>
                </w:tcPr>
                <w:p w14:paraId="4F1F342A">
                  <w:pPr>
                    <w:adjustRightInd w:val="0"/>
                    <w:snapToGrid w:val="0"/>
                    <w:jc w:val="center"/>
                    <w:rPr>
                      <w:bCs/>
                      <w:szCs w:val="21"/>
                    </w:rPr>
                  </w:pPr>
                  <w:r>
                    <w:rPr>
                      <w:rFonts w:hint="eastAsia"/>
                      <w:bCs/>
                      <w:szCs w:val="21"/>
                    </w:rPr>
                    <w:t>餐具清洗消毒生产车间</w:t>
                  </w:r>
                </w:p>
              </w:tc>
              <w:tc>
                <w:tcPr>
                  <w:tcW w:w="6596" w:type="dxa"/>
                  <w:shd w:val="clear" w:color="auto" w:fill="auto"/>
                  <w:vAlign w:val="center"/>
                </w:tcPr>
                <w:p w14:paraId="7B21093E">
                  <w:pPr>
                    <w:adjustRightInd w:val="0"/>
                    <w:snapToGrid w:val="0"/>
                    <w:jc w:val="center"/>
                    <w:rPr>
                      <w:bCs/>
                      <w:szCs w:val="21"/>
                    </w:rPr>
                  </w:pPr>
                  <w:r>
                    <w:rPr>
                      <w:bCs/>
                      <w:szCs w:val="21"/>
                    </w:rPr>
                    <w:t>车间</w:t>
                  </w:r>
                  <w:r>
                    <w:rPr>
                      <w:rFonts w:hint="eastAsia"/>
                      <w:bCs/>
                      <w:szCs w:val="21"/>
                    </w:rPr>
                    <w:t>占地面积约1000m</w:t>
                  </w:r>
                  <w:r>
                    <w:rPr>
                      <w:rFonts w:hint="eastAsia"/>
                      <w:bCs/>
                      <w:szCs w:val="21"/>
                      <w:vertAlign w:val="superscript"/>
                    </w:rPr>
                    <w:t>2</w:t>
                  </w:r>
                  <w:r>
                    <w:rPr>
                      <w:rFonts w:hint="eastAsia"/>
                      <w:sz w:val="24"/>
                    </w:rPr>
                    <w:t>，1F，</w:t>
                  </w:r>
                  <w:r>
                    <w:rPr>
                      <w:bCs/>
                      <w:szCs w:val="21"/>
                    </w:rPr>
                    <w:t>建筑面积约</w:t>
                  </w:r>
                  <w:r>
                    <w:rPr>
                      <w:rFonts w:hint="eastAsia"/>
                      <w:bCs/>
                      <w:szCs w:val="21"/>
                    </w:rPr>
                    <w:t>1000m</w:t>
                  </w:r>
                  <w:r>
                    <w:rPr>
                      <w:rFonts w:hint="eastAsia"/>
                      <w:bCs/>
                      <w:szCs w:val="21"/>
                      <w:vertAlign w:val="superscript"/>
                    </w:rPr>
                    <w:t>2</w:t>
                  </w:r>
                </w:p>
              </w:tc>
            </w:tr>
            <w:tr w14:paraId="2597BB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09AFFA4A">
                  <w:pPr>
                    <w:adjustRightInd w:val="0"/>
                    <w:snapToGrid w:val="0"/>
                    <w:jc w:val="center"/>
                    <w:rPr>
                      <w:bCs/>
                      <w:szCs w:val="21"/>
                    </w:rPr>
                  </w:pPr>
                </w:p>
              </w:tc>
              <w:tc>
                <w:tcPr>
                  <w:tcW w:w="0" w:type="auto"/>
                  <w:vMerge w:val="continue"/>
                  <w:shd w:val="clear" w:color="auto" w:fill="auto"/>
                  <w:vAlign w:val="center"/>
                </w:tcPr>
                <w:p w14:paraId="3F21917F">
                  <w:pPr>
                    <w:adjustRightInd w:val="0"/>
                    <w:snapToGrid w:val="0"/>
                    <w:jc w:val="center"/>
                    <w:rPr>
                      <w:bCs/>
                      <w:szCs w:val="21"/>
                    </w:rPr>
                  </w:pPr>
                </w:p>
              </w:tc>
              <w:tc>
                <w:tcPr>
                  <w:tcW w:w="1678" w:type="dxa"/>
                  <w:shd w:val="clear" w:color="auto" w:fill="auto"/>
                  <w:vAlign w:val="center"/>
                </w:tcPr>
                <w:p w14:paraId="05D779DA">
                  <w:pPr>
                    <w:adjustRightInd w:val="0"/>
                    <w:snapToGrid w:val="0"/>
                    <w:jc w:val="center"/>
                    <w:rPr>
                      <w:bCs/>
                      <w:szCs w:val="21"/>
                    </w:rPr>
                  </w:pPr>
                  <w:r>
                    <w:rPr>
                      <w:rFonts w:hint="eastAsia"/>
                      <w:bCs/>
                      <w:szCs w:val="21"/>
                    </w:rPr>
                    <w:t>布草清洗消毒生产车间</w:t>
                  </w:r>
                </w:p>
              </w:tc>
              <w:tc>
                <w:tcPr>
                  <w:tcW w:w="6596" w:type="dxa"/>
                  <w:shd w:val="clear" w:color="auto" w:fill="auto"/>
                  <w:vAlign w:val="center"/>
                </w:tcPr>
                <w:p w14:paraId="366A42F7">
                  <w:pPr>
                    <w:adjustRightInd w:val="0"/>
                    <w:snapToGrid w:val="0"/>
                    <w:jc w:val="center"/>
                    <w:rPr>
                      <w:bCs/>
                      <w:szCs w:val="21"/>
                    </w:rPr>
                  </w:pPr>
                  <w:r>
                    <w:rPr>
                      <w:bCs/>
                      <w:szCs w:val="21"/>
                    </w:rPr>
                    <w:t>车间</w:t>
                  </w:r>
                  <w:r>
                    <w:rPr>
                      <w:rFonts w:hint="eastAsia"/>
                      <w:bCs/>
                      <w:szCs w:val="21"/>
                    </w:rPr>
                    <w:t>占地面积约600m</w:t>
                  </w:r>
                  <w:r>
                    <w:rPr>
                      <w:rFonts w:hint="eastAsia"/>
                      <w:bCs/>
                      <w:szCs w:val="21"/>
                      <w:vertAlign w:val="superscript"/>
                    </w:rPr>
                    <w:t>2</w:t>
                  </w:r>
                  <w:r>
                    <w:rPr>
                      <w:rFonts w:hint="eastAsia"/>
                      <w:sz w:val="24"/>
                    </w:rPr>
                    <w:t>，1F，</w:t>
                  </w:r>
                  <w:r>
                    <w:rPr>
                      <w:bCs/>
                      <w:szCs w:val="21"/>
                    </w:rPr>
                    <w:t>建筑面积约</w:t>
                  </w:r>
                  <w:r>
                    <w:rPr>
                      <w:rFonts w:hint="eastAsia"/>
                      <w:bCs/>
                      <w:szCs w:val="21"/>
                    </w:rPr>
                    <w:t>600m</w:t>
                  </w:r>
                  <w:r>
                    <w:rPr>
                      <w:rFonts w:hint="eastAsia"/>
                      <w:bCs/>
                      <w:szCs w:val="21"/>
                      <w:vertAlign w:val="superscript"/>
                    </w:rPr>
                    <w:t>2</w:t>
                  </w:r>
                </w:p>
              </w:tc>
            </w:tr>
            <w:tr w14:paraId="317991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4913FD4D">
                  <w:pPr>
                    <w:adjustRightInd w:val="0"/>
                    <w:snapToGrid w:val="0"/>
                    <w:jc w:val="center"/>
                    <w:rPr>
                      <w:bCs/>
                      <w:szCs w:val="21"/>
                    </w:rPr>
                  </w:pPr>
                </w:p>
              </w:tc>
              <w:tc>
                <w:tcPr>
                  <w:tcW w:w="0" w:type="auto"/>
                  <w:vMerge w:val="continue"/>
                  <w:shd w:val="clear" w:color="auto" w:fill="auto"/>
                  <w:vAlign w:val="center"/>
                </w:tcPr>
                <w:p w14:paraId="1EE960BF">
                  <w:pPr>
                    <w:adjustRightInd w:val="0"/>
                    <w:snapToGrid w:val="0"/>
                    <w:jc w:val="center"/>
                    <w:rPr>
                      <w:bCs/>
                      <w:szCs w:val="21"/>
                    </w:rPr>
                  </w:pPr>
                </w:p>
              </w:tc>
              <w:tc>
                <w:tcPr>
                  <w:tcW w:w="1678" w:type="dxa"/>
                  <w:vAlign w:val="center"/>
                </w:tcPr>
                <w:p w14:paraId="7A3136D5">
                  <w:pPr>
                    <w:adjustRightInd w:val="0"/>
                    <w:snapToGrid w:val="0"/>
                    <w:jc w:val="center"/>
                    <w:rPr>
                      <w:bCs/>
                      <w:szCs w:val="21"/>
                    </w:rPr>
                  </w:pPr>
                  <w:r>
                    <w:rPr>
                      <w:rFonts w:hint="eastAsia"/>
                      <w:bCs/>
                      <w:szCs w:val="21"/>
                    </w:rPr>
                    <w:t>锅炉房</w:t>
                  </w:r>
                </w:p>
              </w:tc>
              <w:tc>
                <w:tcPr>
                  <w:tcW w:w="6596" w:type="dxa"/>
                  <w:shd w:val="clear" w:color="auto" w:fill="auto"/>
                  <w:vAlign w:val="center"/>
                </w:tcPr>
                <w:p w14:paraId="4D11731A">
                  <w:pPr>
                    <w:adjustRightInd w:val="0"/>
                    <w:snapToGrid w:val="0"/>
                    <w:jc w:val="center"/>
                    <w:rPr>
                      <w:bCs/>
                      <w:szCs w:val="21"/>
                    </w:rPr>
                  </w:pPr>
                  <w:r>
                    <w:rPr>
                      <w:bCs/>
                      <w:szCs w:val="21"/>
                    </w:rPr>
                    <w:t>车间建筑面积约</w:t>
                  </w:r>
                  <w:r>
                    <w:rPr>
                      <w:rFonts w:hint="eastAsia"/>
                      <w:bCs/>
                      <w:szCs w:val="21"/>
                    </w:rPr>
                    <w:t>140m</w:t>
                  </w:r>
                  <w:r>
                    <w:rPr>
                      <w:rFonts w:hint="eastAsia"/>
                      <w:bCs/>
                      <w:szCs w:val="21"/>
                      <w:vertAlign w:val="superscript"/>
                    </w:rPr>
                    <w:t>2</w:t>
                  </w:r>
                </w:p>
              </w:tc>
            </w:tr>
            <w:tr w14:paraId="1EB22F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shd w:val="clear" w:color="auto" w:fill="auto"/>
                  <w:vAlign w:val="center"/>
                </w:tcPr>
                <w:p w14:paraId="1FD65C89">
                  <w:pPr>
                    <w:adjustRightInd w:val="0"/>
                    <w:snapToGrid w:val="0"/>
                    <w:jc w:val="center"/>
                    <w:rPr>
                      <w:bCs/>
                      <w:szCs w:val="21"/>
                    </w:rPr>
                  </w:pPr>
                  <w:r>
                    <w:rPr>
                      <w:bCs/>
                      <w:szCs w:val="21"/>
                    </w:rPr>
                    <w:t>储运工程</w:t>
                  </w:r>
                </w:p>
              </w:tc>
              <w:tc>
                <w:tcPr>
                  <w:tcW w:w="2235" w:type="dxa"/>
                  <w:gridSpan w:val="2"/>
                  <w:shd w:val="clear" w:color="auto" w:fill="auto"/>
                  <w:vAlign w:val="center"/>
                </w:tcPr>
                <w:p w14:paraId="7DA8C091">
                  <w:pPr>
                    <w:adjustRightInd w:val="0"/>
                    <w:snapToGrid w:val="0"/>
                    <w:jc w:val="center"/>
                    <w:rPr>
                      <w:bCs/>
                      <w:szCs w:val="21"/>
                    </w:rPr>
                  </w:pPr>
                  <w:r>
                    <w:rPr>
                      <w:rFonts w:hint="eastAsia"/>
                      <w:bCs/>
                      <w:szCs w:val="21"/>
                    </w:rPr>
                    <w:t>碗具成品存放区</w:t>
                  </w:r>
                </w:p>
              </w:tc>
              <w:tc>
                <w:tcPr>
                  <w:tcW w:w="6596" w:type="dxa"/>
                  <w:shd w:val="clear" w:color="auto" w:fill="auto"/>
                  <w:vAlign w:val="center"/>
                </w:tcPr>
                <w:p w14:paraId="4DF081D9">
                  <w:pPr>
                    <w:adjustRightInd w:val="0"/>
                    <w:snapToGrid w:val="0"/>
                    <w:jc w:val="center"/>
                    <w:rPr>
                      <w:bCs/>
                      <w:szCs w:val="21"/>
                    </w:rPr>
                  </w:pPr>
                  <w:r>
                    <w:rPr>
                      <w:rFonts w:hint="eastAsia"/>
                      <w:bCs/>
                      <w:szCs w:val="21"/>
                    </w:rPr>
                    <w:t>占地面积400m</w:t>
                  </w:r>
                  <w:r>
                    <w:rPr>
                      <w:rFonts w:hint="eastAsia"/>
                      <w:bCs/>
                      <w:szCs w:val="21"/>
                      <w:vertAlign w:val="superscript"/>
                    </w:rPr>
                    <w:t>2</w:t>
                  </w:r>
                </w:p>
              </w:tc>
            </w:tr>
            <w:tr w14:paraId="124F419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restart"/>
                  <w:shd w:val="clear" w:color="auto" w:fill="auto"/>
                  <w:vAlign w:val="center"/>
                </w:tcPr>
                <w:p w14:paraId="34D09C5E">
                  <w:pPr>
                    <w:adjustRightInd w:val="0"/>
                    <w:snapToGrid w:val="0"/>
                    <w:jc w:val="center"/>
                    <w:rPr>
                      <w:bCs/>
                      <w:szCs w:val="21"/>
                    </w:rPr>
                  </w:pPr>
                  <w:r>
                    <w:rPr>
                      <w:bCs/>
                      <w:szCs w:val="21"/>
                    </w:rPr>
                    <w:t>辅助工程</w:t>
                  </w:r>
                </w:p>
              </w:tc>
              <w:tc>
                <w:tcPr>
                  <w:tcW w:w="2235" w:type="dxa"/>
                  <w:gridSpan w:val="2"/>
                  <w:shd w:val="clear" w:color="auto" w:fill="auto"/>
                  <w:vAlign w:val="center"/>
                </w:tcPr>
                <w:p w14:paraId="420B8CDA">
                  <w:pPr>
                    <w:adjustRightInd w:val="0"/>
                    <w:snapToGrid w:val="0"/>
                    <w:jc w:val="center"/>
                    <w:rPr>
                      <w:bCs/>
                      <w:szCs w:val="21"/>
                    </w:rPr>
                  </w:pPr>
                  <w:r>
                    <w:rPr>
                      <w:rFonts w:hint="eastAsia"/>
                      <w:bCs/>
                      <w:szCs w:val="21"/>
                    </w:rPr>
                    <w:t>办公楼（4楼设宿舍）</w:t>
                  </w:r>
                </w:p>
              </w:tc>
              <w:tc>
                <w:tcPr>
                  <w:tcW w:w="6596" w:type="dxa"/>
                  <w:shd w:val="clear" w:color="auto" w:fill="auto"/>
                  <w:vAlign w:val="center"/>
                </w:tcPr>
                <w:p w14:paraId="502764B5">
                  <w:pPr>
                    <w:adjustRightInd w:val="0"/>
                    <w:snapToGrid w:val="0"/>
                    <w:jc w:val="center"/>
                    <w:rPr>
                      <w:bCs/>
                      <w:szCs w:val="21"/>
                    </w:rPr>
                  </w:pPr>
                  <w:r>
                    <w:rPr>
                      <w:rFonts w:hint="eastAsia"/>
                      <w:bCs/>
                      <w:szCs w:val="21"/>
                    </w:rPr>
                    <w:t>4F，</w:t>
                  </w:r>
                  <w:r>
                    <w:rPr>
                      <w:bCs/>
                      <w:szCs w:val="21"/>
                    </w:rPr>
                    <w:t>建筑面积约</w:t>
                  </w:r>
                  <w:r>
                    <w:rPr>
                      <w:rFonts w:hint="eastAsia"/>
                      <w:bCs/>
                      <w:szCs w:val="21"/>
                    </w:rPr>
                    <w:t>1750m</w:t>
                  </w:r>
                  <w:r>
                    <w:rPr>
                      <w:rFonts w:hint="eastAsia"/>
                      <w:bCs/>
                      <w:szCs w:val="21"/>
                      <w:vertAlign w:val="superscript"/>
                    </w:rPr>
                    <w:t>2</w:t>
                  </w:r>
                </w:p>
              </w:tc>
            </w:tr>
            <w:tr w14:paraId="15C434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0594A696">
                  <w:pPr>
                    <w:adjustRightInd w:val="0"/>
                    <w:snapToGrid w:val="0"/>
                    <w:jc w:val="center"/>
                    <w:rPr>
                      <w:bCs/>
                      <w:color w:val="FF0000"/>
                      <w:szCs w:val="21"/>
                    </w:rPr>
                  </w:pPr>
                </w:p>
              </w:tc>
              <w:tc>
                <w:tcPr>
                  <w:tcW w:w="2235" w:type="dxa"/>
                  <w:gridSpan w:val="2"/>
                  <w:shd w:val="clear" w:color="auto" w:fill="auto"/>
                  <w:vAlign w:val="center"/>
                </w:tcPr>
                <w:p w14:paraId="32C782B6">
                  <w:pPr>
                    <w:adjustRightInd w:val="0"/>
                    <w:snapToGrid w:val="0"/>
                    <w:jc w:val="center"/>
                    <w:rPr>
                      <w:bCs/>
                      <w:szCs w:val="21"/>
                    </w:rPr>
                  </w:pPr>
                  <w:r>
                    <w:rPr>
                      <w:rFonts w:hint="eastAsia"/>
                      <w:bCs/>
                      <w:szCs w:val="21"/>
                    </w:rPr>
                    <w:t>食堂</w:t>
                  </w:r>
                </w:p>
              </w:tc>
              <w:tc>
                <w:tcPr>
                  <w:tcW w:w="6596" w:type="dxa"/>
                  <w:shd w:val="clear" w:color="auto" w:fill="auto"/>
                  <w:vAlign w:val="center"/>
                </w:tcPr>
                <w:p w14:paraId="2AEE5F21">
                  <w:pPr>
                    <w:adjustRightInd w:val="0"/>
                    <w:snapToGrid w:val="0"/>
                    <w:jc w:val="center"/>
                    <w:rPr>
                      <w:bCs/>
                      <w:szCs w:val="21"/>
                    </w:rPr>
                  </w:pPr>
                  <w:r>
                    <w:rPr>
                      <w:bCs/>
                      <w:szCs w:val="21"/>
                    </w:rPr>
                    <w:t>建筑面积约</w:t>
                  </w:r>
                  <w:r>
                    <w:rPr>
                      <w:rFonts w:hint="eastAsia"/>
                      <w:bCs/>
                      <w:szCs w:val="21"/>
                    </w:rPr>
                    <w:t>200m</w:t>
                  </w:r>
                  <w:r>
                    <w:rPr>
                      <w:rFonts w:hint="eastAsia"/>
                      <w:bCs/>
                      <w:szCs w:val="21"/>
                      <w:vertAlign w:val="superscript"/>
                    </w:rPr>
                    <w:t>2</w:t>
                  </w:r>
                </w:p>
              </w:tc>
            </w:tr>
            <w:tr w14:paraId="032B31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restart"/>
                  <w:shd w:val="clear" w:color="auto" w:fill="auto"/>
                  <w:vAlign w:val="center"/>
                </w:tcPr>
                <w:p w14:paraId="232899B2">
                  <w:pPr>
                    <w:adjustRightInd w:val="0"/>
                    <w:snapToGrid w:val="0"/>
                    <w:jc w:val="center"/>
                    <w:rPr>
                      <w:bCs/>
                      <w:szCs w:val="21"/>
                    </w:rPr>
                  </w:pPr>
                  <w:r>
                    <w:rPr>
                      <w:bCs/>
                      <w:szCs w:val="21"/>
                    </w:rPr>
                    <w:t>公用工程</w:t>
                  </w:r>
                </w:p>
              </w:tc>
              <w:tc>
                <w:tcPr>
                  <w:tcW w:w="2235" w:type="dxa"/>
                  <w:gridSpan w:val="2"/>
                  <w:shd w:val="clear" w:color="auto" w:fill="auto"/>
                  <w:vAlign w:val="center"/>
                </w:tcPr>
                <w:p w14:paraId="679D0360">
                  <w:pPr>
                    <w:adjustRightInd w:val="0"/>
                    <w:snapToGrid w:val="0"/>
                    <w:jc w:val="center"/>
                    <w:rPr>
                      <w:bCs/>
                      <w:szCs w:val="21"/>
                    </w:rPr>
                  </w:pPr>
                  <w:r>
                    <w:rPr>
                      <w:bCs/>
                      <w:szCs w:val="21"/>
                    </w:rPr>
                    <w:t>给水</w:t>
                  </w:r>
                </w:p>
              </w:tc>
              <w:tc>
                <w:tcPr>
                  <w:tcW w:w="6596" w:type="dxa"/>
                  <w:shd w:val="clear" w:color="auto" w:fill="auto"/>
                  <w:vAlign w:val="center"/>
                </w:tcPr>
                <w:p w14:paraId="0D975F2E">
                  <w:pPr>
                    <w:adjustRightInd w:val="0"/>
                    <w:snapToGrid w:val="0"/>
                    <w:jc w:val="center"/>
                    <w:rPr>
                      <w:bCs/>
                      <w:szCs w:val="21"/>
                    </w:rPr>
                  </w:pPr>
                  <w:r>
                    <w:rPr>
                      <w:bCs/>
                      <w:szCs w:val="21"/>
                    </w:rPr>
                    <w:t>市政供水</w:t>
                  </w:r>
                </w:p>
              </w:tc>
            </w:tr>
            <w:tr w14:paraId="39E14E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2B11ABD5">
                  <w:pPr>
                    <w:adjustRightInd w:val="0"/>
                    <w:snapToGrid w:val="0"/>
                    <w:jc w:val="center"/>
                    <w:rPr>
                      <w:bCs/>
                      <w:szCs w:val="21"/>
                    </w:rPr>
                  </w:pPr>
                </w:p>
              </w:tc>
              <w:tc>
                <w:tcPr>
                  <w:tcW w:w="2235" w:type="dxa"/>
                  <w:gridSpan w:val="2"/>
                  <w:shd w:val="clear" w:color="auto" w:fill="auto"/>
                  <w:vAlign w:val="center"/>
                </w:tcPr>
                <w:p w14:paraId="5FF9C533">
                  <w:pPr>
                    <w:adjustRightInd w:val="0"/>
                    <w:snapToGrid w:val="0"/>
                    <w:jc w:val="center"/>
                    <w:rPr>
                      <w:bCs/>
                      <w:szCs w:val="21"/>
                    </w:rPr>
                  </w:pPr>
                  <w:r>
                    <w:rPr>
                      <w:bCs/>
                      <w:szCs w:val="21"/>
                    </w:rPr>
                    <w:t>排水</w:t>
                  </w:r>
                </w:p>
              </w:tc>
              <w:tc>
                <w:tcPr>
                  <w:tcW w:w="6596" w:type="dxa"/>
                  <w:shd w:val="clear" w:color="auto" w:fill="auto"/>
                  <w:vAlign w:val="center"/>
                </w:tcPr>
                <w:p w14:paraId="0C0F1690">
                  <w:pPr>
                    <w:adjustRightInd w:val="0"/>
                    <w:snapToGrid w:val="0"/>
                    <w:jc w:val="center"/>
                    <w:rPr>
                      <w:bCs/>
                      <w:szCs w:val="21"/>
                    </w:rPr>
                  </w:pPr>
                  <w:r>
                    <w:rPr>
                      <w:bCs/>
                      <w:szCs w:val="21"/>
                    </w:rPr>
                    <w:t>雨污分流</w:t>
                  </w:r>
                  <w:r>
                    <w:rPr>
                      <w:rFonts w:hint="eastAsia"/>
                      <w:bCs/>
                      <w:szCs w:val="21"/>
                    </w:rPr>
                    <w:t>，雨水进入园区雨水管网，各车间生产废水经车间外预处理，后统一经厂区废水处理站</w:t>
                  </w:r>
                  <w:r>
                    <w:rPr>
                      <w:rFonts w:hint="eastAsia"/>
                      <w:szCs w:val="21"/>
                    </w:rPr>
                    <w:t>气浮+</w:t>
                  </w:r>
                  <w:r>
                    <w:rPr>
                      <w:rFonts w:hint="eastAsia"/>
                      <w:bCs/>
                      <w:szCs w:val="21"/>
                    </w:rPr>
                    <w:t>生化处理，生活污水经化粪池处理，两股废水一并经通过厂区北侧污水排放口排至市政管网，纳入衡阳西渡高新区污水处理。</w:t>
                  </w:r>
                </w:p>
              </w:tc>
            </w:tr>
            <w:tr w14:paraId="0CD34E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1389B92F">
                  <w:pPr>
                    <w:adjustRightInd w:val="0"/>
                    <w:snapToGrid w:val="0"/>
                    <w:jc w:val="center"/>
                    <w:rPr>
                      <w:bCs/>
                      <w:szCs w:val="21"/>
                    </w:rPr>
                  </w:pPr>
                </w:p>
              </w:tc>
              <w:tc>
                <w:tcPr>
                  <w:tcW w:w="2235" w:type="dxa"/>
                  <w:gridSpan w:val="2"/>
                  <w:shd w:val="clear" w:color="auto" w:fill="auto"/>
                  <w:vAlign w:val="center"/>
                </w:tcPr>
                <w:p w14:paraId="25920BE7">
                  <w:pPr>
                    <w:adjustRightInd w:val="0"/>
                    <w:snapToGrid w:val="0"/>
                    <w:jc w:val="center"/>
                    <w:rPr>
                      <w:bCs/>
                      <w:szCs w:val="21"/>
                    </w:rPr>
                  </w:pPr>
                  <w:r>
                    <w:rPr>
                      <w:bCs/>
                      <w:szCs w:val="21"/>
                    </w:rPr>
                    <w:t>供电</w:t>
                  </w:r>
                </w:p>
              </w:tc>
              <w:tc>
                <w:tcPr>
                  <w:tcW w:w="6596" w:type="dxa"/>
                  <w:shd w:val="clear" w:color="auto" w:fill="auto"/>
                  <w:vAlign w:val="center"/>
                </w:tcPr>
                <w:p w14:paraId="6EDF6FDC">
                  <w:pPr>
                    <w:adjustRightInd w:val="0"/>
                    <w:snapToGrid w:val="0"/>
                    <w:jc w:val="center"/>
                    <w:rPr>
                      <w:bCs/>
                      <w:szCs w:val="21"/>
                    </w:rPr>
                  </w:pPr>
                  <w:r>
                    <w:rPr>
                      <w:bCs/>
                      <w:szCs w:val="21"/>
                    </w:rPr>
                    <w:t>市政供电</w:t>
                  </w:r>
                </w:p>
              </w:tc>
            </w:tr>
            <w:tr w14:paraId="1927F3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restart"/>
                  <w:shd w:val="clear" w:color="auto" w:fill="auto"/>
                  <w:vAlign w:val="center"/>
                </w:tcPr>
                <w:p w14:paraId="2165F768">
                  <w:pPr>
                    <w:adjustRightInd w:val="0"/>
                    <w:snapToGrid w:val="0"/>
                    <w:jc w:val="center"/>
                    <w:rPr>
                      <w:bCs/>
                      <w:szCs w:val="21"/>
                    </w:rPr>
                  </w:pPr>
                  <w:r>
                    <w:rPr>
                      <w:bCs/>
                      <w:szCs w:val="21"/>
                    </w:rPr>
                    <w:t>环保工程</w:t>
                  </w:r>
                </w:p>
              </w:tc>
              <w:tc>
                <w:tcPr>
                  <w:tcW w:w="2235" w:type="dxa"/>
                  <w:gridSpan w:val="2"/>
                  <w:vMerge w:val="restart"/>
                  <w:shd w:val="clear" w:color="auto" w:fill="auto"/>
                  <w:vAlign w:val="center"/>
                </w:tcPr>
                <w:p w14:paraId="5FD10A79">
                  <w:pPr>
                    <w:adjustRightInd w:val="0"/>
                    <w:snapToGrid w:val="0"/>
                    <w:jc w:val="center"/>
                    <w:rPr>
                      <w:bCs/>
                      <w:szCs w:val="21"/>
                    </w:rPr>
                  </w:pPr>
                  <w:r>
                    <w:rPr>
                      <w:bCs/>
                      <w:szCs w:val="21"/>
                    </w:rPr>
                    <w:t>废气</w:t>
                  </w:r>
                </w:p>
              </w:tc>
              <w:tc>
                <w:tcPr>
                  <w:tcW w:w="6596" w:type="dxa"/>
                  <w:shd w:val="clear" w:color="auto" w:fill="auto"/>
                  <w:vAlign w:val="center"/>
                </w:tcPr>
                <w:p w14:paraId="718BBEE9">
                  <w:pPr>
                    <w:adjustRightInd w:val="0"/>
                    <w:snapToGrid w:val="0"/>
                    <w:jc w:val="center"/>
                    <w:rPr>
                      <w:bCs/>
                      <w:szCs w:val="21"/>
                    </w:rPr>
                  </w:pPr>
                  <w:r>
                    <w:rPr>
                      <w:rFonts w:hint="eastAsia"/>
                      <w:bCs/>
                      <w:szCs w:val="21"/>
                    </w:rPr>
                    <w:t>锅炉烟气经布袋除尘处理后经25m高烟囱排放；</w:t>
                  </w:r>
                </w:p>
              </w:tc>
            </w:tr>
            <w:tr w14:paraId="10B65F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2CB9E1B8">
                  <w:pPr>
                    <w:adjustRightInd w:val="0"/>
                    <w:snapToGrid w:val="0"/>
                    <w:jc w:val="center"/>
                    <w:rPr>
                      <w:bCs/>
                      <w:szCs w:val="21"/>
                    </w:rPr>
                  </w:pPr>
                </w:p>
              </w:tc>
              <w:tc>
                <w:tcPr>
                  <w:tcW w:w="2235" w:type="dxa"/>
                  <w:gridSpan w:val="2"/>
                  <w:vMerge w:val="continue"/>
                  <w:shd w:val="clear" w:color="auto" w:fill="auto"/>
                  <w:vAlign w:val="center"/>
                </w:tcPr>
                <w:p w14:paraId="72152A34">
                  <w:pPr>
                    <w:adjustRightInd w:val="0"/>
                    <w:snapToGrid w:val="0"/>
                    <w:jc w:val="center"/>
                    <w:rPr>
                      <w:bCs/>
                      <w:szCs w:val="21"/>
                    </w:rPr>
                  </w:pPr>
                </w:p>
              </w:tc>
              <w:tc>
                <w:tcPr>
                  <w:tcW w:w="6596" w:type="dxa"/>
                  <w:shd w:val="clear" w:color="auto" w:fill="auto"/>
                  <w:vAlign w:val="center"/>
                </w:tcPr>
                <w:p w14:paraId="31010F58">
                  <w:pPr>
                    <w:adjustRightInd w:val="0"/>
                    <w:snapToGrid w:val="0"/>
                    <w:jc w:val="center"/>
                    <w:rPr>
                      <w:bCs/>
                      <w:szCs w:val="21"/>
                    </w:rPr>
                  </w:pPr>
                  <w:r>
                    <w:rPr>
                      <w:rFonts w:hint="eastAsia"/>
                      <w:bCs/>
                      <w:szCs w:val="21"/>
                    </w:rPr>
                    <w:t>餐具自动打包过程产生的微量有机废气车间无组织排放</w:t>
                  </w:r>
                </w:p>
              </w:tc>
            </w:tr>
            <w:tr w14:paraId="01DF62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3F7DD54F">
                  <w:pPr>
                    <w:adjustRightInd w:val="0"/>
                    <w:snapToGrid w:val="0"/>
                    <w:jc w:val="center"/>
                    <w:rPr>
                      <w:bCs/>
                      <w:szCs w:val="21"/>
                    </w:rPr>
                  </w:pPr>
                </w:p>
              </w:tc>
              <w:tc>
                <w:tcPr>
                  <w:tcW w:w="2235" w:type="dxa"/>
                  <w:gridSpan w:val="2"/>
                  <w:vMerge w:val="continue"/>
                  <w:shd w:val="clear" w:color="auto" w:fill="auto"/>
                  <w:vAlign w:val="center"/>
                </w:tcPr>
                <w:p w14:paraId="596D0D0B">
                  <w:pPr>
                    <w:adjustRightInd w:val="0"/>
                    <w:snapToGrid w:val="0"/>
                    <w:jc w:val="center"/>
                    <w:rPr>
                      <w:bCs/>
                      <w:szCs w:val="21"/>
                    </w:rPr>
                  </w:pPr>
                </w:p>
              </w:tc>
              <w:tc>
                <w:tcPr>
                  <w:tcW w:w="6596" w:type="dxa"/>
                  <w:shd w:val="clear" w:color="auto" w:fill="auto"/>
                  <w:vAlign w:val="center"/>
                </w:tcPr>
                <w:p w14:paraId="479A3490">
                  <w:pPr>
                    <w:adjustRightInd w:val="0"/>
                    <w:snapToGrid w:val="0"/>
                    <w:jc w:val="center"/>
                    <w:rPr>
                      <w:bCs/>
                      <w:szCs w:val="21"/>
                    </w:rPr>
                  </w:pPr>
                  <w:r>
                    <w:rPr>
                      <w:rFonts w:hint="eastAsia"/>
                      <w:bCs/>
                      <w:szCs w:val="21"/>
                    </w:rPr>
                    <w:t>废水站恶臭：废水站为地埋式，且周边设置绿化</w:t>
                  </w:r>
                </w:p>
              </w:tc>
            </w:tr>
            <w:tr w14:paraId="45014D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trPr>
              <w:tc>
                <w:tcPr>
                  <w:tcW w:w="0" w:type="auto"/>
                  <w:vMerge w:val="continue"/>
                  <w:shd w:val="clear" w:color="auto" w:fill="auto"/>
                  <w:vAlign w:val="center"/>
                </w:tcPr>
                <w:p w14:paraId="71DD9720">
                  <w:pPr>
                    <w:adjustRightInd w:val="0"/>
                    <w:snapToGrid w:val="0"/>
                    <w:jc w:val="center"/>
                    <w:rPr>
                      <w:bCs/>
                      <w:szCs w:val="21"/>
                    </w:rPr>
                  </w:pPr>
                </w:p>
              </w:tc>
              <w:tc>
                <w:tcPr>
                  <w:tcW w:w="2235" w:type="dxa"/>
                  <w:gridSpan w:val="2"/>
                  <w:shd w:val="clear" w:color="auto" w:fill="auto"/>
                  <w:vAlign w:val="center"/>
                </w:tcPr>
                <w:p w14:paraId="5CFBAC39">
                  <w:pPr>
                    <w:adjustRightInd w:val="0"/>
                    <w:snapToGrid w:val="0"/>
                    <w:jc w:val="center"/>
                    <w:rPr>
                      <w:bCs/>
                      <w:szCs w:val="21"/>
                    </w:rPr>
                  </w:pPr>
                  <w:r>
                    <w:rPr>
                      <w:bCs/>
                      <w:szCs w:val="21"/>
                    </w:rPr>
                    <w:t>废水</w:t>
                  </w:r>
                </w:p>
              </w:tc>
              <w:tc>
                <w:tcPr>
                  <w:tcW w:w="6596" w:type="dxa"/>
                  <w:shd w:val="clear" w:color="auto" w:fill="auto"/>
                  <w:vAlign w:val="center"/>
                </w:tcPr>
                <w:p w14:paraId="3E0AF261">
                  <w:pPr>
                    <w:adjustRightInd w:val="0"/>
                    <w:snapToGrid w:val="0"/>
                    <w:jc w:val="center"/>
                    <w:rPr>
                      <w:bCs/>
                      <w:szCs w:val="21"/>
                    </w:rPr>
                  </w:pPr>
                  <w:r>
                    <w:rPr>
                      <w:rFonts w:hint="eastAsia"/>
                      <w:bCs/>
                      <w:szCs w:val="21"/>
                    </w:rPr>
                    <w:t>各车间生产废水经车间外预处理，后统一经厂区废水处理站</w:t>
                  </w:r>
                  <w:r>
                    <w:rPr>
                      <w:rFonts w:hint="eastAsia"/>
                      <w:szCs w:val="21"/>
                    </w:rPr>
                    <w:t>气浮+</w:t>
                  </w:r>
                  <w:r>
                    <w:rPr>
                      <w:rFonts w:hint="eastAsia"/>
                      <w:bCs/>
                      <w:szCs w:val="21"/>
                    </w:rPr>
                    <w:t>生化处理，生活污水经化粪池处理，两股废水一并经通过厂区北侧污水排放口排至市政管网，纳入衡阳西渡高新区污水处理</w:t>
                  </w:r>
                </w:p>
              </w:tc>
            </w:tr>
            <w:tr w14:paraId="448EDA5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5E10A8C6">
                  <w:pPr>
                    <w:adjustRightInd w:val="0"/>
                    <w:snapToGrid w:val="0"/>
                    <w:jc w:val="center"/>
                    <w:rPr>
                      <w:bCs/>
                      <w:szCs w:val="21"/>
                    </w:rPr>
                  </w:pPr>
                </w:p>
              </w:tc>
              <w:tc>
                <w:tcPr>
                  <w:tcW w:w="2235" w:type="dxa"/>
                  <w:gridSpan w:val="2"/>
                  <w:shd w:val="clear" w:color="auto" w:fill="auto"/>
                  <w:vAlign w:val="center"/>
                </w:tcPr>
                <w:p w14:paraId="40278E98">
                  <w:pPr>
                    <w:adjustRightInd w:val="0"/>
                    <w:snapToGrid w:val="0"/>
                    <w:jc w:val="center"/>
                    <w:rPr>
                      <w:bCs/>
                      <w:szCs w:val="21"/>
                    </w:rPr>
                  </w:pPr>
                  <w:r>
                    <w:rPr>
                      <w:bCs/>
                      <w:szCs w:val="21"/>
                    </w:rPr>
                    <w:t>噪声</w:t>
                  </w:r>
                </w:p>
              </w:tc>
              <w:tc>
                <w:tcPr>
                  <w:tcW w:w="6596" w:type="dxa"/>
                  <w:shd w:val="clear" w:color="auto" w:fill="auto"/>
                  <w:vAlign w:val="center"/>
                </w:tcPr>
                <w:p w14:paraId="48962ED1">
                  <w:pPr>
                    <w:adjustRightInd w:val="0"/>
                    <w:snapToGrid w:val="0"/>
                    <w:jc w:val="center"/>
                    <w:rPr>
                      <w:szCs w:val="21"/>
                    </w:rPr>
                  </w:pPr>
                  <w:r>
                    <w:rPr>
                      <w:rFonts w:hint="eastAsia"/>
                    </w:rPr>
                    <w:t>选用低噪设备、消声、隔声和减振等措施</w:t>
                  </w:r>
                </w:p>
              </w:tc>
            </w:tr>
            <w:tr w14:paraId="001D323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0" w:type="auto"/>
                  <w:vMerge w:val="continue"/>
                  <w:shd w:val="clear" w:color="auto" w:fill="auto"/>
                  <w:vAlign w:val="center"/>
                </w:tcPr>
                <w:p w14:paraId="375B5AAE">
                  <w:pPr>
                    <w:adjustRightInd w:val="0"/>
                    <w:snapToGrid w:val="0"/>
                    <w:jc w:val="center"/>
                    <w:rPr>
                      <w:bCs/>
                      <w:szCs w:val="21"/>
                    </w:rPr>
                  </w:pPr>
                </w:p>
              </w:tc>
              <w:tc>
                <w:tcPr>
                  <w:tcW w:w="2235" w:type="dxa"/>
                  <w:gridSpan w:val="2"/>
                  <w:shd w:val="clear" w:color="auto" w:fill="auto"/>
                  <w:vAlign w:val="center"/>
                </w:tcPr>
                <w:p w14:paraId="46B29097">
                  <w:pPr>
                    <w:adjustRightInd w:val="0"/>
                    <w:snapToGrid w:val="0"/>
                    <w:jc w:val="center"/>
                    <w:rPr>
                      <w:bCs/>
                      <w:szCs w:val="21"/>
                    </w:rPr>
                  </w:pPr>
                  <w:r>
                    <w:rPr>
                      <w:bCs/>
                      <w:szCs w:val="21"/>
                    </w:rPr>
                    <w:t>固废</w:t>
                  </w:r>
                </w:p>
              </w:tc>
              <w:tc>
                <w:tcPr>
                  <w:tcW w:w="6596" w:type="dxa"/>
                  <w:shd w:val="clear" w:color="auto" w:fill="auto"/>
                  <w:vAlign w:val="center"/>
                </w:tcPr>
                <w:p w14:paraId="4B61C05B">
                  <w:pPr>
                    <w:adjustRightInd w:val="0"/>
                    <w:snapToGrid w:val="0"/>
                    <w:jc w:val="center"/>
                    <w:rPr>
                      <w:rFonts w:ascii="宋体" w:cs="宋体"/>
                      <w:kern w:val="0"/>
                      <w:szCs w:val="21"/>
                    </w:rPr>
                  </w:pPr>
                  <w:r>
                    <w:rPr>
                      <w:rFonts w:hint="eastAsia" w:ascii="宋体" w:cs="宋体"/>
                      <w:kern w:val="0"/>
                      <w:szCs w:val="21"/>
                    </w:rPr>
                    <w:t>破损的周转箱、洗洁精等废包装外卖综合利用；84消毒液包装存放于危废暂存间定期交由有资质单位处置；破损的碗碟、生化处理设施处理产生的的渣委托环卫部门定期清运至垃圾填埋场进行卫生填埋处置；餐具清洗除渣处除得的渣送养殖场做饲料喂猪；生物质锅炉生物质燃烧灰渣、生物质锅炉布袋除尘渣用于农肥。员工生活垃圾委托环卫部门定期清运至垃圾填埋场进行卫生填埋处置。</w:t>
                  </w:r>
                </w:p>
              </w:tc>
            </w:tr>
          </w:tbl>
          <w:p w14:paraId="7B1B07B8">
            <w:pPr>
              <w:pStyle w:val="33"/>
              <w:spacing w:line="360" w:lineRule="auto"/>
              <w:ind w:firstLine="482" w:firstLineChars="200"/>
              <w:rPr>
                <w:rFonts w:ascii="Times New Roman"/>
                <w:b/>
                <w:color w:val="auto"/>
              </w:rPr>
            </w:pPr>
            <w:r>
              <w:rPr>
                <w:rFonts w:hint="eastAsia" w:ascii="Times New Roman"/>
                <w:b/>
                <w:color w:val="auto"/>
              </w:rPr>
              <w:t>2、</w:t>
            </w:r>
            <w:r>
              <w:rPr>
                <w:rFonts w:ascii="Times New Roman"/>
                <w:b/>
                <w:color w:val="auto"/>
              </w:rPr>
              <w:t>生产能力及规模</w:t>
            </w:r>
          </w:p>
          <w:p w14:paraId="57040518">
            <w:pPr>
              <w:pStyle w:val="19"/>
              <w:spacing w:line="360" w:lineRule="auto"/>
              <w:ind w:firstLine="480"/>
              <w:rPr>
                <w:sz w:val="24"/>
              </w:rPr>
            </w:pPr>
            <w:r>
              <w:rPr>
                <w:rFonts w:hint="eastAsia"/>
                <w:sz w:val="24"/>
              </w:rPr>
              <w:t>现有工程生产规模及产品方案详见下表。</w:t>
            </w:r>
          </w:p>
          <w:p w14:paraId="50445D7B">
            <w:pPr>
              <w:pStyle w:val="33"/>
              <w:spacing w:before="120" w:beforeLines="50"/>
              <w:jc w:val="center"/>
              <w:rPr>
                <w:rFonts w:ascii="Times New Roman"/>
                <w:b/>
                <w:color w:val="auto"/>
                <w:sz w:val="21"/>
              </w:rPr>
            </w:pPr>
            <w:r>
              <w:rPr>
                <w:rFonts w:ascii="Times New Roman"/>
                <w:b/>
                <w:color w:val="auto"/>
                <w:sz w:val="21"/>
              </w:rPr>
              <w:t>表</w:t>
            </w:r>
            <w:r>
              <w:rPr>
                <w:rFonts w:hint="eastAsia" w:ascii="Times New Roman"/>
                <w:b/>
                <w:color w:val="auto"/>
                <w:sz w:val="21"/>
              </w:rPr>
              <w:t>2-</w:t>
            </w:r>
            <w:r>
              <w:rPr>
                <w:rFonts w:hint="eastAsia" w:ascii="Times New Roman"/>
                <w:b/>
                <w:color w:val="auto"/>
                <w:sz w:val="21"/>
                <w:lang w:val="en-US" w:eastAsia="zh-CN"/>
              </w:rPr>
              <w:t>6</w:t>
            </w:r>
            <w:r>
              <w:rPr>
                <w:rFonts w:ascii="Times New Roman"/>
                <w:b/>
                <w:color w:val="auto"/>
                <w:sz w:val="21"/>
              </w:rPr>
              <w:t xml:space="preserve">  </w:t>
            </w:r>
            <w:r>
              <w:rPr>
                <w:rFonts w:hint="eastAsia" w:ascii="Times New Roman"/>
                <w:b/>
                <w:color w:val="auto"/>
                <w:sz w:val="21"/>
              </w:rPr>
              <w:t>现有工程产品方案一览表</w:t>
            </w:r>
          </w:p>
          <w:p w14:paraId="69C329DF"/>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731"/>
              <w:gridCol w:w="4848"/>
              <w:gridCol w:w="733"/>
              <w:gridCol w:w="2251"/>
            </w:tblGrid>
            <w:tr w14:paraId="3D455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94" w:type="pct"/>
                  <w:vMerge w:val="restart"/>
                  <w:vAlign w:val="center"/>
                </w:tcPr>
                <w:p w14:paraId="7F2A4951">
                  <w:pPr>
                    <w:adjustRightInd w:val="0"/>
                    <w:snapToGrid w:val="0"/>
                    <w:jc w:val="center"/>
                    <w:rPr>
                      <w:b/>
                      <w:bCs/>
                      <w:szCs w:val="21"/>
                    </w:rPr>
                  </w:pPr>
                  <w:r>
                    <w:rPr>
                      <w:rFonts w:hint="eastAsia"/>
                      <w:b/>
                      <w:bCs/>
                      <w:szCs w:val="21"/>
                    </w:rPr>
                    <w:t>序号</w:t>
                  </w:r>
                </w:p>
              </w:tc>
              <w:tc>
                <w:tcPr>
                  <w:tcW w:w="2999" w:type="pct"/>
                  <w:gridSpan w:val="2"/>
                  <w:vMerge w:val="restart"/>
                  <w:vAlign w:val="center"/>
                </w:tcPr>
                <w:p w14:paraId="144BAB8E">
                  <w:pPr>
                    <w:adjustRightInd w:val="0"/>
                    <w:snapToGrid w:val="0"/>
                    <w:jc w:val="center"/>
                    <w:rPr>
                      <w:b/>
                      <w:bCs/>
                      <w:szCs w:val="21"/>
                    </w:rPr>
                  </w:pPr>
                  <w:r>
                    <w:rPr>
                      <w:rFonts w:hint="eastAsia"/>
                      <w:b/>
                      <w:bCs/>
                      <w:szCs w:val="21"/>
                    </w:rPr>
                    <w:t>产品名称</w:t>
                  </w:r>
                </w:p>
              </w:tc>
              <w:tc>
                <w:tcPr>
                  <w:tcW w:w="394" w:type="pct"/>
                  <w:vMerge w:val="restart"/>
                  <w:vAlign w:val="center"/>
                </w:tcPr>
                <w:p w14:paraId="36011544">
                  <w:pPr>
                    <w:adjustRightInd w:val="0"/>
                    <w:snapToGrid w:val="0"/>
                    <w:jc w:val="center"/>
                    <w:rPr>
                      <w:b/>
                      <w:bCs/>
                      <w:szCs w:val="21"/>
                    </w:rPr>
                  </w:pPr>
                  <w:r>
                    <w:rPr>
                      <w:b/>
                      <w:bCs/>
                      <w:szCs w:val="21"/>
                    </w:rPr>
                    <w:t>规格</w:t>
                  </w:r>
                </w:p>
              </w:tc>
              <w:tc>
                <w:tcPr>
                  <w:tcW w:w="1210" w:type="pct"/>
                  <w:vMerge w:val="restart"/>
                  <w:vAlign w:val="center"/>
                </w:tcPr>
                <w:p w14:paraId="6299B1C2">
                  <w:pPr>
                    <w:adjustRightInd w:val="0"/>
                    <w:snapToGrid w:val="0"/>
                    <w:jc w:val="center"/>
                    <w:rPr>
                      <w:b/>
                      <w:bCs/>
                      <w:szCs w:val="21"/>
                    </w:rPr>
                  </w:pPr>
                  <w:r>
                    <w:rPr>
                      <w:rFonts w:hint="eastAsia"/>
                      <w:b/>
                      <w:bCs/>
                      <w:szCs w:val="21"/>
                    </w:rPr>
                    <w:t>年生产能力</w:t>
                  </w:r>
                </w:p>
              </w:tc>
            </w:tr>
            <w:tr w14:paraId="73270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94" w:type="pct"/>
                  <w:vMerge w:val="continue"/>
                  <w:vAlign w:val="center"/>
                </w:tcPr>
                <w:p w14:paraId="28AB30F0">
                  <w:pPr>
                    <w:adjustRightInd w:val="0"/>
                    <w:snapToGrid w:val="0"/>
                    <w:jc w:val="center"/>
                  </w:pPr>
                </w:p>
              </w:tc>
              <w:tc>
                <w:tcPr>
                  <w:tcW w:w="2999" w:type="pct"/>
                  <w:gridSpan w:val="2"/>
                  <w:vMerge w:val="continue"/>
                  <w:vAlign w:val="center"/>
                </w:tcPr>
                <w:p w14:paraId="4A812E25">
                  <w:pPr>
                    <w:adjustRightInd w:val="0"/>
                    <w:snapToGrid w:val="0"/>
                    <w:jc w:val="center"/>
                  </w:pPr>
                </w:p>
              </w:tc>
              <w:tc>
                <w:tcPr>
                  <w:tcW w:w="394" w:type="pct"/>
                  <w:vMerge w:val="continue"/>
                  <w:vAlign w:val="center"/>
                </w:tcPr>
                <w:p w14:paraId="58D41BCE">
                  <w:pPr>
                    <w:adjustRightInd w:val="0"/>
                    <w:snapToGrid w:val="0"/>
                    <w:jc w:val="center"/>
                  </w:pPr>
                </w:p>
              </w:tc>
              <w:tc>
                <w:tcPr>
                  <w:tcW w:w="1210" w:type="pct"/>
                  <w:vMerge w:val="continue"/>
                  <w:vAlign w:val="center"/>
                </w:tcPr>
                <w:p w14:paraId="5C3B89EC">
                  <w:pPr>
                    <w:adjustRightInd w:val="0"/>
                    <w:snapToGrid w:val="0"/>
                    <w:jc w:val="center"/>
                    <w:rPr>
                      <w:b/>
                      <w:bCs/>
                      <w:szCs w:val="21"/>
                    </w:rPr>
                  </w:pPr>
                </w:p>
              </w:tc>
            </w:tr>
            <w:tr w14:paraId="0434A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3B10356D">
                  <w:pPr>
                    <w:adjustRightInd w:val="0"/>
                    <w:snapToGrid w:val="0"/>
                    <w:jc w:val="center"/>
                    <w:rPr>
                      <w:szCs w:val="21"/>
                    </w:rPr>
                  </w:pPr>
                  <w:r>
                    <w:rPr>
                      <w:szCs w:val="21"/>
                    </w:rPr>
                    <w:t>1</w:t>
                  </w:r>
                </w:p>
              </w:tc>
              <w:tc>
                <w:tcPr>
                  <w:tcW w:w="393" w:type="pct"/>
                  <w:vMerge w:val="restart"/>
                  <w:vAlign w:val="center"/>
                </w:tcPr>
                <w:p w14:paraId="77DE7022">
                  <w:pPr>
                    <w:adjustRightInd w:val="0"/>
                    <w:snapToGrid w:val="0"/>
                    <w:jc w:val="center"/>
                    <w:rPr>
                      <w:szCs w:val="21"/>
                    </w:rPr>
                  </w:pPr>
                  <w:r>
                    <w:rPr>
                      <w:rFonts w:hint="eastAsia"/>
                      <w:szCs w:val="21"/>
                    </w:rPr>
                    <w:t>餐具</w:t>
                  </w:r>
                </w:p>
              </w:tc>
              <w:tc>
                <w:tcPr>
                  <w:tcW w:w="2605" w:type="pct"/>
                  <w:vAlign w:val="center"/>
                </w:tcPr>
                <w:p w14:paraId="2B80CAE1">
                  <w:pPr>
                    <w:adjustRightInd w:val="0"/>
                    <w:snapToGrid w:val="0"/>
                    <w:jc w:val="center"/>
                    <w:rPr>
                      <w:szCs w:val="21"/>
                    </w:rPr>
                  </w:pPr>
                  <w:r>
                    <w:rPr>
                      <w:rFonts w:hint="eastAsia"/>
                      <w:szCs w:val="21"/>
                    </w:rPr>
                    <w:t>陶瓷餐具（含筷子）</w:t>
                  </w:r>
                </w:p>
              </w:tc>
              <w:tc>
                <w:tcPr>
                  <w:tcW w:w="394" w:type="pct"/>
                  <w:vAlign w:val="center"/>
                </w:tcPr>
                <w:p w14:paraId="06F3DD67">
                  <w:pPr>
                    <w:adjustRightInd w:val="0"/>
                    <w:snapToGrid w:val="0"/>
                    <w:jc w:val="center"/>
                    <w:rPr>
                      <w:szCs w:val="21"/>
                    </w:rPr>
                  </w:pPr>
                  <w:r>
                    <w:rPr>
                      <w:rFonts w:hint="eastAsia"/>
                      <w:szCs w:val="21"/>
                    </w:rPr>
                    <w:t>万套</w:t>
                  </w:r>
                </w:p>
              </w:tc>
              <w:tc>
                <w:tcPr>
                  <w:tcW w:w="1210" w:type="pct"/>
                  <w:shd w:val="clear" w:color="auto" w:fill="auto"/>
                  <w:vAlign w:val="center"/>
                </w:tcPr>
                <w:p w14:paraId="54816CB8">
                  <w:pPr>
                    <w:adjustRightInd w:val="0"/>
                    <w:snapToGrid w:val="0"/>
                    <w:jc w:val="center"/>
                    <w:rPr>
                      <w:szCs w:val="21"/>
                    </w:rPr>
                  </w:pPr>
                  <w:r>
                    <w:rPr>
                      <w:rFonts w:hint="eastAsia"/>
                      <w:szCs w:val="21"/>
                    </w:rPr>
                    <w:t>300</w:t>
                  </w:r>
                </w:p>
              </w:tc>
            </w:tr>
            <w:tr w14:paraId="15527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71FBE178">
                  <w:pPr>
                    <w:adjustRightInd w:val="0"/>
                    <w:snapToGrid w:val="0"/>
                    <w:jc w:val="center"/>
                    <w:rPr>
                      <w:szCs w:val="21"/>
                    </w:rPr>
                  </w:pPr>
                  <w:r>
                    <w:rPr>
                      <w:szCs w:val="21"/>
                    </w:rPr>
                    <w:t>2</w:t>
                  </w:r>
                </w:p>
              </w:tc>
              <w:tc>
                <w:tcPr>
                  <w:tcW w:w="393" w:type="pct"/>
                  <w:vMerge w:val="continue"/>
                  <w:vAlign w:val="center"/>
                </w:tcPr>
                <w:p w14:paraId="6705B14D">
                  <w:pPr>
                    <w:adjustRightInd w:val="0"/>
                    <w:snapToGrid w:val="0"/>
                    <w:jc w:val="center"/>
                    <w:rPr>
                      <w:szCs w:val="21"/>
                    </w:rPr>
                  </w:pPr>
                </w:p>
              </w:tc>
              <w:tc>
                <w:tcPr>
                  <w:tcW w:w="2605" w:type="pct"/>
                  <w:vAlign w:val="center"/>
                </w:tcPr>
                <w:p w14:paraId="606FC8C9">
                  <w:pPr>
                    <w:adjustRightInd w:val="0"/>
                    <w:snapToGrid w:val="0"/>
                    <w:jc w:val="center"/>
                    <w:rPr>
                      <w:szCs w:val="21"/>
                    </w:rPr>
                  </w:pPr>
                  <w:r>
                    <w:rPr>
                      <w:rFonts w:hint="eastAsia"/>
                      <w:szCs w:val="21"/>
                    </w:rPr>
                    <w:t>不锈钢饭碗（不含早餐用碗的不锈钢饭碗）</w:t>
                  </w:r>
                </w:p>
              </w:tc>
              <w:tc>
                <w:tcPr>
                  <w:tcW w:w="394" w:type="pct"/>
                  <w:vAlign w:val="center"/>
                </w:tcPr>
                <w:p w14:paraId="3B76C3DA">
                  <w:pPr>
                    <w:adjustRightInd w:val="0"/>
                    <w:snapToGrid w:val="0"/>
                    <w:jc w:val="center"/>
                    <w:rPr>
                      <w:szCs w:val="21"/>
                    </w:rPr>
                  </w:pPr>
                  <w:r>
                    <w:rPr>
                      <w:rFonts w:hint="eastAsia"/>
                      <w:szCs w:val="21"/>
                    </w:rPr>
                    <w:t>万套</w:t>
                  </w:r>
                </w:p>
              </w:tc>
              <w:tc>
                <w:tcPr>
                  <w:tcW w:w="1210" w:type="pct"/>
                  <w:shd w:val="clear" w:color="auto" w:fill="auto"/>
                  <w:vAlign w:val="center"/>
                </w:tcPr>
                <w:p w14:paraId="56444D33">
                  <w:pPr>
                    <w:adjustRightInd w:val="0"/>
                    <w:snapToGrid w:val="0"/>
                    <w:jc w:val="center"/>
                    <w:rPr>
                      <w:szCs w:val="21"/>
                    </w:rPr>
                  </w:pPr>
                  <w:r>
                    <w:rPr>
                      <w:rFonts w:hint="eastAsia"/>
                      <w:szCs w:val="21"/>
                    </w:rPr>
                    <w:t>150</w:t>
                  </w:r>
                </w:p>
              </w:tc>
            </w:tr>
            <w:tr w14:paraId="6D52C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16B48E97">
                  <w:pPr>
                    <w:adjustRightInd w:val="0"/>
                    <w:snapToGrid w:val="0"/>
                    <w:jc w:val="center"/>
                    <w:rPr>
                      <w:szCs w:val="21"/>
                    </w:rPr>
                  </w:pPr>
                  <w:r>
                    <w:rPr>
                      <w:rFonts w:hint="eastAsia"/>
                      <w:szCs w:val="21"/>
                    </w:rPr>
                    <w:t>3</w:t>
                  </w:r>
                </w:p>
              </w:tc>
              <w:tc>
                <w:tcPr>
                  <w:tcW w:w="393" w:type="pct"/>
                  <w:vAlign w:val="center"/>
                </w:tcPr>
                <w:p w14:paraId="27CF07A1">
                  <w:pPr>
                    <w:adjustRightInd w:val="0"/>
                    <w:snapToGrid w:val="0"/>
                    <w:jc w:val="center"/>
                    <w:rPr>
                      <w:szCs w:val="21"/>
                    </w:rPr>
                  </w:pPr>
                  <w:r>
                    <w:rPr>
                      <w:rFonts w:hint="eastAsia"/>
                      <w:szCs w:val="21"/>
                    </w:rPr>
                    <w:t>布草</w:t>
                  </w:r>
                </w:p>
              </w:tc>
              <w:tc>
                <w:tcPr>
                  <w:tcW w:w="2605" w:type="pct"/>
                  <w:shd w:val="clear" w:color="auto" w:fill="auto"/>
                  <w:vAlign w:val="center"/>
                </w:tcPr>
                <w:p w14:paraId="4C647DFC">
                  <w:pPr>
                    <w:adjustRightInd w:val="0"/>
                    <w:snapToGrid w:val="0"/>
                    <w:jc w:val="center"/>
                    <w:rPr>
                      <w:szCs w:val="21"/>
                    </w:rPr>
                  </w:pPr>
                  <w:r>
                    <w:rPr>
                      <w:rFonts w:hint="eastAsia"/>
                      <w:szCs w:val="21"/>
                    </w:rPr>
                    <w:t>酒店布草</w:t>
                  </w:r>
                </w:p>
              </w:tc>
              <w:tc>
                <w:tcPr>
                  <w:tcW w:w="394" w:type="pct"/>
                  <w:shd w:val="clear" w:color="auto" w:fill="auto"/>
                  <w:vAlign w:val="center"/>
                </w:tcPr>
                <w:p w14:paraId="464205DD">
                  <w:pPr>
                    <w:adjustRightInd w:val="0"/>
                    <w:snapToGrid w:val="0"/>
                    <w:jc w:val="center"/>
                    <w:rPr>
                      <w:szCs w:val="21"/>
                    </w:rPr>
                  </w:pPr>
                  <w:r>
                    <w:rPr>
                      <w:rFonts w:hint="eastAsia"/>
                      <w:szCs w:val="21"/>
                    </w:rPr>
                    <w:t>吨</w:t>
                  </w:r>
                </w:p>
              </w:tc>
              <w:tc>
                <w:tcPr>
                  <w:tcW w:w="1210" w:type="pct"/>
                  <w:shd w:val="clear" w:color="auto" w:fill="auto"/>
                  <w:vAlign w:val="center"/>
                </w:tcPr>
                <w:p w14:paraId="6DE7B68A">
                  <w:pPr>
                    <w:adjustRightInd w:val="0"/>
                    <w:snapToGrid w:val="0"/>
                    <w:jc w:val="center"/>
                    <w:rPr>
                      <w:rFonts w:hint="eastAsia" w:eastAsia="宋体"/>
                      <w:szCs w:val="21"/>
                      <w:lang w:eastAsia="zh-CN"/>
                    </w:rPr>
                  </w:pPr>
                  <w:r>
                    <w:rPr>
                      <w:rFonts w:hint="eastAsia"/>
                      <w:szCs w:val="21"/>
                    </w:rPr>
                    <w:t>10万套</w:t>
                  </w:r>
                  <w:r>
                    <w:rPr>
                      <w:rFonts w:hint="eastAsia"/>
                      <w:szCs w:val="21"/>
                      <w:lang w:eastAsia="zh-CN"/>
                    </w:rPr>
                    <w:t>（约</w:t>
                  </w:r>
                  <w:r>
                    <w:rPr>
                      <w:rFonts w:hint="eastAsia"/>
                      <w:szCs w:val="21"/>
                      <w:lang w:val="en-US" w:eastAsia="zh-CN"/>
                    </w:rPr>
                    <w:t>800t</w:t>
                  </w:r>
                  <w:r>
                    <w:rPr>
                      <w:rFonts w:hint="eastAsia"/>
                      <w:szCs w:val="21"/>
                      <w:lang w:eastAsia="zh-CN"/>
                    </w:rPr>
                    <w:t>）</w:t>
                  </w:r>
                </w:p>
              </w:tc>
            </w:tr>
          </w:tbl>
          <w:p w14:paraId="1AF78244">
            <w:pPr>
              <w:spacing w:line="360" w:lineRule="auto"/>
              <w:ind w:firstLine="482" w:firstLineChars="200"/>
              <w:rPr>
                <w:b/>
                <w:sz w:val="24"/>
              </w:rPr>
            </w:pPr>
            <w:r>
              <w:rPr>
                <w:rFonts w:hint="eastAsia"/>
                <w:b/>
                <w:sz w:val="24"/>
              </w:rPr>
              <w:t>3、原辅材料</w:t>
            </w:r>
          </w:p>
          <w:p w14:paraId="244D36C2">
            <w:pPr>
              <w:pStyle w:val="19"/>
              <w:spacing w:line="360" w:lineRule="auto"/>
              <w:ind w:firstLine="480"/>
              <w:rPr>
                <w:sz w:val="24"/>
              </w:rPr>
            </w:pPr>
            <w:r>
              <w:rPr>
                <w:rFonts w:hint="eastAsia"/>
                <w:sz w:val="24"/>
              </w:rPr>
              <w:t>现有工程</w:t>
            </w:r>
            <w:r>
              <w:rPr>
                <w:sz w:val="24"/>
              </w:rPr>
              <w:t>原辅材料及能源消耗量</w:t>
            </w:r>
            <w:r>
              <w:rPr>
                <w:rFonts w:hint="eastAsia"/>
                <w:sz w:val="24"/>
              </w:rPr>
              <w:t>见表2-</w:t>
            </w:r>
            <w:r>
              <w:rPr>
                <w:rFonts w:hint="eastAsia"/>
                <w:sz w:val="24"/>
                <w:lang w:val="en-US" w:eastAsia="zh-CN"/>
              </w:rPr>
              <w:t>7</w:t>
            </w:r>
            <w:r>
              <w:rPr>
                <w:rFonts w:hint="eastAsia"/>
                <w:sz w:val="24"/>
              </w:rPr>
              <w:t>。</w:t>
            </w:r>
          </w:p>
          <w:p w14:paraId="413A71F7">
            <w:pPr>
              <w:pStyle w:val="33"/>
              <w:spacing w:before="120" w:beforeLines="50"/>
              <w:jc w:val="center"/>
              <w:rPr>
                <w:rFonts w:ascii="Times New Roman"/>
                <w:b/>
                <w:color w:val="auto"/>
                <w:sz w:val="21"/>
              </w:rPr>
            </w:pPr>
            <w:r>
              <w:rPr>
                <w:rFonts w:ascii="Times New Roman"/>
                <w:b/>
                <w:color w:val="auto"/>
                <w:sz w:val="21"/>
              </w:rPr>
              <w:t>表</w:t>
            </w:r>
            <w:r>
              <w:rPr>
                <w:rFonts w:hint="eastAsia" w:ascii="Times New Roman"/>
                <w:b/>
                <w:color w:val="auto"/>
                <w:sz w:val="21"/>
              </w:rPr>
              <w:t>2-</w:t>
            </w:r>
            <w:r>
              <w:rPr>
                <w:rFonts w:hint="eastAsia" w:ascii="Times New Roman"/>
                <w:b/>
                <w:color w:val="auto"/>
                <w:sz w:val="21"/>
                <w:lang w:val="en-US" w:eastAsia="zh-CN"/>
              </w:rPr>
              <w:t>7</w:t>
            </w:r>
            <w:r>
              <w:rPr>
                <w:rFonts w:ascii="Times New Roman"/>
                <w:b/>
                <w:color w:val="auto"/>
                <w:sz w:val="21"/>
              </w:rPr>
              <w:t xml:space="preserve">  </w:t>
            </w:r>
            <w:r>
              <w:rPr>
                <w:rFonts w:hint="eastAsia" w:ascii="Times New Roman"/>
                <w:b/>
                <w:color w:val="auto"/>
                <w:sz w:val="21"/>
              </w:rPr>
              <w:t>现有工程原辅材料消耗一览表</w:t>
            </w:r>
          </w:p>
          <w:p w14:paraId="7A32E120"/>
          <w:tbl>
            <w:tblPr>
              <w:tblStyle w:val="20"/>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8"/>
              <w:gridCol w:w="2068"/>
              <w:gridCol w:w="4135"/>
              <w:gridCol w:w="1308"/>
              <w:gridCol w:w="891"/>
            </w:tblGrid>
            <w:tr w14:paraId="7792D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0CF38502">
                  <w:pPr>
                    <w:adjustRightInd w:val="0"/>
                    <w:snapToGrid w:val="0"/>
                    <w:jc w:val="center"/>
                    <w:rPr>
                      <w:b/>
                      <w:bCs/>
                      <w:szCs w:val="21"/>
                    </w:rPr>
                  </w:pPr>
                  <w:r>
                    <w:rPr>
                      <w:rFonts w:hint="eastAsia"/>
                      <w:b/>
                      <w:bCs/>
                      <w:szCs w:val="21"/>
                    </w:rPr>
                    <w:t>序号</w:t>
                  </w:r>
                </w:p>
              </w:tc>
              <w:tc>
                <w:tcPr>
                  <w:tcW w:w="1113" w:type="pct"/>
                  <w:vAlign w:val="center"/>
                </w:tcPr>
                <w:p w14:paraId="75426548">
                  <w:pPr>
                    <w:adjustRightInd w:val="0"/>
                    <w:snapToGrid w:val="0"/>
                    <w:jc w:val="center"/>
                    <w:rPr>
                      <w:b/>
                      <w:bCs/>
                      <w:szCs w:val="21"/>
                    </w:rPr>
                  </w:pPr>
                  <w:r>
                    <w:rPr>
                      <w:rFonts w:hint="eastAsia"/>
                      <w:b/>
                      <w:bCs/>
                      <w:szCs w:val="21"/>
                    </w:rPr>
                    <w:t>使用生产线</w:t>
                  </w:r>
                </w:p>
              </w:tc>
              <w:tc>
                <w:tcPr>
                  <w:tcW w:w="2225" w:type="pct"/>
                  <w:vAlign w:val="center"/>
                </w:tcPr>
                <w:p w14:paraId="0F3466E8">
                  <w:pPr>
                    <w:adjustRightInd w:val="0"/>
                    <w:snapToGrid w:val="0"/>
                    <w:jc w:val="center"/>
                    <w:rPr>
                      <w:b/>
                      <w:bCs/>
                      <w:szCs w:val="21"/>
                    </w:rPr>
                  </w:pPr>
                  <w:r>
                    <w:rPr>
                      <w:rFonts w:hint="eastAsia"/>
                      <w:b/>
                      <w:bCs/>
                      <w:szCs w:val="21"/>
                    </w:rPr>
                    <w:t>名称</w:t>
                  </w:r>
                </w:p>
              </w:tc>
              <w:tc>
                <w:tcPr>
                  <w:tcW w:w="704" w:type="pct"/>
                  <w:vAlign w:val="center"/>
                </w:tcPr>
                <w:p w14:paraId="685C8D8C">
                  <w:pPr>
                    <w:adjustRightInd w:val="0"/>
                    <w:snapToGrid w:val="0"/>
                    <w:jc w:val="center"/>
                    <w:rPr>
                      <w:b/>
                      <w:bCs/>
                      <w:szCs w:val="21"/>
                    </w:rPr>
                  </w:pPr>
                  <w:r>
                    <w:rPr>
                      <w:rFonts w:hint="eastAsia"/>
                      <w:b/>
                      <w:bCs/>
                      <w:szCs w:val="21"/>
                    </w:rPr>
                    <w:t>单位</w:t>
                  </w:r>
                </w:p>
              </w:tc>
              <w:tc>
                <w:tcPr>
                  <w:tcW w:w="479" w:type="pct"/>
                  <w:vAlign w:val="center"/>
                </w:tcPr>
                <w:p w14:paraId="41AF27B3">
                  <w:pPr>
                    <w:adjustRightInd w:val="0"/>
                    <w:snapToGrid w:val="0"/>
                    <w:jc w:val="center"/>
                    <w:rPr>
                      <w:b/>
                      <w:bCs/>
                      <w:szCs w:val="21"/>
                    </w:rPr>
                  </w:pPr>
                  <w:r>
                    <w:rPr>
                      <w:rFonts w:hint="eastAsia"/>
                      <w:b/>
                      <w:bCs/>
                      <w:szCs w:val="21"/>
                    </w:rPr>
                    <w:t>备注</w:t>
                  </w:r>
                </w:p>
              </w:tc>
            </w:tr>
            <w:tr w14:paraId="05460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5661FD7A">
                  <w:pPr>
                    <w:adjustRightInd w:val="0"/>
                    <w:snapToGrid w:val="0"/>
                    <w:jc w:val="center"/>
                    <w:rPr>
                      <w:szCs w:val="21"/>
                    </w:rPr>
                  </w:pPr>
                  <w:r>
                    <w:rPr>
                      <w:rFonts w:hint="eastAsia"/>
                      <w:szCs w:val="21"/>
                    </w:rPr>
                    <w:t>1</w:t>
                  </w:r>
                </w:p>
              </w:tc>
              <w:tc>
                <w:tcPr>
                  <w:tcW w:w="1113" w:type="pct"/>
                  <w:vMerge w:val="restart"/>
                  <w:vAlign w:val="center"/>
                </w:tcPr>
                <w:p w14:paraId="08460E76">
                  <w:pPr>
                    <w:adjustRightInd w:val="0"/>
                    <w:snapToGrid w:val="0"/>
                    <w:jc w:val="center"/>
                    <w:rPr>
                      <w:szCs w:val="21"/>
                    </w:rPr>
                  </w:pPr>
                  <w:r>
                    <w:rPr>
                      <w:rFonts w:hint="eastAsia"/>
                      <w:szCs w:val="21"/>
                    </w:rPr>
                    <w:t>餐具洗涤</w:t>
                  </w:r>
                </w:p>
              </w:tc>
              <w:tc>
                <w:tcPr>
                  <w:tcW w:w="2225" w:type="pct"/>
                  <w:vAlign w:val="center"/>
                </w:tcPr>
                <w:p w14:paraId="02A56FE1">
                  <w:pPr>
                    <w:adjustRightInd w:val="0"/>
                    <w:snapToGrid w:val="0"/>
                    <w:jc w:val="center"/>
                    <w:rPr>
                      <w:szCs w:val="21"/>
                    </w:rPr>
                  </w:pPr>
                  <w:r>
                    <w:rPr>
                      <w:rFonts w:hint="eastAsia"/>
                      <w:szCs w:val="21"/>
                    </w:rPr>
                    <w:t>雕牌洗洁精</w:t>
                  </w:r>
                </w:p>
              </w:tc>
              <w:tc>
                <w:tcPr>
                  <w:tcW w:w="704" w:type="pct"/>
                  <w:vAlign w:val="center"/>
                </w:tcPr>
                <w:p w14:paraId="1FC1C842">
                  <w:pPr>
                    <w:adjustRightInd w:val="0"/>
                    <w:snapToGrid w:val="0"/>
                    <w:jc w:val="center"/>
                    <w:rPr>
                      <w:szCs w:val="21"/>
                    </w:rPr>
                  </w:pPr>
                  <w:r>
                    <w:rPr>
                      <w:rFonts w:hint="eastAsia"/>
                      <w:szCs w:val="21"/>
                    </w:rPr>
                    <w:t>吨</w:t>
                  </w:r>
                </w:p>
              </w:tc>
              <w:tc>
                <w:tcPr>
                  <w:tcW w:w="479" w:type="pct"/>
                  <w:shd w:val="clear" w:color="auto" w:fill="auto"/>
                  <w:vAlign w:val="center"/>
                </w:tcPr>
                <w:p w14:paraId="682C4453">
                  <w:pPr>
                    <w:adjustRightInd w:val="0"/>
                    <w:snapToGrid w:val="0"/>
                    <w:jc w:val="center"/>
                    <w:rPr>
                      <w:szCs w:val="21"/>
                    </w:rPr>
                  </w:pPr>
                  <w:r>
                    <w:rPr>
                      <w:rFonts w:hint="eastAsia"/>
                      <w:szCs w:val="21"/>
                    </w:rPr>
                    <w:t>2.4</w:t>
                  </w:r>
                </w:p>
              </w:tc>
            </w:tr>
            <w:tr w14:paraId="04038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6A4A5E24">
                  <w:pPr>
                    <w:adjustRightInd w:val="0"/>
                    <w:snapToGrid w:val="0"/>
                    <w:jc w:val="center"/>
                    <w:rPr>
                      <w:szCs w:val="21"/>
                    </w:rPr>
                  </w:pPr>
                  <w:r>
                    <w:rPr>
                      <w:rFonts w:hint="eastAsia"/>
                      <w:szCs w:val="21"/>
                    </w:rPr>
                    <w:t>2</w:t>
                  </w:r>
                </w:p>
              </w:tc>
              <w:tc>
                <w:tcPr>
                  <w:tcW w:w="1113" w:type="pct"/>
                  <w:vMerge w:val="continue"/>
                  <w:vAlign w:val="center"/>
                </w:tcPr>
                <w:p w14:paraId="420A727B">
                  <w:pPr>
                    <w:adjustRightInd w:val="0"/>
                    <w:snapToGrid w:val="0"/>
                    <w:jc w:val="center"/>
                    <w:rPr>
                      <w:szCs w:val="21"/>
                    </w:rPr>
                  </w:pPr>
                </w:p>
              </w:tc>
              <w:tc>
                <w:tcPr>
                  <w:tcW w:w="2225" w:type="pct"/>
                  <w:vAlign w:val="center"/>
                </w:tcPr>
                <w:p w14:paraId="25D6A5A3">
                  <w:pPr>
                    <w:adjustRightInd w:val="0"/>
                    <w:snapToGrid w:val="0"/>
                    <w:jc w:val="center"/>
                    <w:rPr>
                      <w:szCs w:val="21"/>
                    </w:rPr>
                  </w:pPr>
                  <w:r>
                    <w:rPr>
                      <w:rFonts w:hint="eastAsia"/>
                      <w:szCs w:val="21"/>
                    </w:rPr>
                    <w:t>84消毒液</w:t>
                  </w:r>
                </w:p>
              </w:tc>
              <w:tc>
                <w:tcPr>
                  <w:tcW w:w="704" w:type="pct"/>
                  <w:vAlign w:val="center"/>
                </w:tcPr>
                <w:p w14:paraId="369D2699">
                  <w:pPr>
                    <w:adjustRightInd w:val="0"/>
                    <w:snapToGrid w:val="0"/>
                    <w:jc w:val="center"/>
                    <w:rPr>
                      <w:szCs w:val="21"/>
                    </w:rPr>
                  </w:pPr>
                  <w:r>
                    <w:rPr>
                      <w:rFonts w:hint="eastAsia"/>
                      <w:szCs w:val="21"/>
                    </w:rPr>
                    <w:t>吨</w:t>
                  </w:r>
                </w:p>
              </w:tc>
              <w:tc>
                <w:tcPr>
                  <w:tcW w:w="479" w:type="pct"/>
                  <w:shd w:val="clear" w:color="auto" w:fill="auto"/>
                  <w:vAlign w:val="center"/>
                </w:tcPr>
                <w:p w14:paraId="45DE80E4">
                  <w:pPr>
                    <w:adjustRightInd w:val="0"/>
                    <w:snapToGrid w:val="0"/>
                    <w:jc w:val="center"/>
                    <w:rPr>
                      <w:szCs w:val="21"/>
                    </w:rPr>
                  </w:pPr>
                  <w:r>
                    <w:rPr>
                      <w:rFonts w:hint="eastAsia"/>
                      <w:szCs w:val="21"/>
                    </w:rPr>
                    <w:t>0.1</w:t>
                  </w:r>
                </w:p>
              </w:tc>
            </w:tr>
            <w:tr w14:paraId="7087A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161F44A2">
                  <w:pPr>
                    <w:adjustRightInd w:val="0"/>
                    <w:snapToGrid w:val="0"/>
                    <w:jc w:val="center"/>
                    <w:rPr>
                      <w:szCs w:val="21"/>
                    </w:rPr>
                  </w:pPr>
                  <w:r>
                    <w:rPr>
                      <w:rFonts w:hint="eastAsia"/>
                      <w:szCs w:val="21"/>
                    </w:rPr>
                    <w:t>3</w:t>
                  </w:r>
                </w:p>
              </w:tc>
              <w:tc>
                <w:tcPr>
                  <w:tcW w:w="1113" w:type="pct"/>
                  <w:vMerge w:val="continue"/>
                  <w:vAlign w:val="center"/>
                </w:tcPr>
                <w:p w14:paraId="4898AF27">
                  <w:pPr>
                    <w:adjustRightInd w:val="0"/>
                    <w:snapToGrid w:val="0"/>
                    <w:jc w:val="center"/>
                    <w:rPr>
                      <w:szCs w:val="21"/>
                    </w:rPr>
                  </w:pPr>
                </w:p>
              </w:tc>
              <w:tc>
                <w:tcPr>
                  <w:tcW w:w="2225" w:type="pct"/>
                  <w:vAlign w:val="center"/>
                </w:tcPr>
                <w:p w14:paraId="24843CC4">
                  <w:pPr>
                    <w:adjustRightInd w:val="0"/>
                    <w:snapToGrid w:val="0"/>
                    <w:jc w:val="center"/>
                    <w:rPr>
                      <w:szCs w:val="21"/>
                    </w:rPr>
                  </w:pPr>
                  <w:r>
                    <w:rPr>
                      <w:rFonts w:hint="eastAsia"/>
                      <w:szCs w:val="21"/>
                    </w:rPr>
                    <w:t>包装膜</w:t>
                  </w:r>
                </w:p>
              </w:tc>
              <w:tc>
                <w:tcPr>
                  <w:tcW w:w="704" w:type="pct"/>
                  <w:vAlign w:val="center"/>
                </w:tcPr>
                <w:p w14:paraId="001BFDA1">
                  <w:pPr>
                    <w:adjustRightInd w:val="0"/>
                    <w:snapToGrid w:val="0"/>
                    <w:jc w:val="center"/>
                    <w:rPr>
                      <w:szCs w:val="21"/>
                    </w:rPr>
                  </w:pPr>
                  <w:r>
                    <w:rPr>
                      <w:rFonts w:hint="eastAsia"/>
                      <w:szCs w:val="21"/>
                    </w:rPr>
                    <w:t>吨</w:t>
                  </w:r>
                </w:p>
              </w:tc>
              <w:tc>
                <w:tcPr>
                  <w:tcW w:w="479" w:type="pct"/>
                  <w:shd w:val="clear" w:color="auto" w:fill="auto"/>
                  <w:vAlign w:val="center"/>
                </w:tcPr>
                <w:p w14:paraId="4CDDB579">
                  <w:pPr>
                    <w:adjustRightInd w:val="0"/>
                    <w:snapToGrid w:val="0"/>
                    <w:jc w:val="center"/>
                    <w:rPr>
                      <w:szCs w:val="21"/>
                    </w:rPr>
                  </w:pPr>
                  <w:r>
                    <w:rPr>
                      <w:rFonts w:hint="eastAsia"/>
                      <w:szCs w:val="21"/>
                    </w:rPr>
                    <w:t>6.6</w:t>
                  </w:r>
                </w:p>
              </w:tc>
            </w:tr>
            <w:tr w14:paraId="21273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2037F721">
                  <w:pPr>
                    <w:adjustRightInd w:val="0"/>
                    <w:snapToGrid w:val="0"/>
                    <w:jc w:val="center"/>
                    <w:rPr>
                      <w:szCs w:val="21"/>
                    </w:rPr>
                  </w:pPr>
                  <w:r>
                    <w:rPr>
                      <w:rFonts w:hint="eastAsia"/>
                      <w:szCs w:val="21"/>
                    </w:rPr>
                    <w:t>4</w:t>
                  </w:r>
                </w:p>
              </w:tc>
              <w:tc>
                <w:tcPr>
                  <w:tcW w:w="1113" w:type="pct"/>
                  <w:vMerge w:val="continue"/>
                  <w:vAlign w:val="center"/>
                </w:tcPr>
                <w:p w14:paraId="1E107765">
                  <w:pPr>
                    <w:adjustRightInd w:val="0"/>
                    <w:snapToGrid w:val="0"/>
                    <w:jc w:val="center"/>
                    <w:rPr>
                      <w:szCs w:val="21"/>
                    </w:rPr>
                  </w:pPr>
                </w:p>
              </w:tc>
              <w:tc>
                <w:tcPr>
                  <w:tcW w:w="2225" w:type="pct"/>
                  <w:vAlign w:val="center"/>
                </w:tcPr>
                <w:p w14:paraId="78C11F53">
                  <w:pPr>
                    <w:adjustRightInd w:val="0"/>
                    <w:snapToGrid w:val="0"/>
                    <w:jc w:val="center"/>
                    <w:rPr>
                      <w:szCs w:val="21"/>
                    </w:rPr>
                  </w:pPr>
                  <w:r>
                    <w:rPr>
                      <w:rFonts w:hint="eastAsia"/>
                      <w:szCs w:val="21"/>
                    </w:rPr>
                    <w:t>装产品用塑料筐（周转箱）</w:t>
                  </w:r>
                </w:p>
              </w:tc>
              <w:tc>
                <w:tcPr>
                  <w:tcW w:w="704" w:type="pct"/>
                  <w:vAlign w:val="center"/>
                </w:tcPr>
                <w:p w14:paraId="23DBB7DA">
                  <w:pPr>
                    <w:adjustRightInd w:val="0"/>
                    <w:snapToGrid w:val="0"/>
                    <w:jc w:val="center"/>
                    <w:rPr>
                      <w:szCs w:val="21"/>
                    </w:rPr>
                  </w:pPr>
                  <w:r>
                    <w:rPr>
                      <w:rFonts w:hint="eastAsia"/>
                      <w:szCs w:val="21"/>
                    </w:rPr>
                    <w:t>个</w:t>
                  </w:r>
                </w:p>
              </w:tc>
              <w:tc>
                <w:tcPr>
                  <w:tcW w:w="479" w:type="pct"/>
                  <w:shd w:val="clear" w:color="auto" w:fill="auto"/>
                  <w:vAlign w:val="center"/>
                </w:tcPr>
                <w:p w14:paraId="3F28F40C">
                  <w:pPr>
                    <w:adjustRightInd w:val="0"/>
                    <w:snapToGrid w:val="0"/>
                    <w:jc w:val="center"/>
                    <w:rPr>
                      <w:szCs w:val="21"/>
                    </w:rPr>
                  </w:pPr>
                  <w:r>
                    <w:rPr>
                      <w:rFonts w:hint="eastAsia"/>
                      <w:szCs w:val="21"/>
                    </w:rPr>
                    <w:t>5000</w:t>
                  </w:r>
                </w:p>
              </w:tc>
            </w:tr>
            <w:tr w14:paraId="294A4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79C10A6E">
                  <w:pPr>
                    <w:adjustRightInd w:val="0"/>
                    <w:snapToGrid w:val="0"/>
                    <w:jc w:val="center"/>
                    <w:rPr>
                      <w:szCs w:val="21"/>
                    </w:rPr>
                  </w:pPr>
                  <w:r>
                    <w:rPr>
                      <w:rFonts w:hint="eastAsia"/>
                      <w:szCs w:val="21"/>
                    </w:rPr>
                    <w:t>5</w:t>
                  </w:r>
                </w:p>
              </w:tc>
              <w:tc>
                <w:tcPr>
                  <w:tcW w:w="1113" w:type="pct"/>
                  <w:vMerge w:val="restart"/>
                  <w:vAlign w:val="center"/>
                </w:tcPr>
                <w:p w14:paraId="7DBA2354">
                  <w:pPr>
                    <w:adjustRightInd w:val="0"/>
                    <w:snapToGrid w:val="0"/>
                    <w:jc w:val="center"/>
                    <w:rPr>
                      <w:szCs w:val="21"/>
                    </w:rPr>
                  </w:pPr>
                  <w:r>
                    <w:rPr>
                      <w:rFonts w:hint="eastAsia"/>
                      <w:szCs w:val="21"/>
                    </w:rPr>
                    <w:t>酒店布草洗涤</w:t>
                  </w:r>
                </w:p>
              </w:tc>
              <w:tc>
                <w:tcPr>
                  <w:tcW w:w="2225" w:type="pct"/>
                  <w:vAlign w:val="center"/>
                </w:tcPr>
                <w:p w14:paraId="68EA5A01">
                  <w:pPr>
                    <w:adjustRightInd w:val="0"/>
                    <w:snapToGrid w:val="0"/>
                    <w:jc w:val="center"/>
                    <w:rPr>
                      <w:szCs w:val="21"/>
                    </w:rPr>
                  </w:pPr>
                  <w:r>
                    <w:rPr>
                      <w:rFonts w:hint="eastAsia"/>
                      <w:szCs w:val="21"/>
                    </w:rPr>
                    <w:t>雕牌洗衣粉</w:t>
                  </w:r>
                </w:p>
              </w:tc>
              <w:tc>
                <w:tcPr>
                  <w:tcW w:w="704" w:type="pct"/>
                  <w:vAlign w:val="center"/>
                </w:tcPr>
                <w:p w14:paraId="018BC863">
                  <w:pPr>
                    <w:adjustRightInd w:val="0"/>
                    <w:snapToGrid w:val="0"/>
                    <w:jc w:val="center"/>
                    <w:rPr>
                      <w:szCs w:val="21"/>
                    </w:rPr>
                  </w:pPr>
                  <w:r>
                    <w:rPr>
                      <w:rFonts w:hint="eastAsia"/>
                      <w:szCs w:val="21"/>
                    </w:rPr>
                    <w:t>吨</w:t>
                  </w:r>
                </w:p>
              </w:tc>
              <w:tc>
                <w:tcPr>
                  <w:tcW w:w="479" w:type="pct"/>
                  <w:shd w:val="clear" w:color="auto" w:fill="auto"/>
                  <w:vAlign w:val="center"/>
                </w:tcPr>
                <w:p w14:paraId="6A932048">
                  <w:pPr>
                    <w:adjustRightInd w:val="0"/>
                    <w:snapToGrid w:val="0"/>
                    <w:jc w:val="center"/>
                    <w:rPr>
                      <w:szCs w:val="21"/>
                    </w:rPr>
                  </w:pPr>
                  <w:r>
                    <w:rPr>
                      <w:rFonts w:hint="eastAsia"/>
                      <w:szCs w:val="21"/>
                    </w:rPr>
                    <w:t>3.6</w:t>
                  </w:r>
                </w:p>
              </w:tc>
            </w:tr>
            <w:tr w14:paraId="75DD6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22391E1A">
                  <w:pPr>
                    <w:adjustRightInd w:val="0"/>
                    <w:snapToGrid w:val="0"/>
                    <w:jc w:val="center"/>
                    <w:rPr>
                      <w:szCs w:val="21"/>
                    </w:rPr>
                  </w:pPr>
                  <w:r>
                    <w:rPr>
                      <w:rFonts w:hint="eastAsia"/>
                      <w:szCs w:val="21"/>
                    </w:rPr>
                    <w:t>6</w:t>
                  </w:r>
                </w:p>
              </w:tc>
              <w:tc>
                <w:tcPr>
                  <w:tcW w:w="1113" w:type="pct"/>
                  <w:vMerge w:val="continue"/>
                  <w:vAlign w:val="center"/>
                </w:tcPr>
                <w:p w14:paraId="04448897">
                  <w:pPr>
                    <w:adjustRightInd w:val="0"/>
                    <w:snapToGrid w:val="0"/>
                    <w:jc w:val="center"/>
                    <w:rPr>
                      <w:szCs w:val="21"/>
                    </w:rPr>
                  </w:pPr>
                </w:p>
              </w:tc>
              <w:tc>
                <w:tcPr>
                  <w:tcW w:w="2225" w:type="pct"/>
                  <w:vAlign w:val="center"/>
                </w:tcPr>
                <w:p w14:paraId="5438C4B9">
                  <w:pPr>
                    <w:adjustRightInd w:val="0"/>
                    <w:snapToGrid w:val="0"/>
                    <w:jc w:val="center"/>
                    <w:rPr>
                      <w:szCs w:val="21"/>
                    </w:rPr>
                  </w:pPr>
                  <w:r>
                    <w:rPr>
                      <w:rFonts w:hint="eastAsia"/>
                      <w:szCs w:val="21"/>
                    </w:rPr>
                    <w:t>柔顺剂</w:t>
                  </w:r>
                </w:p>
              </w:tc>
              <w:tc>
                <w:tcPr>
                  <w:tcW w:w="704" w:type="pct"/>
                  <w:vAlign w:val="center"/>
                </w:tcPr>
                <w:p w14:paraId="20DFCC12">
                  <w:pPr>
                    <w:adjustRightInd w:val="0"/>
                    <w:snapToGrid w:val="0"/>
                    <w:jc w:val="center"/>
                    <w:rPr>
                      <w:szCs w:val="21"/>
                    </w:rPr>
                  </w:pPr>
                  <w:r>
                    <w:rPr>
                      <w:rFonts w:hint="eastAsia"/>
                      <w:szCs w:val="21"/>
                    </w:rPr>
                    <w:t>吨</w:t>
                  </w:r>
                </w:p>
              </w:tc>
              <w:tc>
                <w:tcPr>
                  <w:tcW w:w="479" w:type="pct"/>
                  <w:shd w:val="clear" w:color="auto" w:fill="auto"/>
                  <w:vAlign w:val="center"/>
                </w:tcPr>
                <w:p w14:paraId="44A4805E">
                  <w:pPr>
                    <w:adjustRightInd w:val="0"/>
                    <w:snapToGrid w:val="0"/>
                    <w:jc w:val="center"/>
                    <w:rPr>
                      <w:szCs w:val="21"/>
                    </w:rPr>
                  </w:pPr>
                  <w:r>
                    <w:rPr>
                      <w:rFonts w:hint="eastAsia"/>
                      <w:szCs w:val="21"/>
                    </w:rPr>
                    <w:t>/</w:t>
                  </w:r>
                </w:p>
              </w:tc>
            </w:tr>
            <w:tr w14:paraId="78D8E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49EA7C6B">
                  <w:pPr>
                    <w:adjustRightInd w:val="0"/>
                    <w:snapToGrid w:val="0"/>
                    <w:jc w:val="center"/>
                    <w:rPr>
                      <w:szCs w:val="21"/>
                    </w:rPr>
                  </w:pPr>
                  <w:r>
                    <w:rPr>
                      <w:rFonts w:hint="eastAsia"/>
                      <w:szCs w:val="21"/>
                    </w:rPr>
                    <w:t>7</w:t>
                  </w:r>
                </w:p>
              </w:tc>
              <w:tc>
                <w:tcPr>
                  <w:tcW w:w="1113" w:type="pct"/>
                  <w:vMerge w:val="continue"/>
                  <w:vAlign w:val="center"/>
                </w:tcPr>
                <w:p w14:paraId="43B4014B">
                  <w:pPr>
                    <w:adjustRightInd w:val="0"/>
                    <w:snapToGrid w:val="0"/>
                    <w:jc w:val="center"/>
                    <w:rPr>
                      <w:szCs w:val="21"/>
                    </w:rPr>
                  </w:pPr>
                </w:p>
              </w:tc>
              <w:tc>
                <w:tcPr>
                  <w:tcW w:w="2225" w:type="pct"/>
                  <w:vAlign w:val="center"/>
                </w:tcPr>
                <w:p w14:paraId="6BA26DB7">
                  <w:pPr>
                    <w:adjustRightInd w:val="0"/>
                    <w:snapToGrid w:val="0"/>
                    <w:jc w:val="center"/>
                    <w:rPr>
                      <w:szCs w:val="21"/>
                    </w:rPr>
                  </w:pPr>
                  <w:r>
                    <w:rPr>
                      <w:rFonts w:hint="eastAsia"/>
                      <w:szCs w:val="21"/>
                    </w:rPr>
                    <w:t>漂白剂</w:t>
                  </w:r>
                </w:p>
              </w:tc>
              <w:tc>
                <w:tcPr>
                  <w:tcW w:w="704" w:type="pct"/>
                  <w:vAlign w:val="center"/>
                </w:tcPr>
                <w:p w14:paraId="5157ECA8">
                  <w:pPr>
                    <w:adjustRightInd w:val="0"/>
                    <w:snapToGrid w:val="0"/>
                    <w:jc w:val="center"/>
                    <w:rPr>
                      <w:szCs w:val="21"/>
                    </w:rPr>
                  </w:pPr>
                  <w:r>
                    <w:rPr>
                      <w:rFonts w:hint="eastAsia"/>
                      <w:szCs w:val="21"/>
                    </w:rPr>
                    <w:t>吨</w:t>
                  </w:r>
                </w:p>
              </w:tc>
              <w:tc>
                <w:tcPr>
                  <w:tcW w:w="479" w:type="pct"/>
                  <w:shd w:val="clear" w:color="auto" w:fill="auto"/>
                  <w:vAlign w:val="center"/>
                </w:tcPr>
                <w:p w14:paraId="351EC784">
                  <w:pPr>
                    <w:adjustRightInd w:val="0"/>
                    <w:snapToGrid w:val="0"/>
                    <w:jc w:val="center"/>
                    <w:rPr>
                      <w:szCs w:val="21"/>
                    </w:rPr>
                  </w:pPr>
                  <w:r>
                    <w:rPr>
                      <w:rFonts w:hint="eastAsia"/>
                      <w:szCs w:val="21"/>
                    </w:rPr>
                    <w:t>0.6</w:t>
                  </w:r>
                </w:p>
              </w:tc>
            </w:tr>
            <w:tr w14:paraId="0E85B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3548D630">
                  <w:pPr>
                    <w:adjustRightInd w:val="0"/>
                    <w:snapToGrid w:val="0"/>
                    <w:jc w:val="center"/>
                    <w:rPr>
                      <w:szCs w:val="21"/>
                    </w:rPr>
                  </w:pPr>
                  <w:r>
                    <w:rPr>
                      <w:rFonts w:hint="eastAsia"/>
                      <w:szCs w:val="21"/>
                    </w:rPr>
                    <w:t>8</w:t>
                  </w:r>
                </w:p>
              </w:tc>
              <w:tc>
                <w:tcPr>
                  <w:tcW w:w="1113" w:type="pct"/>
                  <w:vMerge w:val="continue"/>
                  <w:vAlign w:val="center"/>
                </w:tcPr>
                <w:p w14:paraId="464DAE9A">
                  <w:pPr>
                    <w:adjustRightInd w:val="0"/>
                    <w:snapToGrid w:val="0"/>
                    <w:jc w:val="center"/>
                    <w:rPr>
                      <w:szCs w:val="21"/>
                    </w:rPr>
                  </w:pPr>
                </w:p>
              </w:tc>
              <w:tc>
                <w:tcPr>
                  <w:tcW w:w="2225" w:type="pct"/>
                  <w:vAlign w:val="center"/>
                </w:tcPr>
                <w:p w14:paraId="2D302882">
                  <w:pPr>
                    <w:adjustRightInd w:val="0"/>
                    <w:snapToGrid w:val="0"/>
                    <w:jc w:val="center"/>
                    <w:rPr>
                      <w:szCs w:val="21"/>
                    </w:rPr>
                  </w:pPr>
                  <w:r>
                    <w:rPr>
                      <w:rFonts w:hint="eastAsia"/>
                      <w:szCs w:val="21"/>
                    </w:rPr>
                    <w:t>纳米香精</w:t>
                  </w:r>
                </w:p>
              </w:tc>
              <w:tc>
                <w:tcPr>
                  <w:tcW w:w="704" w:type="pct"/>
                  <w:vAlign w:val="center"/>
                </w:tcPr>
                <w:p w14:paraId="2B8EBF8C">
                  <w:pPr>
                    <w:adjustRightInd w:val="0"/>
                    <w:snapToGrid w:val="0"/>
                    <w:jc w:val="center"/>
                    <w:rPr>
                      <w:szCs w:val="21"/>
                    </w:rPr>
                  </w:pPr>
                  <w:r>
                    <w:rPr>
                      <w:rFonts w:hint="eastAsia"/>
                      <w:szCs w:val="21"/>
                    </w:rPr>
                    <w:t>升</w:t>
                  </w:r>
                </w:p>
              </w:tc>
              <w:tc>
                <w:tcPr>
                  <w:tcW w:w="479" w:type="pct"/>
                  <w:shd w:val="clear" w:color="auto" w:fill="auto"/>
                  <w:vAlign w:val="center"/>
                </w:tcPr>
                <w:p w14:paraId="1E5719CE">
                  <w:pPr>
                    <w:adjustRightInd w:val="0"/>
                    <w:snapToGrid w:val="0"/>
                    <w:jc w:val="center"/>
                    <w:rPr>
                      <w:szCs w:val="21"/>
                    </w:rPr>
                  </w:pPr>
                  <w:r>
                    <w:rPr>
                      <w:rFonts w:hint="eastAsia"/>
                      <w:szCs w:val="21"/>
                    </w:rPr>
                    <w:t>1.2</w:t>
                  </w:r>
                </w:p>
              </w:tc>
            </w:tr>
            <w:tr w14:paraId="48597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3A3C650B">
                  <w:pPr>
                    <w:adjustRightInd w:val="0"/>
                    <w:snapToGrid w:val="0"/>
                    <w:jc w:val="center"/>
                    <w:rPr>
                      <w:szCs w:val="21"/>
                    </w:rPr>
                  </w:pPr>
                  <w:r>
                    <w:rPr>
                      <w:rFonts w:hint="eastAsia"/>
                      <w:szCs w:val="21"/>
                    </w:rPr>
                    <w:t>9</w:t>
                  </w:r>
                </w:p>
              </w:tc>
              <w:tc>
                <w:tcPr>
                  <w:tcW w:w="1113" w:type="pct"/>
                  <w:vMerge w:val="continue"/>
                  <w:vAlign w:val="center"/>
                </w:tcPr>
                <w:p w14:paraId="39FD2931">
                  <w:pPr>
                    <w:adjustRightInd w:val="0"/>
                    <w:snapToGrid w:val="0"/>
                    <w:jc w:val="center"/>
                    <w:rPr>
                      <w:szCs w:val="21"/>
                    </w:rPr>
                  </w:pPr>
                </w:p>
              </w:tc>
              <w:tc>
                <w:tcPr>
                  <w:tcW w:w="2225" w:type="pct"/>
                  <w:vAlign w:val="center"/>
                </w:tcPr>
                <w:p w14:paraId="4022209B">
                  <w:pPr>
                    <w:adjustRightInd w:val="0"/>
                    <w:snapToGrid w:val="0"/>
                    <w:jc w:val="center"/>
                    <w:rPr>
                      <w:szCs w:val="21"/>
                    </w:rPr>
                  </w:pPr>
                  <w:r>
                    <w:rPr>
                      <w:rFonts w:hint="eastAsia"/>
                      <w:szCs w:val="21"/>
                    </w:rPr>
                    <w:t>医用酒精（稀释纳米香精用）</w:t>
                  </w:r>
                </w:p>
              </w:tc>
              <w:tc>
                <w:tcPr>
                  <w:tcW w:w="704" w:type="pct"/>
                  <w:vAlign w:val="center"/>
                </w:tcPr>
                <w:p w14:paraId="7849B20C">
                  <w:pPr>
                    <w:adjustRightInd w:val="0"/>
                    <w:snapToGrid w:val="0"/>
                    <w:jc w:val="center"/>
                    <w:rPr>
                      <w:szCs w:val="21"/>
                    </w:rPr>
                  </w:pPr>
                  <w:r>
                    <w:rPr>
                      <w:rFonts w:hint="eastAsia"/>
                      <w:szCs w:val="21"/>
                    </w:rPr>
                    <w:t>升</w:t>
                  </w:r>
                </w:p>
              </w:tc>
              <w:tc>
                <w:tcPr>
                  <w:tcW w:w="479" w:type="pct"/>
                  <w:shd w:val="clear" w:color="auto" w:fill="auto"/>
                  <w:vAlign w:val="center"/>
                </w:tcPr>
                <w:p w14:paraId="3E406B19">
                  <w:pPr>
                    <w:adjustRightInd w:val="0"/>
                    <w:snapToGrid w:val="0"/>
                    <w:jc w:val="center"/>
                    <w:rPr>
                      <w:szCs w:val="21"/>
                    </w:rPr>
                  </w:pPr>
                  <w:r>
                    <w:rPr>
                      <w:rFonts w:hint="eastAsia"/>
                      <w:szCs w:val="21"/>
                    </w:rPr>
                    <w:t>90</w:t>
                  </w:r>
                </w:p>
              </w:tc>
            </w:tr>
            <w:tr w14:paraId="4B9B7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vAlign w:val="center"/>
                </w:tcPr>
                <w:p w14:paraId="2B5A6A68">
                  <w:pPr>
                    <w:adjustRightInd w:val="0"/>
                    <w:snapToGrid w:val="0"/>
                    <w:jc w:val="center"/>
                    <w:rPr>
                      <w:szCs w:val="21"/>
                    </w:rPr>
                  </w:pPr>
                  <w:r>
                    <w:rPr>
                      <w:rFonts w:hint="eastAsia"/>
                      <w:szCs w:val="21"/>
                    </w:rPr>
                    <w:t>10</w:t>
                  </w:r>
                </w:p>
              </w:tc>
              <w:tc>
                <w:tcPr>
                  <w:tcW w:w="1113" w:type="pct"/>
                  <w:vMerge w:val="continue"/>
                  <w:vAlign w:val="center"/>
                </w:tcPr>
                <w:p w14:paraId="46B0F12C">
                  <w:pPr>
                    <w:adjustRightInd w:val="0"/>
                    <w:snapToGrid w:val="0"/>
                    <w:jc w:val="center"/>
                    <w:rPr>
                      <w:szCs w:val="21"/>
                    </w:rPr>
                  </w:pPr>
                </w:p>
              </w:tc>
              <w:tc>
                <w:tcPr>
                  <w:tcW w:w="2225" w:type="pct"/>
                  <w:vAlign w:val="center"/>
                </w:tcPr>
                <w:p w14:paraId="0D20F337">
                  <w:pPr>
                    <w:adjustRightInd w:val="0"/>
                    <w:snapToGrid w:val="0"/>
                    <w:jc w:val="center"/>
                    <w:rPr>
                      <w:szCs w:val="21"/>
                    </w:rPr>
                  </w:pPr>
                  <w:r>
                    <w:rPr>
                      <w:rFonts w:hint="eastAsia"/>
                      <w:szCs w:val="21"/>
                    </w:rPr>
                    <w:t>包装膜（毛巾包装用）</w:t>
                  </w:r>
                </w:p>
              </w:tc>
              <w:tc>
                <w:tcPr>
                  <w:tcW w:w="704" w:type="pct"/>
                  <w:vAlign w:val="center"/>
                </w:tcPr>
                <w:p w14:paraId="441F2A5F">
                  <w:pPr>
                    <w:adjustRightInd w:val="0"/>
                    <w:snapToGrid w:val="0"/>
                    <w:jc w:val="center"/>
                    <w:rPr>
                      <w:szCs w:val="21"/>
                    </w:rPr>
                  </w:pPr>
                  <w:r>
                    <w:rPr>
                      <w:rFonts w:hint="eastAsia"/>
                      <w:szCs w:val="21"/>
                    </w:rPr>
                    <w:t>吨</w:t>
                  </w:r>
                </w:p>
              </w:tc>
              <w:tc>
                <w:tcPr>
                  <w:tcW w:w="479" w:type="pct"/>
                  <w:shd w:val="clear" w:color="auto" w:fill="auto"/>
                  <w:vAlign w:val="center"/>
                </w:tcPr>
                <w:p w14:paraId="7AA94A7C">
                  <w:pPr>
                    <w:adjustRightInd w:val="0"/>
                    <w:snapToGrid w:val="0"/>
                    <w:jc w:val="center"/>
                    <w:rPr>
                      <w:szCs w:val="21"/>
                    </w:rPr>
                  </w:pPr>
                  <w:r>
                    <w:rPr>
                      <w:rFonts w:hint="eastAsia"/>
                      <w:szCs w:val="21"/>
                    </w:rPr>
                    <w:t>0.18</w:t>
                  </w:r>
                </w:p>
              </w:tc>
            </w:tr>
            <w:tr w14:paraId="4D2A7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shd w:val="clear" w:color="auto" w:fill="auto"/>
                  <w:vAlign w:val="center"/>
                </w:tcPr>
                <w:p w14:paraId="2748D7D8">
                  <w:pPr>
                    <w:adjustRightInd w:val="0"/>
                    <w:snapToGrid w:val="0"/>
                    <w:jc w:val="center"/>
                    <w:rPr>
                      <w:szCs w:val="21"/>
                    </w:rPr>
                  </w:pPr>
                  <w:r>
                    <w:rPr>
                      <w:rFonts w:hint="eastAsia"/>
                      <w:szCs w:val="21"/>
                    </w:rPr>
                    <w:t>11</w:t>
                  </w:r>
                </w:p>
              </w:tc>
              <w:tc>
                <w:tcPr>
                  <w:tcW w:w="1113" w:type="pct"/>
                  <w:vMerge w:val="restart"/>
                  <w:vAlign w:val="center"/>
                </w:tcPr>
                <w:p w14:paraId="308D2FB8">
                  <w:pPr>
                    <w:adjustRightInd w:val="0"/>
                    <w:snapToGrid w:val="0"/>
                    <w:jc w:val="center"/>
                    <w:rPr>
                      <w:szCs w:val="21"/>
                    </w:rPr>
                  </w:pPr>
                  <w:r>
                    <w:rPr>
                      <w:rFonts w:hint="eastAsia"/>
                      <w:szCs w:val="21"/>
                    </w:rPr>
                    <w:t>公用</w:t>
                  </w:r>
                </w:p>
              </w:tc>
              <w:tc>
                <w:tcPr>
                  <w:tcW w:w="2225" w:type="pct"/>
                  <w:shd w:val="clear" w:color="auto" w:fill="auto"/>
                  <w:vAlign w:val="center"/>
                </w:tcPr>
                <w:p w14:paraId="336C6CCD">
                  <w:pPr>
                    <w:adjustRightInd w:val="0"/>
                    <w:snapToGrid w:val="0"/>
                    <w:jc w:val="center"/>
                    <w:rPr>
                      <w:szCs w:val="21"/>
                    </w:rPr>
                  </w:pPr>
                  <w:r>
                    <w:rPr>
                      <w:rFonts w:hint="eastAsia"/>
                      <w:szCs w:val="21"/>
                    </w:rPr>
                    <w:t>生物质燃料</w:t>
                  </w:r>
                </w:p>
              </w:tc>
              <w:tc>
                <w:tcPr>
                  <w:tcW w:w="704" w:type="pct"/>
                  <w:shd w:val="clear" w:color="auto" w:fill="auto"/>
                  <w:vAlign w:val="center"/>
                </w:tcPr>
                <w:p w14:paraId="6196CED6">
                  <w:pPr>
                    <w:adjustRightInd w:val="0"/>
                    <w:snapToGrid w:val="0"/>
                    <w:jc w:val="center"/>
                    <w:rPr>
                      <w:szCs w:val="21"/>
                    </w:rPr>
                  </w:pPr>
                  <w:r>
                    <w:rPr>
                      <w:rFonts w:hint="eastAsia"/>
                      <w:szCs w:val="21"/>
                    </w:rPr>
                    <w:t>吨</w:t>
                  </w:r>
                </w:p>
              </w:tc>
              <w:tc>
                <w:tcPr>
                  <w:tcW w:w="479" w:type="pct"/>
                  <w:shd w:val="clear" w:color="auto" w:fill="auto"/>
                  <w:vAlign w:val="center"/>
                </w:tcPr>
                <w:p w14:paraId="7189C3D4">
                  <w:pPr>
                    <w:adjustRightInd w:val="0"/>
                    <w:snapToGrid w:val="0"/>
                    <w:jc w:val="center"/>
                    <w:rPr>
                      <w:szCs w:val="21"/>
                    </w:rPr>
                  </w:pPr>
                  <w:r>
                    <w:rPr>
                      <w:rFonts w:hint="eastAsia"/>
                      <w:szCs w:val="21"/>
                    </w:rPr>
                    <w:t>130</w:t>
                  </w:r>
                </w:p>
              </w:tc>
            </w:tr>
            <w:tr w14:paraId="26EEA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78" w:type="pct"/>
                  <w:shd w:val="clear" w:color="auto" w:fill="auto"/>
                  <w:vAlign w:val="center"/>
                </w:tcPr>
                <w:p w14:paraId="7253F494">
                  <w:pPr>
                    <w:adjustRightInd w:val="0"/>
                    <w:snapToGrid w:val="0"/>
                    <w:jc w:val="center"/>
                    <w:rPr>
                      <w:szCs w:val="21"/>
                    </w:rPr>
                  </w:pPr>
                  <w:r>
                    <w:rPr>
                      <w:rFonts w:hint="eastAsia"/>
                      <w:szCs w:val="21"/>
                    </w:rPr>
                    <w:t>12</w:t>
                  </w:r>
                </w:p>
              </w:tc>
              <w:tc>
                <w:tcPr>
                  <w:tcW w:w="1113" w:type="pct"/>
                  <w:vMerge w:val="continue"/>
                  <w:vAlign w:val="center"/>
                </w:tcPr>
                <w:p w14:paraId="19DAD199">
                  <w:pPr>
                    <w:adjustRightInd w:val="0"/>
                    <w:snapToGrid w:val="0"/>
                    <w:jc w:val="center"/>
                    <w:rPr>
                      <w:szCs w:val="21"/>
                    </w:rPr>
                  </w:pPr>
                </w:p>
              </w:tc>
              <w:tc>
                <w:tcPr>
                  <w:tcW w:w="2225" w:type="pct"/>
                  <w:shd w:val="clear" w:color="auto" w:fill="auto"/>
                  <w:vAlign w:val="center"/>
                </w:tcPr>
                <w:p w14:paraId="7AA7898F">
                  <w:pPr>
                    <w:adjustRightInd w:val="0"/>
                    <w:snapToGrid w:val="0"/>
                    <w:jc w:val="center"/>
                    <w:rPr>
                      <w:szCs w:val="21"/>
                    </w:rPr>
                  </w:pPr>
                  <w:r>
                    <w:rPr>
                      <w:rFonts w:hint="eastAsia"/>
                      <w:szCs w:val="21"/>
                    </w:rPr>
                    <w:t>水</w:t>
                  </w:r>
                </w:p>
              </w:tc>
              <w:tc>
                <w:tcPr>
                  <w:tcW w:w="704" w:type="pct"/>
                  <w:shd w:val="clear" w:color="auto" w:fill="auto"/>
                  <w:vAlign w:val="center"/>
                </w:tcPr>
                <w:p w14:paraId="08552EE2">
                  <w:pPr>
                    <w:adjustRightInd w:val="0"/>
                    <w:snapToGrid w:val="0"/>
                    <w:jc w:val="center"/>
                    <w:rPr>
                      <w:szCs w:val="21"/>
                    </w:rPr>
                  </w:pPr>
                  <w:r>
                    <w:rPr>
                      <w:rFonts w:hint="eastAsia"/>
                      <w:szCs w:val="21"/>
                    </w:rPr>
                    <w:t>吨</w:t>
                  </w:r>
                </w:p>
              </w:tc>
              <w:tc>
                <w:tcPr>
                  <w:tcW w:w="479" w:type="pct"/>
                  <w:shd w:val="clear" w:color="auto" w:fill="auto"/>
                  <w:vAlign w:val="center"/>
                </w:tcPr>
                <w:p w14:paraId="46F4585C">
                  <w:pPr>
                    <w:adjustRightInd w:val="0"/>
                    <w:snapToGrid w:val="0"/>
                    <w:jc w:val="center"/>
                    <w:rPr>
                      <w:szCs w:val="21"/>
                    </w:rPr>
                  </w:pPr>
                  <w:r>
                    <w:rPr>
                      <w:rFonts w:hint="eastAsia"/>
                      <w:szCs w:val="21"/>
                    </w:rPr>
                    <w:t>3600</w:t>
                  </w:r>
                </w:p>
              </w:tc>
            </w:tr>
          </w:tbl>
          <w:p w14:paraId="2D81AB96">
            <w:pPr>
              <w:spacing w:line="360" w:lineRule="auto"/>
              <w:ind w:firstLine="482" w:firstLineChars="200"/>
              <w:rPr>
                <w:b/>
                <w:sz w:val="24"/>
              </w:rPr>
            </w:pPr>
            <w:r>
              <w:rPr>
                <w:rFonts w:hint="eastAsia"/>
                <w:b/>
                <w:sz w:val="24"/>
              </w:rPr>
              <w:t>4、生产设备</w:t>
            </w:r>
          </w:p>
          <w:p w14:paraId="62A06EE9">
            <w:pPr>
              <w:pStyle w:val="19"/>
              <w:spacing w:line="360" w:lineRule="auto"/>
              <w:ind w:firstLine="480"/>
              <w:rPr>
                <w:sz w:val="24"/>
              </w:rPr>
            </w:pPr>
            <w:r>
              <w:rPr>
                <w:rFonts w:hint="eastAsia"/>
                <w:sz w:val="24"/>
              </w:rPr>
              <w:t>现有工程主要生产设备见表2</w:t>
            </w:r>
            <w:r>
              <w:rPr>
                <w:rFonts w:hint="eastAsia"/>
                <w:sz w:val="24"/>
                <w:lang w:val="en-US" w:eastAsia="zh-CN"/>
              </w:rPr>
              <w:t>-8</w:t>
            </w:r>
            <w:r>
              <w:rPr>
                <w:rFonts w:hint="eastAsia"/>
                <w:sz w:val="24"/>
              </w:rPr>
              <w:t>。</w:t>
            </w:r>
          </w:p>
          <w:p w14:paraId="3FCBBD2E">
            <w:pPr>
              <w:pStyle w:val="33"/>
              <w:spacing w:before="120" w:beforeLines="50"/>
              <w:jc w:val="center"/>
              <w:rPr>
                <w:rFonts w:ascii="Times New Roman"/>
                <w:b/>
                <w:color w:val="auto"/>
                <w:sz w:val="21"/>
              </w:rPr>
            </w:pPr>
            <w:r>
              <w:rPr>
                <w:rFonts w:ascii="Times New Roman"/>
                <w:b/>
                <w:color w:val="auto"/>
                <w:sz w:val="21"/>
              </w:rPr>
              <w:t>表</w:t>
            </w:r>
            <w:r>
              <w:rPr>
                <w:rFonts w:hint="eastAsia" w:ascii="Times New Roman"/>
                <w:b/>
                <w:color w:val="auto"/>
                <w:sz w:val="21"/>
              </w:rPr>
              <w:t>2-</w:t>
            </w:r>
            <w:r>
              <w:rPr>
                <w:rFonts w:hint="eastAsia" w:ascii="Times New Roman"/>
                <w:b/>
                <w:color w:val="auto"/>
                <w:sz w:val="21"/>
                <w:lang w:val="en-US" w:eastAsia="zh-CN"/>
              </w:rPr>
              <w:t>8</w:t>
            </w:r>
            <w:r>
              <w:rPr>
                <w:rFonts w:ascii="Times New Roman"/>
                <w:b/>
                <w:color w:val="auto"/>
                <w:sz w:val="21"/>
              </w:rPr>
              <w:t xml:space="preserve">  </w:t>
            </w:r>
            <w:r>
              <w:rPr>
                <w:rFonts w:hint="eastAsia" w:ascii="Times New Roman"/>
                <w:b/>
                <w:color w:val="auto"/>
                <w:sz w:val="21"/>
              </w:rPr>
              <w:t>现有工程设备一览表</w:t>
            </w:r>
          </w:p>
          <w:p w14:paraId="06257411"/>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3340"/>
              <w:gridCol w:w="3005"/>
              <w:gridCol w:w="759"/>
              <w:gridCol w:w="759"/>
              <w:gridCol w:w="759"/>
            </w:tblGrid>
            <w:tr w14:paraId="38B2D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65E2684C">
                  <w:pPr>
                    <w:adjustRightInd w:val="0"/>
                    <w:snapToGrid w:val="0"/>
                    <w:jc w:val="center"/>
                    <w:rPr>
                      <w:b/>
                      <w:bCs/>
                      <w:szCs w:val="21"/>
                    </w:rPr>
                  </w:pPr>
                  <w:r>
                    <w:rPr>
                      <w:rFonts w:hint="eastAsia"/>
                      <w:b/>
                      <w:bCs/>
                      <w:szCs w:val="21"/>
                    </w:rPr>
                    <w:t>序号</w:t>
                  </w:r>
                </w:p>
              </w:tc>
              <w:tc>
                <w:tcPr>
                  <w:tcW w:w="1796" w:type="pct"/>
                  <w:vAlign w:val="center"/>
                </w:tcPr>
                <w:p w14:paraId="39C80753">
                  <w:pPr>
                    <w:adjustRightInd w:val="0"/>
                    <w:snapToGrid w:val="0"/>
                    <w:jc w:val="center"/>
                    <w:rPr>
                      <w:b/>
                      <w:bCs/>
                      <w:szCs w:val="21"/>
                    </w:rPr>
                  </w:pPr>
                  <w:r>
                    <w:rPr>
                      <w:rFonts w:hint="eastAsia"/>
                      <w:b/>
                      <w:bCs/>
                      <w:szCs w:val="21"/>
                    </w:rPr>
                    <w:t>车间</w:t>
                  </w:r>
                </w:p>
              </w:tc>
              <w:tc>
                <w:tcPr>
                  <w:tcW w:w="1616" w:type="pct"/>
                  <w:vAlign w:val="center"/>
                </w:tcPr>
                <w:p w14:paraId="49CDBB37">
                  <w:pPr>
                    <w:adjustRightInd w:val="0"/>
                    <w:snapToGrid w:val="0"/>
                    <w:jc w:val="center"/>
                    <w:rPr>
                      <w:b/>
                      <w:bCs/>
                      <w:szCs w:val="21"/>
                    </w:rPr>
                  </w:pPr>
                  <w:r>
                    <w:rPr>
                      <w:rFonts w:hint="eastAsia"/>
                      <w:b/>
                      <w:bCs/>
                      <w:szCs w:val="21"/>
                    </w:rPr>
                    <w:t>设备名称</w:t>
                  </w:r>
                </w:p>
              </w:tc>
              <w:tc>
                <w:tcPr>
                  <w:tcW w:w="408" w:type="pct"/>
                  <w:vAlign w:val="center"/>
                </w:tcPr>
                <w:p w14:paraId="7494126E">
                  <w:pPr>
                    <w:adjustRightInd w:val="0"/>
                    <w:snapToGrid w:val="0"/>
                    <w:jc w:val="center"/>
                    <w:rPr>
                      <w:b/>
                      <w:bCs/>
                      <w:szCs w:val="21"/>
                    </w:rPr>
                  </w:pPr>
                  <w:r>
                    <w:rPr>
                      <w:rFonts w:hint="eastAsia"/>
                      <w:b/>
                      <w:bCs/>
                      <w:szCs w:val="21"/>
                    </w:rPr>
                    <w:t>单位</w:t>
                  </w:r>
                </w:p>
              </w:tc>
              <w:tc>
                <w:tcPr>
                  <w:tcW w:w="408" w:type="pct"/>
                  <w:vAlign w:val="center"/>
                </w:tcPr>
                <w:p w14:paraId="6F9403EA">
                  <w:pPr>
                    <w:adjustRightInd w:val="0"/>
                    <w:snapToGrid w:val="0"/>
                    <w:jc w:val="center"/>
                    <w:rPr>
                      <w:b/>
                      <w:bCs/>
                      <w:szCs w:val="21"/>
                    </w:rPr>
                  </w:pPr>
                  <w:r>
                    <w:rPr>
                      <w:rFonts w:hint="eastAsia"/>
                      <w:b/>
                      <w:bCs/>
                      <w:szCs w:val="21"/>
                    </w:rPr>
                    <w:t>数量</w:t>
                  </w:r>
                </w:p>
              </w:tc>
              <w:tc>
                <w:tcPr>
                  <w:tcW w:w="408" w:type="pct"/>
                  <w:vAlign w:val="center"/>
                </w:tcPr>
                <w:p w14:paraId="1C670EE3">
                  <w:pPr>
                    <w:adjustRightInd w:val="0"/>
                    <w:snapToGrid w:val="0"/>
                    <w:jc w:val="center"/>
                    <w:rPr>
                      <w:b/>
                      <w:bCs/>
                      <w:szCs w:val="21"/>
                    </w:rPr>
                  </w:pPr>
                  <w:r>
                    <w:rPr>
                      <w:rFonts w:hint="eastAsia"/>
                      <w:b/>
                      <w:bCs/>
                      <w:szCs w:val="21"/>
                    </w:rPr>
                    <w:t>备注</w:t>
                  </w:r>
                </w:p>
              </w:tc>
            </w:tr>
            <w:tr w14:paraId="7A06E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40D80E19">
                  <w:pPr>
                    <w:adjustRightInd w:val="0"/>
                    <w:snapToGrid w:val="0"/>
                    <w:jc w:val="center"/>
                    <w:rPr>
                      <w:szCs w:val="21"/>
                    </w:rPr>
                  </w:pPr>
                  <w:r>
                    <w:rPr>
                      <w:rFonts w:hint="eastAsia"/>
                      <w:szCs w:val="21"/>
                    </w:rPr>
                    <w:t>1</w:t>
                  </w:r>
                </w:p>
              </w:tc>
              <w:tc>
                <w:tcPr>
                  <w:tcW w:w="1796" w:type="pct"/>
                  <w:vMerge w:val="restart"/>
                  <w:vAlign w:val="center"/>
                </w:tcPr>
                <w:p w14:paraId="3BA1BA03">
                  <w:pPr>
                    <w:adjustRightInd w:val="0"/>
                    <w:snapToGrid w:val="0"/>
                    <w:jc w:val="center"/>
                    <w:rPr>
                      <w:szCs w:val="21"/>
                    </w:rPr>
                  </w:pPr>
                  <w:r>
                    <w:rPr>
                      <w:rFonts w:hint="eastAsia"/>
                      <w:szCs w:val="21"/>
                    </w:rPr>
                    <w:t>餐具清洗消毒生产车间</w:t>
                  </w:r>
                </w:p>
              </w:tc>
              <w:tc>
                <w:tcPr>
                  <w:tcW w:w="1616" w:type="pct"/>
                  <w:vAlign w:val="center"/>
                </w:tcPr>
                <w:p w14:paraId="4669D244">
                  <w:pPr>
                    <w:adjustRightInd w:val="0"/>
                    <w:snapToGrid w:val="0"/>
                    <w:jc w:val="center"/>
                    <w:rPr>
                      <w:szCs w:val="21"/>
                    </w:rPr>
                  </w:pPr>
                  <w:r>
                    <w:rPr>
                      <w:rFonts w:hint="eastAsia"/>
                      <w:szCs w:val="21"/>
                    </w:rPr>
                    <w:t>清洗消毒流水线设备</w:t>
                  </w:r>
                </w:p>
              </w:tc>
              <w:tc>
                <w:tcPr>
                  <w:tcW w:w="408" w:type="pct"/>
                  <w:vAlign w:val="center"/>
                </w:tcPr>
                <w:p w14:paraId="64B457FD">
                  <w:pPr>
                    <w:adjustRightInd w:val="0"/>
                    <w:snapToGrid w:val="0"/>
                    <w:jc w:val="center"/>
                    <w:rPr>
                      <w:szCs w:val="21"/>
                    </w:rPr>
                  </w:pPr>
                  <w:r>
                    <w:rPr>
                      <w:rFonts w:hint="eastAsia"/>
                      <w:szCs w:val="21"/>
                    </w:rPr>
                    <w:t>套</w:t>
                  </w:r>
                </w:p>
              </w:tc>
              <w:tc>
                <w:tcPr>
                  <w:tcW w:w="408" w:type="pct"/>
                  <w:shd w:val="clear" w:color="auto" w:fill="auto"/>
                  <w:vAlign w:val="center"/>
                </w:tcPr>
                <w:p w14:paraId="75A06437">
                  <w:pPr>
                    <w:adjustRightInd w:val="0"/>
                    <w:snapToGrid w:val="0"/>
                    <w:jc w:val="center"/>
                    <w:rPr>
                      <w:szCs w:val="21"/>
                    </w:rPr>
                  </w:pPr>
                  <w:r>
                    <w:rPr>
                      <w:rFonts w:hint="eastAsia"/>
                      <w:szCs w:val="21"/>
                    </w:rPr>
                    <w:t>1</w:t>
                  </w:r>
                </w:p>
              </w:tc>
              <w:tc>
                <w:tcPr>
                  <w:tcW w:w="408" w:type="pct"/>
                  <w:shd w:val="clear" w:color="auto" w:fill="auto"/>
                  <w:vAlign w:val="center"/>
                </w:tcPr>
                <w:p w14:paraId="253193FC">
                  <w:pPr>
                    <w:adjustRightInd w:val="0"/>
                    <w:snapToGrid w:val="0"/>
                    <w:jc w:val="center"/>
                    <w:rPr>
                      <w:szCs w:val="21"/>
                    </w:rPr>
                  </w:pPr>
                  <w:r>
                    <w:rPr>
                      <w:rFonts w:hint="eastAsia"/>
                      <w:szCs w:val="21"/>
                    </w:rPr>
                    <w:t>/</w:t>
                  </w:r>
                </w:p>
              </w:tc>
            </w:tr>
            <w:tr w14:paraId="5418F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755AD405">
                  <w:pPr>
                    <w:adjustRightInd w:val="0"/>
                    <w:snapToGrid w:val="0"/>
                    <w:jc w:val="center"/>
                    <w:rPr>
                      <w:szCs w:val="21"/>
                    </w:rPr>
                  </w:pPr>
                  <w:r>
                    <w:rPr>
                      <w:rFonts w:hint="eastAsia"/>
                      <w:szCs w:val="21"/>
                    </w:rPr>
                    <w:t>2</w:t>
                  </w:r>
                </w:p>
              </w:tc>
              <w:tc>
                <w:tcPr>
                  <w:tcW w:w="1796" w:type="pct"/>
                  <w:vMerge w:val="continue"/>
                  <w:vAlign w:val="center"/>
                </w:tcPr>
                <w:p w14:paraId="3884BD6D">
                  <w:pPr>
                    <w:adjustRightInd w:val="0"/>
                    <w:snapToGrid w:val="0"/>
                    <w:jc w:val="center"/>
                    <w:rPr>
                      <w:szCs w:val="21"/>
                    </w:rPr>
                  </w:pPr>
                </w:p>
              </w:tc>
              <w:tc>
                <w:tcPr>
                  <w:tcW w:w="1616" w:type="pct"/>
                  <w:vAlign w:val="center"/>
                </w:tcPr>
                <w:p w14:paraId="5763D0F1">
                  <w:pPr>
                    <w:adjustRightInd w:val="0"/>
                    <w:snapToGrid w:val="0"/>
                    <w:jc w:val="center"/>
                    <w:rPr>
                      <w:szCs w:val="21"/>
                    </w:rPr>
                  </w:pPr>
                  <w:r>
                    <w:rPr>
                      <w:rFonts w:hint="eastAsia"/>
                      <w:szCs w:val="21"/>
                    </w:rPr>
                    <w:t>自动化洗箱（周转箱）机</w:t>
                  </w:r>
                </w:p>
              </w:tc>
              <w:tc>
                <w:tcPr>
                  <w:tcW w:w="408" w:type="pct"/>
                  <w:vAlign w:val="center"/>
                </w:tcPr>
                <w:p w14:paraId="2B539F4B">
                  <w:pPr>
                    <w:adjustRightInd w:val="0"/>
                    <w:snapToGrid w:val="0"/>
                    <w:jc w:val="center"/>
                    <w:rPr>
                      <w:szCs w:val="21"/>
                    </w:rPr>
                  </w:pPr>
                  <w:r>
                    <w:rPr>
                      <w:rFonts w:hint="eastAsia"/>
                      <w:szCs w:val="21"/>
                    </w:rPr>
                    <w:t>台</w:t>
                  </w:r>
                </w:p>
              </w:tc>
              <w:tc>
                <w:tcPr>
                  <w:tcW w:w="408" w:type="pct"/>
                  <w:shd w:val="clear" w:color="auto" w:fill="auto"/>
                  <w:vAlign w:val="center"/>
                </w:tcPr>
                <w:p w14:paraId="4212CFBF">
                  <w:pPr>
                    <w:adjustRightInd w:val="0"/>
                    <w:snapToGrid w:val="0"/>
                    <w:jc w:val="center"/>
                    <w:rPr>
                      <w:szCs w:val="21"/>
                    </w:rPr>
                  </w:pPr>
                  <w:r>
                    <w:rPr>
                      <w:rFonts w:hint="eastAsia"/>
                      <w:szCs w:val="21"/>
                    </w:rPr>
                    <w:t>1</w:t>
                  </w:r>
                </w:p>
              </w:tc>
              <w:tc>
                <w:tcPr>
                  <w:tcW w:w="408" w:type="pct"/>
                  <w:shd w:val="clear" w:color="auto" w:fill="auto"/>
                  <w:vAlign w:val="center"/>
                </w:tcPr>
                <w:p w14:paraId="66B8A182">
                  <w:pPr>
                    <w:adjustRightInd w:val="0"/>
                    <w:snapToGrid w:val="0"/>
                    <w:jc w:val="center"/>
                    <w:rPr>
                      <w:szCs w:val="21"/>
                    </w:rPr>
                  </w:pPr>
                  <w:r>
                    <w:rPr>
                      <w:rFonts w:hint="eastAsia"/>
                      <w:szCs w:val="21"/>
                    </w:rPr>
                    <w:t>/</w:t>
                  </w:r>
                </w:p>
              </w:tc>
            </w:tr>
            <w:tr w14:paraId="23CB6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5BEB720C">
                  <w:pPr>
                    <w:adjustRightInd w:val="0"/>
                    <w:snapToGrid w:val="0"/>
                    <w:jc w:val="center"/>
                    <w:rPr>
                      <w:szCs w:val="21"/>
                    </w:rPr>
                  </w:pPr>
                  <w:r>
                    <w:rPr>
                      <w:rFonts w:hint="eastAsia"/>
                      <w:szCs w:val="21"/>
                    </w:rPr>
                    <w:t>3</w:t>
                  </w:r>
                </w:p>
              </w:tc>
              <w:tc>
                <w:tcPr>
                  <w:tcW w:w="1796" w:type="pct"/>
                  <w:vMerge w:val="continue"/>
                  <w:vAlign w:val="center"/>
                </w:tcPr>
                <w:p w14:paraId="72831BBC">
                  <w:pPr>
                    <w:adjustRightInd w:val="0"/>
                    <w:snapToGrid w:val="0"/>
                    <w:jc w:val="center"/>
                    <w:rPr>
                      <w:szCs w:val="21"/>
                    </w:rPr>
                  </w:pPr>
                </w:p>
              </w:tc>
              <w:tc>
                <w:tcPr>
                  <w:tcW w:w="1616" w:type="pct"/>
                  <w:vAlign w:val="center"/>
                </w:tcPr>
                <w:p w14:paraId="2ACBF249">
                  <w:pPr>
                    <w:adjustRightInd w:val="0"/>
                    <w:snapToGrid w:val="0"/>
                    <w:jc w:val="center"/>
                    <w:rPr>
                      <w:szCs w:val="21"/>
                    </w:rPr>
                  </w:pPr>
                  <w:r>
                    <w:rPr>
                      <w:rFonts w:hint="eastAsia"/>
                      <w:szCs w:val="21"/>
                    </w:rPr>
                    <w:t>紫外线杀菌灯</w:t>
                  </w:r>
                </w:p>
              </w:tc>
              <w:tc>
                <w:tcPr>
                  <w:tcW w:w="408" w:type="pct"/>
                  <w:vAlign w:val="center"/>
                </w:tcPr>
                <w:p w14:paraId="6D1A9F14">
                  <w:pPr>
                    <w:adjustRightInd w:val="0"/>
                    <w:snapToGrid w:val="0"/>
                    <w:jc w:val="center"/>
                    <w:rPr>
                      <w:szCs w:val="21"/>
                    </w:rPr>
                  </w:pPr>
                  <w:r>
                    <w:rPr>
                      <w:rFonts w:hint="eastAsia"/>
                      <w:szCs w:val="21"/>
                    </w:rPr>
                    <w:t>盏</w:t>
                  </w:r>
                </w:p>
              </w:tc>
              <w:tc>
                <w:tcPr>
                  <w:tcW w:w="408" w:type="pct"/>
                  <w:shd w:val="clear" w:color="auto" w:fill="auto"/>
                  <w:vAlign w:val="center"/>
                </w:tcPr>
                <w:p w14:paraId="3155A3D3">
                  <w:pPr>
                    <w:adjustRightInd w:val="0"/>
                    <w:snapToGrid w:val="0"/>
                    <w:jc w:val="center"/>
                    <w:rPr>
                      <w:szCs w:val="21"/>
                    </w:rPr>
                  </w:pPr>
                  <w:r>
                    <w:rPr>
                      <w:rFonts w:hint="eastAsia"/>
                      <w:szCs w:val="21"/>
                    </w:rPr>
                    <w:t>10</w:t>
                  </w:r>
                </w:p>
              </w:tc>
              <w:tc>
                <w:tcPr>
                  <w:tcW w:w="408" w:type="pct"/>
                  <w:shd w:val="clear" w:color="auto" w:fill="auto"/>
                  <w:vAlign w:val="center"/>
                </w:tcPr>
                <w:p w14:paraId="3D7A9C4F">
                  <w:pPr>
                    <w:adjustRightInd w:val="0"/>
                    <w:snapToGrid w:val="0"/>
                    <w:jc w:val="center"/>
                    <w:rPr>
                      <w:szCs w:val="21"/>
                    </w:rPr>
                  </w:pPr>
                  <w:r>
                    <w:rPr>
                      <w:rFonts w:hint="eastAsia"/>
                      <w:szCs w:val="21"/>
                    </w:rPr>
                    <w:t>/</w:t>
                  </w:r>
                </w:p>
              </w:tc>
            </w:tr>
            <w:tr w14:paraId="042DA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4D5078CB">
                  <w:pPr>
                    <w:adjustRightInd w:val="0"/>
                    <w:snapToGrid w:val="0"/>
                    <w:jc w:val="center"/>
                    <w:rPr>
                      <w:szCs w:val="21"/>
                    </w:rPr>
                  </w:pPr>
                  <w:r>
                    <w:rPr>
                      <w:rFonts w:hint="eastAsia"/>
                      <w:szCs w:val="21"/>
                    </w:rPr>
                    <w:t>4</w:t>
                  </w:r>
                </w:p>
              </w:tc>
              <w:tc>
                <w:tcPr>
                  <w:tcW w:w="1796" w:type="pct"/>
                  <w:vMerge w:val="continue"/>
                  <w:vAlign w:val="center"/>
                </w:tcPr>
                <w:p w14:paraId="2336E528">
                  <w:pPr>
                    <w:adjustRightInd w:val="0"/>
                    <w:snapToGrid w:val="0"/>
                    <w:jc w:val="center"/>
                    <w:rPr>
                      <w:szCs w:val="21"/>
                    </w:rPr>
                  </w:pPr>
                </w:p>
              </w:tc>
              <w:tc>
                <w:tcPr>
                  <w:tcW w:w="1616" w:type="pct"/>
                  <w:vAlign w:val="center"/>
                </w:tcPr>
                <w:p w14:paraId="0C01E81B">
                  <w:pPr>
                    <w:adjustRightInd w:val="0"/>
                    <w:snapToGrid w:val="0"/>
                    <w:jc w:val="center"/>
                    <w:rPr>
                      <w:szCs w:val="21"/>
                    </w:rPr>
                  </w:pPr>
                  <w:r>
                    <w:rPr>
                      <w:rFonts w:hint="eastAsia"/>
                      <w:szCs w:val="21"/>
                    </w:rPr>
                    <w:t>清洗消毒筐</w:t>
                  </w:r>
                </w:p>
              </w:tc>
              <w:tc>
                <w:tcPr>
                  <w:tcW w:w="408" w:type="pct"/>
                  <w:vAlign w:val="center"/>
                </w:tcPr>
                <w:p w14:paraId="40320C9B">
                  <w:pPr>
                    <w:adjustRightInd w:val="0"/>
                    <w:snapToGrid w:val="0"/>
                    <w:jc w:val="center"/>
                    <w:rPr>
                      <w:szCs w:val="21"/>
                    </w:rPr>
                  </w:pPr>
                  <w:r>
                    <w:rPr>
                      <w:rFonts w:hint="eastAsia"/>
                      <w:szCs w:val="21"/>
                    </w:rPr>
                    <w:t>个</w:t>
                  </w:r>
                </w:p>
              </w:tc>
              <w:tc>
                <w:tcPr>
                  <w:tcW w:w="408" w:type="pct"/>
                  <w:shd w:val="clear" w:color="auto" w:fill="auto"/>
                  <w:vAlign w:val="center"/>
                </w:tcPr>
                <w:p w14:paraId="5B1A6402">
                  <w:pPr>
                    <w:adjustRightInd w:val="0"/>
                    <w:snapToGrid w:val="0"/>
                    <w:jc w:val="center"/>
                    <w:rPr>
                      <w:szCs w:val="21"/>
                    </w:rPr>
                  </w:pPr>
                  <w:r>
                    <w:rPr>
                      <w:rFonts w:hint="eastAsia"/>
                      <w:szCs w:val="21"/>
                    </w:rPr>
                    <w:t>2</w:t>
                  </w:r>
                </w:p>
              </w:tc>
              <w:tc>
                <w:tcPr>
                  <w:tcW w:w="408" w:type="pct"/>
                  <w:shd w:val="clear" w:color="auto" w:fill="auto"/>
                  <w:vAlign w:val="center"/>
                </w:tcPr>
                <w:p w14:paraId="1E7B886E">
                  <w:pPr>
                    <w:adjustRightInd w:val="0"/>
                    <w:snapToGrid w:val="0"/>
                    <w:jc w:val="center"/>
                    <w:rPr>
                      <w:szCs w:val="21"/>
                    </w:rPr>
                  </w:pPr>
                  <w:r>
                    <w:rPr>
                      <w:rFonts w:hint="eastAsia"/>
                      <w:szCs w:val="21"/>
                    </w:rPr>
                    <w:t>/</w:t>
                  </w:r>
                </w:p>
              </w:tc>
            </w:tr>
            <w:tr w14:paraId="0FA84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66565B7E">
                  <w:pPr>
                    <w:adjustRightInd w:val="0"/>
                    <w:snapToGrid w:val="0"/>
                    <w:jc w:val="center"/>
                    <w:rPr>
                      <w:szCs w:val="21"/>
                    </w:rPr>
                  </w:pPr>
                  <w:r>
                    <w:rPr>
                      <w:rFonts w:hint="eastAsia"/>
                      <w:szCs w:val="21"/>
                    </w:rPr>
                    <w:t>5</w:t>
                  </w:r>
                </w:p>
              </w:tc>
              <w:tc>
                <w:tcPr>
                  <w:tcW w:w="1796" w:type="pct"/>
                  <w:vMerge w:val="continue"/>
                  <w:vAlign w:val="center"/>
                </w:tcPr>
                <w:p w14:paraId="1A00DDF2">
                  <w:pPr>
                    <w:adjustRightInd w:val="0"/>
                    <w:snapToGrid w:val="0"/>
                    <w:jc w:val="center"/>
                    <w:rPr>
                      <w:szCs w:val="21"/>
                    </w:rPr>
                  </w:pPr>
                </w:p>
              </w:tc>
              <w:tc>
                <w:tcPr>
                  <w:tcW w:w="1616" w:type="pct"/>
                  <w:vAlign w:val="center"/>
                </w:tcPr>
                <w:p w14:paraId="2E4F5958">
                  <w:pPr>
                    <w:adjustRightInd w:val="0"/>
                    <w:snapToGrid w:val="0"/>
                    <w:jc w:val="center"/>
                    <w:rPr>
                      <w:szCs w:val="21"/>
                    </w:rPr>
                  </w:pPr>
                  <w:r>
                    <w:rPr>
                      <w:rFonts w:hint="eastAsia"/>
                      <w:szCs w:val="21"/>
                    </w:rPr>
                    <w:t>餐具包装机</w:t>
                  </w:r>
                </w:p>
              </w:tc>
              <w:tc>
                <w:tcPr>
                  <w:tcW w:w="408" w:type="pct"/>
                  <w:vAlign w:val="center"/>
                </w:tcPr>
                <w:p w14:paraId="352342EF">
                  <w:pPr>
                    <w:adjustRightInd w:val="0"/>
                    <w:snapToGrid w:val="0"/>
                    <w:jc w:val="center"/>
                    <w:rPr>
                      <w:szCs w:val="21"/>
                    </w:rPr>
                  </w:pPr>
                  <w:r>
                    <w:rPr>
                      <w:rFonts w:hint="eastAsia"/>
                      <w:szCs w:val="21"/>
                    </w:rPr>
                    <w:t>组</w:t>
                  </w:r>
                </w:p>
              </w:tc>
              <w:tc>
                <w:tcPr>
                  <w:tcW w:w="408" w:type="pct"/>
                  <w:shd w:val="clear" w:color="auto" w:fill="auto"/>
                  <w:vAlign w:val="center"/>
                </w:tcPr>
                <w:p w14:paraId="24CBACFB">
                  <w:pPr>
                    <w:adjustRightInd w:val="0"/>
                    <w:snapToGrid w:val="0"/>
                    <w:jc w:val="center"/>
                    <w:rPr>
                      <w:szCs w:val="21"/>
                    </w:rPr>
                  </w:pPr>
                  <w:r>
                    <w:rPr>
                      <w:rFonts w:hint="eastAsia"/>
                      <w:szCs w:val="21"/>
                    </w:rPr>
                    <w:t>2</w:t>
                  </w:r>
                </w:p>
              </w:tc>
              <w:tc>
                <w:tcPr>
                  <w:tcW w:w="408" w:type="pct"/>
                  <w:shd w:val="clear" w:color="auto" w:fill="auto"/>
                  <w:vAlign w:val="center"/>
                </w:tcPr>
                <w:p w14:paraId="34B7F113">
                  <w:pPr>
                    <w:adjustRightInd w:val="0"/>
                    <w:snapToGrid w:val="0"/>
                    <w:jc w:val="center"/>
                    <w:rPr>
                      <w:szCs w:val="21"/>
                    </w:rPr>
                  </w:pPr>
                  <w:r>
                    <w:rPr>
                      <w:rFonts w:hint="eastAsia"/>
                      <w:szCs w:val="21"/>
                    </w:rPr>
                    <w:t>/</w:t>
                  </w:r>
                </w:p>
              </w:tc>
            </w:tr>
            <w:tr w14:paraId="086E5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4501096D">
                  <w:pPr>
                    <w:adjustRightInd w:val="0"/>
                    <w:snapToGrid w:val="0"/>
                    <w:jc w:val="center"/>
                    <w:rPr>
                      <w:szCs w:val="21"/>
                    </w:rPr>
                  </w:pPr>
                  <w:r>
                    <w:rPr>
                      <w:rFonts w:hint="eastAsia"/>
                      <w:szCs w:val="21"/>
                    </w:rPr>
                    <w:t>6</w:t>
                  </w:r>
                </w:p>
              </w:tc>
              <w:tc>
                <w:tcPr>
                  <w:tcW w:w="1796" w:type="pct"/>
                  <w:vMerge w:val="continue"/>
                  <w:vAlign w:val="center"/>
                </w:tcPr>
                <w:p w14:paraId="53D38572">
                  <w:pPr>
                    <w:adjustRightInd w:val="0"/>
                    <w:snapToGrid w:val="0"/>
                    <w:jc w:val="center"/>
                    <w:rPr>
                      <w:szCs w:val="21"/>
                    </w:rPr>
                  </w:pPr>
                </w:p>
              </w:tc>
              <w:tc>
                <w:tcPr>
                  <w:tcW w:w="1616" w:type="pct"/>
                  <w:vAlign w:val="center"/>
                </w:tcPr>
                <w:p w14:paraId="74B34100">
                  <w:pPr>
                    <w:adjustRightInd w:val="0"/>
                    <w:snapToGrid w:val="0"/>
                    <w:jc w:val="center"/>
                    <w:rPr>
                      <w:szCs w:val="21"/>
                    </w:rPr>
                  </w:pPr>
                  <w:r>
                    <w:rPr>
                      <w:rFonts w:hint="eastAsia"/>
                      <w:szCs w:val="21"/>
                    </w:rPr>
                    <w:t>筷子包装机</w:t>
                  </w:r>
                </w:p>
              </w:tc>
              <w:tc>
                <w:tcPr>
                  <w:tcW w:w="408" w:type="pct"/>
                  <w:vAlign w:val="center"/>
                </w:tcPr>
                <w:p w14:paraId="1BD18DFF">
                  <w:pPr>
                    <w:adjustRightInd w:val="0"/>
                    <w:snapToGrid w:val="0"/>
                    <w:jc w:val="center"/>
                    <w:rPr>
                      <w:szCs w:val="21"/>
                    </w:rPr>
                  </w:pPr>
                  <w:r>
                    <w:rPr>
                      <w:rFonts w:hint="eastAsia"/>
                      <w:szCs w:val="21"/>
                    </w:rPr>
                    <w:t>台</w:t>
                  </w:r>
                </w:p>
              </w:tc>
              <w:tc>
                <w:tcPr>
                  <w:tcW w:w="408" w:type="pct"/>
                  <w:shd w:val="clear" w:color="auto" w:fill="auto"/>
                  <w:vAlign w:val="center"/>
                </w:tcPr>
                <w:p w14:paraId="51411FD1">
                  <w:pPr>
                    <w:adjustRightInd w:val="0"/>
                    <w:snapToGrid w:val="0"/>
                    <w:jc w:val="center"/>
                    <w:rPr>
                      <w:szCs w:val="21"/>
                    </w:rPr>
                  </w:pPr>
                  <w:r>
                    <w:rPr>
                      <w:rFonts w:hint="eastAsia"/>
                      <w:szCs w:val="21"/>
                    </w:rPr>
                    <w:t>2</w:t>
                  </w:r>
                </w:p>
              </w:tc>
              <w:tc>
                <w:tcPr>
                  <w:tcW w:w="408" w:type="pct"/>
                  <w:shd w:val="clear" w:color="auto" w:fill="auto"/>
                  <w:vAlign w:val="center"/>
                </w:tcPr>
                <w:p w14:paraId="4A6E66E6">
                  <w:pPr>
                    <w:adjustRightInd w:val="0"/>
                    <w:snapToGrid w:val="0"/>
                    <w:jc w:val="center"/>
                    <w:rPr>
                      <w:szCs w:val="21"/>
                    </w:rPr>
                  </w:pPr>
                  <w:r>
                    <w:rPr>
                      <w:rFonts w:hint="eastAsia"/>
                      <w:szCs w:val="21"/>
                    </w:rPr>
                    <w:t>/</w:t>
                  </w:r>
                </w:p>
              </w:tc>
            </w:tr>
            <w:tr w14:paraId="2AFD8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0BAACA40">
                  <w:pPr>
                    <w:adjustRightInd w:val="0"/>
                    <w:snapToGrid w:val="0"/>
                    <w:jc w:val="center"/>
                    <w:rPr>
                      <w:szCs w:val="21"/>
                    </w:rPr>
                  </w:pPr>
                  <w:r>
                    <w:rPr>
                      <w:rFonts w:hint="eastAsia"/>
                      <w:szCs w:val="21"/>
                    </w:rPr>
                    <w:t>7</w:t>
                  </w:r>
                </w:p>
              </w:tc>
              <w:tc>
                <w:tcPr>
                  <w:tcW w:w="1796" w:type="pct"/>
                  <w:vMerge w:val="restart"/>
                  <w:vAlign w:val="center"/>
                </w:tcPr>
                <w:p w14:paraId="321DA024">
                  <w:pPr>
                    <w:adjustRightInd w:val="0"/>
                    <w:snapToGrid w:val="0"/>
                    <w:jc w:val="center"/>
                    <w:rPr>
                      <w:szCs w:val="21"/>
                    </w:rPr>
                  </w:pPr>
                  <w:r>
                    <w:rPr>
                      <w:rFonts w:hint="eastAsia"/>
                      <w:szCs w:val="21"/>
                    </w:rPr>
                    <w:t>酒店布草清洗消毒生产车间</w:t>
                  </w:r>
                </w:p>
              </w:tc>
              <w:tc>
                <w:tcPr>
                  <w:tcW w:w="1616" w:type="pct"/>
                  <w:vAlign w:val="center"/>
                </w:tcPr>
                <w:p w14:paraId="359542F8">
                  <w:pPr>
                    <w:adjustRightInd w:val="0"/>
                    <w:snapToGrid w:val="0"/>
                    <w:jc w:val="center"/>
                    <w:rPr>
                      <w:szCs w:val="21"/>
                    </w:rPr>
                  </w:pPr>
                  <w:r>
                    <w:rPr>
                      <w:rFonts w:hint="eastAsia"/>
                      <w:szCs w:val="21"/>
                    </w:rPr>
                    <w:t>洗水机</w:t>
                  </w:r>
                </w:p>
              </w:tc>
              <w:tc>
                <w:tcPr>
                  <w:tcW w:w="408" w:type="pct"/>
                  <w:vAlign w:val="center"/>
                </w:tcPr>
                <w:p w14:paraId="3A36FF48">
                  <w:pPr>
                    <w:adjustRightInd w:val="0"/>
                    <w:snapToGrid w:val="0"/>
                    <w:jc w:val="center"/>
                    <w:rPr>
                      <w:szCs w:val="21"/>
                    </w:rPr>
                  </w:pPr>
                  <w:r>
                    <w:rPr>
                      <w:rFonts w:hint="eastAsia"/>
                      <w:szCs w:val="21"/>
                    </w:rPr>
                    <w:t>台</w:t>
                  </w:r>
                </w:p>
              </w:tc>
              <w:tc>
                <w:tcPr>
                  <w:tcW w:w="408" w:type="pct"/>
                  <w:shd w:val="clear" w:color="auto" w:fill="auto"/>
                  <w:vAlign w:val="center"/>
                </w:tcPr>
                <w:p w14:paraId="6AEC492A">
                  <w:pPr>
                    <w:adjustRightInd w:val="0"/>
                    <w:snapToGrid w:val="0"/>
                    <w:jc w:val="center"/>
                    <w:rPr>
                      <w:szCs w:val="21"/>
                    </w:rPr>
                  </w:pPr>
                  <w:r>
                    <w:rPr>
                      <w:rFonts w:hint="eastAsia"/>
                      <w:szCs w:val="21"/>
                    </w:rPr>
                    <w:t>6</w:t>
                  </w:r>
                </w:p>
              </w:tc>
              <w:tc>
                <w:tcPr>
                  <w:tcW w:w="408" w:type="pct"/>
                  <w:shd w:val="clear" w:color="auto" w:fill="auto"/>
                  <w:vAlign w:val="center"/>
                </w:tcPr>
                <w:p w14:paraId="05BFD290">
                  <w:pPr>
                    <w:adjustRightInd w:val="0"/>
                    <w:snapToGrid w:val="0"/>
                    <w:jc w:val="center"/>
                    <w:rPr>
                      <w:szCs w:val="21"/>
                    </w:rPr>
                  </w:pPr>
                  <w:r>
                    <w:rPr>
                      <w:rFonts w:hint="eastAsia"/>
                      <w:szCs w:val="21"/>
                    </w:rPr>
                    <w:t>/</w:t>
                  </w:r>
                </w:p>
              </w:tc>
            </w:tr>
            <w:tr w14:paraId="1BCF3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5C16CC55">
                  <w:pPr>
                    <w:adjustRightInd w:val="0"/>
                    <w:snapToGrid w:val="0"/>
                    <w:jc w:val="center"/>
                    <w:rPr>
                      <w:szCs w:val="21"/>
                    </w:rPr>
                  </w:pPr>
                  <w:r>
                    <w:rPr>
                      <w:rFonts w:hint="eastAsia"/>
                      <w:szCs w:val="21"/>
                    </w:rPr>
                    <w:t>8</w:t>
                  </w:r>
                </w:p>
              </w:tc>
              <w:tc>
                <w:tcPr>
                  <w:tcW w:w="1796" w:type="pct"/>
                  <w:vMerge w:val="continue"/>
                  <w:vAlign w:val="center"/>
                </w:tcPr>
                <w:p w14:paraId="71A9AD78">
                  <w:pPr>
                    <w:adjustRightInd w:val="0"/>
                    <w:snapToGrid w:val="0"/>
                    <w:jc w:val="center"/>
                    <w:rPr>
                      <w:szCs w:val="21"/>
                    </w:rPr>
                  </w:pPr>
                </w:p>
              </w:tc>
              <w:tc>
                <w:tcPr>
                  <w:tcW w:w="1616" w:type="pct"/>
                  <w:vAlign w:val="center"/>
                </w:tcPr>
                <w:p w14:paraId="1570D792">
                  <w:pPr>
                    <w:adjustRightInd w:val="0"/>
                    <w:snapToGrid w:val="0"/>
                    <w:jc w:val="center"/>
                    <w:rPr>
                      <w:szCs w:val="21"/>
                    </w:rPr>
                  </w:pPr>
                  <w:r>
                    <w:rPr>
                      <w:rFonts w:hint="eastAsia"/>
                      <w:szCs w:val="21"/>
                    </w:rPr>
                    <w:t>烘干机</w:t>
                  </w:r>
                </w:p>
              </w:tc>
              <w:tc>
                <w:tcPr>
                  <w:tcW w:w="408" w:type="pct"/>
                  <w:vAlign w:val="center"/>
                </w:tcPr>
                <w:p w14:paraId="250AC300">
                  <w:pPr>
                    <w:adjustRightInd w:val="0"/>
                    <w:snapToGrid w:val="0"/>
                    <w:jc w:val="center"/>
                    <w:rPr>
                      <w:szCs w:val="21"/>
                    </w:rPr>
                  </w:pPr>
                  <w:r>
                    <w:rPr>
                      <w:rFonts w:hint="eastAsia"/>
                      <w:szCs w:val="21"/>
                    </w:rPr>
                    <w:t>台</w:t>
                  </w:r>
                </w:p>
              </w:tc>
              <w:tc>
                <w:tcPr>
                  <w:tcW w:w="408" w:type="pct"/>
                  <w:shd w:val="clear" w:color="auto" w:fill="auto"/>
                  <w:vAlign w:val="center"/>
                </w:tcPr>
                <w:p w14:paraId="28E78B01">
                  <w:pPr>
                    <w:adjustRightInd w:val="0"/>
                    <w:snapToGrid w:val="0"/>
                    <w:jc w:val="center"/>
                    <w:rPr>
                      <w:szCs w:val="21"/>
                    </w:rPr>
                  </w:pPr>
                  <w:r>
                    <w:rPr>
                      <w:rFonts w:hint="eastAsia"/>
                      <w:szCs w:val="21"/>
                    </w:rPr>
                    <w:t>5</w:t>
                  </w:r>
                </w:p>
              </w:tc>
              <w:tc>
                <w:tcPr>
                  <w:tcW w:w="408" w:type="pct"/>
                  <w:shd w:val="clear" w:color="auto" w:fill="auto"/>
                  <w:vAlign w:val="center"/>
                </w:tcPr>
                <w:p w14:paraId="55CC5B16">
                  <w:pPr>
                    <w:adjustRightInd w:val="0"/>
                    <w:snapToGrid w:val="0"/>
                    <w:jc w:val="center"/>
                    <w:rPr>
                      <w:szCs w:val="21"/>
                    </w:rPr>
                  </w:pPr>
                  <w:r>
                    <w:rPr>
                      <w:rFonts w:hint="eastAsia"/>
                      <w:szCs w:val="21"/>
                    </w:rPr>
                    <w:t>/</w:t>
                  </w:r>
                </w:p>
              </w:tc>
            </w:tr>
            <w:tr w14:paraId="2267A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78867166">
                  <w:pPr>
                    <w:adjustRightInd w:val="0"/>
                    <w:snapToGrid w:val="0"/>
                    <w:jc w:val="center"/>
                    <w:rPr>
                      <w:szCs w:val="21"/>
                    </w:rPr>
                  </w:pPr>
                  <w:r>
                    <w:rPr>
                      <w:rFonts w:hint="eastAsia"/>
                      <w:szCs w:val="21"/>
                    </w:rPr>
                    <w:t>9</w:t>
                  </w:r>
                </w:p>
              </w:tc>
              <w:tc>
                <w:tcPr>
                  <w:tcW w:w="1796" w:type="pct"/>
                  <w:vMerge w:val="continue"/>
                  <w:vAlign w:val="center"/>
                </w:tcPr>
                <w:p w14:paraId="58B955E2">
                  <w:pPr>
                    <w:adjustRightInd w:val="0"/>
                    <w:snapToGrid w:val="0"/>
                    <w:jc w:val="center"/>
                    <w:rPr>
                      <w:szCs w:val="21"/>
                    </w:rPr>
                  </w:pPr>
                </w:p>
              </w:tc>
              <w:tc>
                <w:tcPr>
                  <w:tcW w:w="1616" w:type="pct"/>
                  <w:vAlign w:val="center"/>
                </w:tcPr>
                <w:p w14:paraId="59209472">
                  <w:pPr>
                    <w:adjustRightInd w:val="0"/>
                    <w:snapToGrid w:val="0"/>
                    <w:jc w:val="center"/>
                    <w:rPr>
                      <w:szCs w:val="21"/>
                    </w:rPr>
                  </w:pPr>
                  <w:r>
                    <w:rPr>
                      <w:rFonts w:hint="eastAsia"/>
                      <w:szCs w:val="21"/>
                    </w:rPr>
                    <w:t>烫平机</w:t>
                  </w:r>
                </w:p>
              </w:tc>
              <w:tc>
                <w:tcPr>
                  <w:tcW w:w="408" w:type="pct"/>
                  <w:vAlign w:val="center"/>
                </w:tcPr>
                <w:p w14:paraId="51EBAEFB">
                  <w:pPr>
                    <w:adjustRightInd w:val="0"/>
                    <w:snapToGrid w:val="0"/>
                    <w:jc w:val="center"/>
                    <w:rPr>
                      <w:szCs w:val="21"/>
                    </w:rPr>
                  </w:pPr>
                  <w:r>
                    <w:rPr>
                      <w:rFonts w:hint="eastAsia"/>
                      <w:szCs w:val="21"/>
                    </w:rPr>
                    <w:t>台</w:t>
                  </w:r>
                </w:p>
              </w:tc>
              <w:tc>
                <w:tcPr>
                  <w:tcW w:w="408" w:type="pct"/>
                  <w:shd w:val="clear" w:color="auto" w:fill="auto"/>
                  <w:vAlign w:val="center"/>
                </w:tcPr>
                <w:p w14:paraId="59A4BDA8">
                  <w:pPr>
                    <w:adjustRightInd w:val="0"/>
                    <w:snapToGrid w:val="0"/>
                    <w:jc w:val="center"/>
                    <w:rPr>
                      <w:szCs w:val="21"/>
                    </w:rPr>
                  </w:pPr>
                  <w:r>
                    <w:rPr>
                      <w:rFonts w:hint="eastAsia"/>
                      <w:szCs w:val="21"/>
                    </w:rPr>
                    <w:t>2</w:t>
                  </w:r>
                </w:p>
              </w:tc>
              <w:tc>
                <w:tcPr>
                  <w:tcW w:w="408" w:type="pct"/>
                  <w:shd w:val="clear" w:color="auto" w:fill="auto"/>
                  <w:vAlign w:val="center"/>
                </w:tcPr>
                <w:p w14:paraId="200CB425">
                  <w:pPr>
                    <w:adjustRightInd w:val="0"/>
                    <w:snapToGrid w:val="0"/>
                    <w:jc w:val="center"/>
                    <w:rPr>
                      <w:szCs w:val="21"/>
                    </w:rPr>
                  </w:pPr>
                  <w:r>
                    <w:rPr>
                      <w:rFonts w:hint="eastAsia"/>
                      <w:szCs w:val="21"/>
                    </w:rPr>
                    <w:t>/</w:t>
                  </w:r>
                </w:p>
              </w:tc>
            </w:tr>
            <w:tr w14:paraId="63408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7DB0D9BA">
                  <w:pPr>
                    <w:adjustRightInd w:val="0"/>
                    <w:snapToGrid w:val="0"/>
                    <w:jc w:val="center"/>
                    <w:rPr>
                      <w:szCs w:val="21"/>
                    </w:rPr>
                  </w:pPr>
                  <w:r>
                    <w:rPr>
                      <w:rFonts w:hint="eastAsia"/>
                      <w:szCs w:val="21"/>
                    </w:rPr>
                    <w:t>10</w:t>
                  </w:r>
                </w:p>
              </w:tc>
              <w:tc>
                <w:tcPr>
                  <w:tcW w:w="1796" w:type="pct"/>
                  <w:vMerge w:val="continue"/>
                  <w:vAlign w:val="center"/>
                </w:tcPr>
                <w:p w14:paraId="049DBE84">
                  <w:pPr>
                    <w:adjustRightInd w:val="0"/>
                    <w:snapToGrid w:val="0"/>
                    <w:jc w:val="center"/>
                    <w:rPr>
                      <w:szCs w:val="21"/>
                    </w:rPr>
                  </w:pPr>
                </w:p>
              </w:tc>
              <w:tc>
                <w:tcPr>
                  <w:tcW w:w="1616" w:type="pct"/>
                  <w:shd w:val="clear" w:color="auto" w:fill="auto"/>
                  <w:vAlign w:val="center"/>
                </w:tcPr>
                <w:p w14:paraId="32A290DD">
                  <w:pPr>
                    <w:pStyle w:val="32"/>
                    <w:rPr>
                      <w:color w:val="000000" w:themeColor="text1"/>
                      <w:kern w:val="2"/>
                      <w:sz w:val="21"/>
                      <w14:textFill>
                        <w14:solidFill>
                          <w14:schemeClr w14:val="tx1"/>
                        </w14:solidFill>
                      </w14:textFill>
                    </w:rPr>
                  </w:pPr>
                  <w:r>
                    <w:rPr>
                      <w:rFonts w:hint="eastAsia"/>
                      <w:color w:val="000000" w:themeColor="text1"/>
                      <w14:textFill>
                        <w14:solidFill>
                          <w14:schemeClr w14:val="tx1"/>
                        </w14:solidFill>
                      </w14:textFill>
                    </w:rPr>
                    <w:t>自动折叠机</w:t>
                  </w:r>
                </w:p>
              </w:tc>
              <w:tc>
                <w:tcPr>
                  <w:tcW w:w="408" w:type="pct"/>
                  <w:shd w:val="clear" w:color="auto" w:fill="auto"/>
                  <w:vAlign w:val="center"/>
                </w:tcPr>
                <w:p w14:paraId="219C4FFE">
                  <w:pPr>
                    <w:adjustRightInd w:val="0"/>
                    <w:snapToGrid w:val="0"/>
                    <w:jc w:val="center"/>
                    <w:rPr>
                      <w:szCs w:val="21"/>
                    </w:rPr>
                  </w:pPr>
                  <w:r>
                    <w:rPr>
                      <w:rFonts w:hint="eastAsia"/>
                      <w:color w:val="000000" w:themeColor="text1"/>
                      <w14:textFill>
                        <w14:solidFill>
                          <w14:schemeClr w14:val="tx1"/>
                        </w14:solidFill>
                      </w14:textFill>
                    </w:rPr>
                    <w:t>台</w:t>
                  </w:r>
                </w:p>
              </w:tc>
              <w:tc>
                <w:tcPr>
                  <w:tcW w:w="408" w:type="pct"/>
                  <w:shd w:val="clear" w:color="auto" w:fill="auto"/>
                  <w:vAlign w:val="center"/>
                </w:tcPr>
                <w:p w14:paraId="04B597B9">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408" w:type="pct"/>
                  <w:shd w:val="clear" w:color="auto" w:fill="auto"/>
                  <w:vAlign w:val="center"/>
                </w:tcPr>
                <w:p w14:paraId="458A3C85">
                  <w:pPr>
                    <w:jc w:val="center"/>
                    <w:rPr>
                      <w:color w:val="000000" w:themeColor="text1"/>
                      <w:kern w:val="0"/>
                      <w:sz w:val="20"/>
                      <w:szCs w:val="20"/>
                      <w14:textFill>
                        <w14:solidFill>
                          <w14:schemeClr w14:val="tx1"/>
                        </w14:solidFill>
                      </w14:textFill>
                    </w:rPr>
                  </w:pPr>
                  <w:r>
                    <w:rPr>
                      <w:rFonts w:hint="eastAsia"/>
                      <w:szCs w:val="21"/>
                    </w:rPr>
                    <w:t>/</w:t>
                  </w:r>
                </w:p>
              </w:tc>
            </w:tr>
            <w:tr w14:paraId="4542C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3DE86691">
                  <w:pPr>
                    <w:adjustRightInd w:val="0"/>
                    <w:snapToGrid w:val="0"/>
                    <w:jc w:val="center"/>
                    <w:rPr>
                      <w:szCs w:val="21"/>
                    </w:rPr>
                  </w:pPr>
                  <w:r>
                    <w:rPr>
                      <w:rFonts w:hint="eastAsia"/>
                      <w:szCs w:val="21"/>
                    </w:rPr>
                    <w:t>11</w:t>
                  </w:r>
                </w:p>
              </w:tc>
              <w:tc>
                <w:tcPr>
                  <w:tcW w:w="1796" w:type="pct"/>
                  <w:vMerge w:val="restart"/>
                  <w:shd w:val="clear" w:color="auto" w:fill="auto"/>
                  <w:vAlign w:val="center"/>
                </w:tcPr>
                <w:p w14:paraId="17B3ABCF">
                  <w:pPr>
                    <w:adjustRightInd w:val="0"/>
                    <w:snapToGrid w:val="0"/>
                    <w:jc w:val="center"/>
                    <w:rPr>
                      <w:rFonts w:hint="eastAsia" w:eastAsia="宋体"/>
                      <w:szCs w:val="21"/>
                      <w:lang w:eastAsia="zh-CN"/>
                    </w:rPr>
                  </w:pPr>
                  <w:r>
                    <w:rPr>
                      <w:rFonts w:hint="eastAsia"/>
                      <w:szCs w:val="21"/>
                      <w:lang w:eastAsia="zh-CN"/>
                    </w:rPr>
                    <w:t>公用</w:t>
                  </w:r>
                </w:p>
              </w:tc>
              <w:tc>
                <w:tcPr>
                  <w:tcW w:w="1616" w:type="pct"/>
                  <w:shd w:val="clear" w:color="auto" w:fill="auto"/>
                  <w:vAlign w:val="center"/>
                </w:tcPr>
                <w:p w14:paraId="62D2E396">
                  <w:pPr>
                    <w:adjustRightInd w:val="0"/>
                    <w:snapToGrid w:val="0"/>
                    <w:jc w:val="center"/>
                    <w:rPr>
                      <w:szCs w:val="21"/>
                    </w:rPr>
                  </w:pPr>
                  <w:r>
                    <w:rPr>
                      <w:rFonts w:hint="eastAsia"/>
                      <w:szCs w:val="21"/>
                    </w:rPr>
                    <w:t>生物燃料锅炉</w:t>
                  </w:r>
                </w:p>
              </w:tc>
              <w:tc>
                <w:tcPr>
                  <w:tcW w:w="408" w:type="pct"/>
                  <w:shd w:val="clear" w:color="auto" w:fill="auto"/>
                  <w:vAlign w:val="center"/>
                </w:tcPr>
                <w:p w14:paraId="4F71E4F5">
                  <w:pPr>
                    <w:adjustRightInd w:val="0"/>
                    <w:snapToGrid w:val="0"/>
                    <w:jc w:val="center"/>
                    <w:rPr>
                      <w:szCs w:val="21"/>
                    </w:rPr>
                  </w:pPr>
                  <w:r>
                    <w:rPr>
                      <w:rFonts w:hint="eastAsia"/>
                      <w:szCs w:val="21"/>
                    </w:rPr>
                    <w:t>台</w:t>
                  </w:r>
                </w:p>
              </w:tc>
              <w:tc>
                <w:tcPr>
                  <w:tcW w:w="408" w:type="pct"/>
                  <w:shd w:val="clear" w:color="auto" w:fill="auto"/>
                  <w:vAlign w:val="center"/>
                </w:tcPr>
                <w:p w14:paraId="5F696152">
                  <w:pPr>
                    <w:adjustRightInd w:val="0"/>
                    <w:snapToGrid w:val="0"/>
                    <w:jc w:val="center"/>
                    <w:rPr>
                      <w:szCs w:val="21"/>
                    </w:rPr>
                  </w:pPr>
                  <w:r>
                    <w:rPr>
                      <w:rFonts w:hint="eastAsia"/>
                      <w:szCs w:val="21"/>
                    </w:rPr>
                    <w:t>1</w:t>
                  </w:r>
                </w:p>
              </w:tc>
              <w:tc>
                <w:tcPr>
                  <w:tcW w:w="408" w:type="pct"/>
                  <w:shd w:val="clear" w:color="auto" w:fill="auto"/>
                  <w:vAlign w:val="center"/>
                </w:tcPr>
                <w:p w14:paraId="68C76A37">
                  <w:pPr>
                    <w:adjustRightInd w:val="0"/>
                    <w:snapToGrid w:val="0"/>
                    <w:jc w:val="center"/>
                    <w:rPr>
                      <w:szCs w:val="21"/>
                    </w:rPr>
                  </w:pPr>
                  <w:r>
                    <w:rPr>
                      <w:rFonts w:hint="eastAsia"/>
                      <w:szCs w:val="21"/>
                      <w:lang w:val="en-US" w:eastAsia="zh-CN"/>
                    </w:rPr>
                    <w:t>2</w:t>
                  </w:r>
                  <w:r>
                    <w:rPr>
                      <w:rFonts w:hint="eastAsia"/>
                      <w:szCs w:val="21"/>
                    </w:rPr>
                    <w:t>t/h</w:t>
                  </w:r>
                </w:p>
              </w:tc>
            </w:tr>
            <w:tr w14:paraId="55AE9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2" w:type="pct"/>
                  <w:vAlign w:val="center"/>
                </w:tcPr>
                <w:p w14:paraId="2D0A3A4A">
                  <w:pPr>
                    <w:adjustRightInd w:val="0"/>
                    <w:snapToGrid w:val="0"/>
                    <w:jc w:val="center"/>
                    <w:rPr>
                      <w:szCs w:val="21"/>
                    </w:rPr>
                  </w:pPr>
                  <w:r>
                    <w:rPr>
                      <w:rFonts w:hint="eastAsia"/>
                      <w:szCs w:val="21"/>
                    </w:rPr>
                    <w:t>12</w:t>
                  </w:r>
                </w:p>
              </w:tc>
              <w:tc>
                <w:tcPr>
                  <w:tcW w:w="1796" w:type="pct"/>
                  <w:vMerge w:val="continue"/>
                  <w:shd w:val="clear" w:color="auto" w:fill="auto"/>
                  <w:vAlign w:val="center"/>
                </w:tcPr>
                <w:p w14:paraId="7C6B00B2">
                  <w:pPr>
                    <w:adjustRightInd w:val="0"/>
                    <w:snapToGrid w:val="0"/>
                    <w:jc w:val="center"/>
                    <w:rPr>
                      <w:szCs w:val="21"/>
                    </w:rPr>
                  </w:pPr>
                </w:p>
              </w:tc>
              <w:tc>
                <w:tcPr>
                  <w:tcW w:w="1616" w:type="pct"/>
                  <w:shd w:val="clear" w:color="auto" w:fill="auto"/>
                  <w:vAlign w:val="center"/>
                </w:tcPr>
                <w:p w14:paraId="3006A85F">
                  <w:pPr>
                    <w:adjustRightInd w:val="0"/>
                    <w:snapToGrid w:val="0"/>
                    <w:jc w:val="center"/>
                    <w:rPr>
                      <w:szCs w:val="21"/>
                    </w:rPr>
                  </w:pPr>
                  <w:r>
                    <w:rPr>
                      <w:rFonts w:hint="eastAsia"/>
                      <w:szCs w:val="21"/>
                    </w:rPr>
                    <w:t>软水制备</w:t>
                  </w:r>
                </w:p>
              </w:tc>
              <w:tc>
                <w:tcPr>
                  <w:tcW w:w="408" w:type="pct"/>
                  <w:shd w:val="clear" w:color="auto" w:fill="auto"/>
                  <w:vAlign w:val="center"/>
                </w:tcPr>
                <w:p w14:paraId="0A761A29">
                  <w:pPr>
                    <w:adjustRightInd w:val="0"/>
                    <w:snapToGrid w:val="0"/>
                    <w:jc w:val="center"/>
                    <w:rPr>
                      <w:szCs w:val="21"/>
                    </w:rPr>
                  </w:pPr>
                  <w:r>
                    <w:rPr>
                      <w:rFonts w:hint="eastAsia"/>
                      <w:szCs w:val="21"/>
                    </w:rPr>
                    <w:t>台</w:t>
                  </w:r>
                </w:p>
              </w:tc>
              <w:tc>
                <w:tcPr>
                  <w:tcW w:w="408" w:type="pct"/>
                  <w:shd w:val="clear" w:color="auto" w:fill="auto"/>
                  <w:vAlign w:val="center"/>
                </w:tcPr>
                <w:p w14:paraId="6FD63B9B">
                  <w:pPr>
                    <w:adjustRightInd w:val="0"/>
                    <w:snapToGrid w:val="0"/>
                    <w:jc w:val="center"/>
                    <w:rPr>
                      <w:szCs w:val="21"/>
                    </w:rPr>
                  </w:pPr>
                  <w:r>
                    <w:rPr>
                      <w:rFonts w:hint="eastAsia"/>
                      <w:szCs w:val="21"/>
                    </w:rPr>
                    <w:t>1</w:t>
                  </w:r>
                </w:p>
              </w:tc>
              <w:tc>
                <w:tcPr>
                  <w:tcW w:w="408" w:type="pct"/>
                  <w:shd w:val="clear" w:color="auto" w:fill="auto"/>
                  <w:vAlign w:val="center"/>
                </w:tcPr>
                <w:p w14:paraId="08B9A9AA">
                  <w:pPr>
                    <w:adjustRightInd w:val="0"/>
                    <w:snapToGrid w:val="0"/>
                    <w:jc w:val="center"/>
                    <w:rPr>
                      <w:szCs w:val="21"/>
                    </w:rPr>
                  </w:pPr>
                  <w:r>
                    <w:rPr>
                      <w:rFonts w:hint="eastAsia"/>
                      <w:szCs w:val="21"/>
                    </w:rPr>
                    <w:t>50t/h</w:t>
                  </w:r>
                </w:p>
              </w:tc>
            </w:tr>
          </w:tbl>
          <w:p w14:paraId="260D0F62">
            <w:pPr>
              <w:spacing w:line="360" w:lineRule="auto"/>
              <w:ind w:firstLine="482" w:firstLineChars="200"/>
              <w:rPr>
                <w:b/>
                <w:sz w:val="24"/>
              </w:rPr>
            </w:pPr>
            <w:r>
              <w:rPr>
                <w:rFonts w:hint="eastAsia"/>
                <w:b/>
                <w:sz w:val="24"/>
              </w:rPr>
              <w:t>5、公用工程</w:t>
            </w:r>
          </w:p>
          <w:p w14:paraId="5E13ED74">
            <w:pPr>
              <w:pStyle w:val="18"/>
              <w:adjustRightInd w:val="0"/>
              <w:snapToGrid w:val="0"/>
              <w:spacing w:after="0" w:line="360" w:lineRule="auto"/>
              <w:ind w:firstLine="482" w:firstLineChars="200"/>
              <w:rPr>
                <w:rFonts w:ascii="Times New Roman" w:hAnsi="Times New Roman"/>
                <w:b/>
                <w:sz w:val="24"/>
              </w:rPr>
            </w:pPr>
            <w:r>
              <w:rPr>
                <w:rFonts w:hint="eastAsia" w:ascii="Times New Roman" w:hAnsi="Times New Roman"/>
                <w:b/>
                <w:sz w:val="24"/>
              </w:rPr>
              <w:t>（1）给排水</w:t>
            </w:r>
          </w:p>
          <w:p w14:paraId="3D896697">
            <w:pPr>
              <w:adjustRightInd w:val="0"/>
              <w:snapToGrid w:val="0"/>
              <w:spacing w:line="360" w:lineRule="auto"/>
              <w:ind w:firstLine="482" w:firstLineChars="200"/>
              <w:rPr>
                <w:color w:val="auto"/>
                <w:sz w:val="24"/>
              </w:rPr>
            </w:pPr>
            <w:r>
              <w:rPr>
                <w:rFonts w:hint="eastAsia"/>
                <w:b/>
                <w:color w:val="auto"/>
                <w:sz w:val="24"/>
              </w:rPr>
              <w:t>给水</w:t>
            </w:r>
            <w:r>
              <w:rPr>
                <w:rFonts w:hint="eastAsia"/>
                <w:bCs/>
                <w:color w:val="auto"/>
                <w:sz w:val="24"/>
              </w:rPr>
              <w:t>：项目市政进行供水，</w:t>
            </w:r>
            <w:r>
              <w:rPr>
                <w:rFonts w:hint="eastAsia"/>
                <w:bCs/>
                <w:color w:val="auto"/>
                <w:sz w:val="24"/>
                <w:lang w:eastAsia="zh-CN"/>
              </w:rPr>
              <w:t>根据建设单位提供的数据，项目现有工程</w:t>
            </w:r>
            <w:r>
              <w:rPr>
                <w:rFonts w:hint="eastAsia"/>
                <w:bCs/>
                <w:color w:val="auto"/>
                <w:sz w:val="24"/>
              </w:rPr>
              <w:t>，生产、生活用水量</w:t>
            </w:r>
            <w:r>
              <w:rPr>
                <w:rFonts w:hint="eastAsia"/>
                <w:bCs/>
                <w:color w:val="auto"/>
                <w:sz w:val="24"/>
                <w:lang w:val="en-US" w:eastAsia="zh-CN"/>
              </w:rPr>
              <w:t>17275</w:t>
            </w:r>
            <w:r>
              <w:rPr>
                <w:rFonts w:hint="eastAsia"/>
                <w:color w:val="auto"/>
                <w:sz w:val="24"/>
              </w:rPr>
              <w:t>m</w:t>
            </w:r>
            <w:r>
              <w:rPr>
                <w:rFonts w:hint="eastAsia"/>
                <w:color w:val="auto"/>
                <w:sz w:val="24"/>
                <w:vertAlign w:val="superscript"/>
              </w:rPr>
              <w:t>3</w:t>
            </w:r>
            <w:r>
              <w:rPr>
                <w:rFonts w:hint="eastAsia"/>
                <w:color w:val="auto"/>
                <w:sz w:val="24"/>
              </w:rPr>
              <w:t>/a。</w:t>
            </w:r>
          </w:p>
          <w:p w14:paraId="5B317476">
            <w:pPr>
              <w:adjustRightInd w:val="0"/>
              <w:snapToGrid w:val="0"/>
              <w:spacing w:line="360" w:lineRule="auto"/>
              <w:ind w:firstLine="482" w:firstLineChars="200"/>
              <w:rPr>
                <w:bCs/>
                <w:sz w:val="24"/>
              </w:rPr>
            </w:pPr>
            <w:r>
              <w:rPr>
                <w:rFonts w:hint="eastAsia"/>
                <w:b/>
                <w:sz w:val="24"/>
              </w:rPr>
              <w:t>排水：</w:t>
            </w:r>
            <w:r>
              <w:rPr>
                <w:rFonts w:hint="eastAsia"/>
                <w:sz w:val="24"/>
              </w:rPr>
              <w:t>本项目实行雨污分流，雨水进入园区雨水管网，</w:t>
            </w:r>
            <w:r>
              <w:rPr>
                <w:rFonts w:hint="eastAsia"/>
                <w:bCs/>
                <w:sz w:val="24"/>
              </w:rPr>
              <w:t>根据项目原有环评，企业生产废水经筛网过滤+沉淀池处理，后企业进行自主升级，目前厂区</w:t>
            </w:r>
            <w:r>
              <w:rPr>
                <w:rFonts w:hint="eastAsia"/>
                <w:sz w:val="24"/>
              </w:rPr>
              <w:t>各车间生产废水经车间外预处理，后统一经厂区废水处理站气浮+生化处理，生活污水经化粪池处理，两股废水一并经通过厂区北侧污水排放口排至市政管网，纳入衡阳西渡高新区污水处理，</w:t>
            </w:r>
            <w:r>
              <w:rPr>
                <w:rFonts w:hint="eastAsia"/>
                <w:bCs/>
                <w:sz w:val="24"/>
              </w:rPr>
              <w:t>最终排入蒸水。</w:t>
            </w:r>
          </w:p>
          <w:p w14:paraId="134DC942">
            <w:pPr>
              <w:pStyle w:val="18"/>
              <w:adjustRightInd w:val="0"/>
              <w:snapToGrid w:val="0"/>
              <w:spacing w:after="0" w:line="360" w:lineRule="auto"/>
              <w:ind w:firstLine="458" w:firstLineChars="200"/>
              <w:rPr>
                <w:rFonts w:ascii="Times New Roman" w:hAnsi="Times New Roman"/>
                <w:b/>
                <w:spacing w:val="-6"/>
                <w:sz w:val="24"/>
              </w:rPr>
            </w:pPr>
            <w:r>
              <w:rPr>
                <w:rFonts w:hint="eastAsia" w:ascii="Times New Roman" w:hAnsi="Times New Roman"/>
                <w:b/>
                <w:spacing w:val="-6"/>
                <w:sz w:val="24"/>
              </w:rPr>
              <w:t>（2）供电</w:t>
            </w:r>
          </w:p>
          <w:p w14:paraId="2A2E9C27">
            <w:pPr>
              <w:adjustRightInd w:val="0"/>
              <w:snapToGrid w:val="0"/>
              <w:spacing w:line="360" w:lineRule="auto"/>
              <w:ind w:firstLine="480" w:firstLineChars="200"/>
              <w:rPr>
                <w:bCs/>
                <w:sz w:val="24"/>
              </w:rPr>
            </w:pPr>
            <w:r>
              <w:rPr>
                <w:bCs/>
                <w:sz w:val="24"/>
              </w:rPr>
              <w:t>项目用电来源于市政供电系统</w:t>
            </w:r>
            <w:r>
              <w:rPr>
                <w:rFonts w:hint="eastAsia"/>
                <w:bCs/>
                <w:sz w:val="24"/>
              </w:rPr>
              <w:t>。</w:t>
            </w:r>
          </w:p>
          <w:p w14:paraId="59296054">
            <w:pPr>
              <w:spacing w:line="360" w:lineRule="auto"/>
              <w:ind w:firstLine="482" w:firstLineChars="200"/>
              <w:rPr>
                <w:b/>
                <w:sz w:val="24"/>
              </w:rPr>
            </w:pPr>
            <w:r>
              <w:rPr>
                <w:rFonts w:hint="eastAsia"/>
                <w:b/>
                <w:sz w:val="24"/>
              </w:rPr>
              <w:t>6、工艺流程简介：</w:t>
            </w:r>
          </w:p>
          <w:p w14:paraId="23616064">
            <w:pPr>
              <w:autoSpaceDE w:val="0"/>
              <w:autoSpaceDN w:val="0"/>
              <w:adjustRightInd w:val="0"/>
              <w:spacing w:line="360" w:lineRule="auto"/>
              <w:ind w:firstLine="482" w:firstLineChars="200"/>
              <w:rPr>
                <w:sz w:val="24"/>
              </w:rPr>
            </w:pPr>
            <w:r>
              <w:rPr>
                <w:rFonts w:hint="eastAsia"/>
                <w:b/>
                <w:sz w:val="24"/>
              </w:rPr>
              <w:t>A、餐具清洗消毒生产线</w:t>
            </w:r>
            <w:r>
              <w:rPr>
                <w:rFonts w:hint="eastAsia"/>
                <w:sz w:val="24"/>
              </w:rPr>
              <w:t>：</w:t>
            </w:r>
          </w:p>
          <w:p w14:paraId="69BBA90D">
            <w:pPr>
              <w:pStyle w:val="33"/>
              <w:spacing w:line="360" w:lineRule="auto"/>
              <w:ind w:firstLine="480" w:firstLineChars="200"/>
              <w:rPr>
                <w:u w:val="single"/>
              </w:rPr>
            </w:pPr>
            <w:r>
              <w:rPr>
                <w:rFonts w:hint="eastAsia"/>
                <w:u w:val="single"/>
              </w:rPr>
              <w:t>人工将待洗的餐具从清洗消毒流水线入口端放入去渣机去渣，再进入一次粗洗</w:t>
            </w:r>
            <w:r>
              <w:rPr>
                <w:rFonts w:hint="eastAsia"/>
                <w:u w:val="single"/>
                <w:lang w:eastAsia="zh-CN"/>
              </w:rPr>
              <w:t>（</w:t>
            </w:r>
            <w:r>
              <w:rPr>
                <w:rFonts w:hint="eastAsia"/>
                <w:u w:val="single"/>
              </w:rPr>
              <w:t>40℃ 热水高压冲洗</w:t>
            </w:r>
            <w:r>
              <w:rPr>
                <w:rFonts w:hint="eastAsia"/>
                <w:u w:val="single"/>
                <w:lang w:eastAsia="zh-CN"/>
              </w:rPr>
              <w:t>）</w:t>
            </w:r>
            <w:r>
              <w:rPr>
                <w:rFonts w:hint="eastAsia"/>
                <w:u w:val="single"/>
              </w:rPr>
              <w:t>，粗洗后自动分拣按、杯、勺子、子分类，碗碟人工摆好位置入二次粗洗</w:t>
            </w:r>
            <w:r>
              <w:rPr>
                <w:rFonts w:hint="eastAsia"/>
                <w:u w:val="single"/>
                <w:lang w:eastAsia="zh-CN"/>
              </w:rPr>
              <w:t>（</w:t>
            </w:r>
            <w:r>
              <w:rPr>
                <w:rFonts w:hint="eastAsia"/>
                <w:u w:val="single"/>
              </w:rPr>
              <w:t>40℃热水高压冲洗</w:t>
            </w:r>
            <w:r>
              <w:rPr>
                <w:rFonts w:hint="eastAsia"/>
                <w:u w:val="single"/>
                <w:lang w:eastAsia="zh-CN"/>
              </w:rPr>
              <w:t>）</w:t>
            </w:r>
            <w:r>
              <w:rPr>
                <w:rFonts w:hint="eastAsia"/>
                <w:u w:val="single"/>
              </w:rPr>
              <w:t>，二次粗洗后再入浸泡池</w:t>
            </w:r>
            <w:r>
              <w:rPr>
                <w:rFonts w:hint="eastAsia"/>
                <w:u w:val="single"/>
                <w:lang w:eastAsia="zh-CN"/>
              </w:rPr>
              <w:t>（</w:t>
            </w:r>
            <w:r>
              <w:rPr>
                <w:rFonts w:hint="eastAsia"/>
                <w:u w:val="single"/>
              </w:rPr>
              <w:t>40℃热水</w:t>
            </w:r>
            <w:r>
              <w:rPr>
                <w:rFonts w:hint="eastAsia"/>
                <w:u w:val="single"/>
                <w:lang w:eastAsia="zh-CN"/>
              </w:rPr>
              <w:t>）</w:t>
            </w:r>
            <w:r>
              <w:rPr>
                <w:rFonts w:hint="eastAsia"/>
                <w:u w:val="single"/>
              </w:rPr>
              <w:t>，浸泡后进行精洗</w:t>
            </w:r>
            <w:r>
              <w:rPr>
                <w:rFonts w:hint="eastAsia"/>
                <w:u w:val="single"/>
                <w:lang w:eastAsia="zh-CN"/>
              </w:rPr>
              <w:t>（</w:t>
            </w:r>
            <w:r>
              <w:rPr>
                <w:rFonts w:hint="eastAsia"/>
                <w:u w:val="single"/>
              </w:rPr>
              <w:t>80℃热水高压冲洗</w:t>
            </w:r>
            <w:r>
              <w:rPr>
                <w:rFonts w:hint="eastAsia"/>
                <w:u w:val="single"/>
                <w:lang w:eastAsia="zh-CN"/>
              </w:rPr>
              <w:t>）</w:t>
            </w:r>
            <w:r>
              <w:rPr>
                <w:rFonts w:hint="eastAsia"/>
                <w:u w:val="single"/>
              </w:rPr>
              <w:t>，精洗后再入高温池</w:t>
            </w:r>
            <w:r>
              <w:rPr>
                <w:rFonts w:hint="eastAsia"/>
                <w:u w:val="single"/>
                <w:lang w:eastAsia="zh-CN"/>
              </w:rPr>
              <w:t>（</w:t>
            </w:r>
            <w:r>
              <w:rPr>
                <w:rFonts w:hint="eastAsia"/>
                <w:u w:val="single"/>
              </w:rPr>
              <w:t>80℃热水</w:t>
            </w:r>
            <w:r>
              <w:rPr>
                <w:rFonts w:hint="eastAsia"/>
                <w:u w:val="single"/>
                <w:lang w:eastAsia="zh-CN"/>
              </w:rPr>
              <w:t>）</w:t>
            </w:r>
            <w:r>
              <w:rPr>
                <w:rFonts w:hint="eastAsia"/>
                <w:u w:val="single"/>
              </w:rPr>
              <w:t>进一步清洗，然后进高温消毒设备</w:t>
            </w:r>
            <w:r>
              <w:rPr>
                <w:rFonts w:hint="eastAsia"/>
                <w:u w:val="single"/>
                <w:lang w:eastAsia="zh-CN"/>
              </w:rPr>
              <w:t>（</w:t>
            </w:r>
            <w:r>
              <w:rPr>
                <w:rFonts w:hint="eastAsia"/>
                <w:u w:val="single"/>
              </w:rPr>
              <w:t>电能，温度380℃，消毒时间不少于10分钟</w:t>
            </w:r>
            <w:r>
              <w:rPr>
                <w:rFonts w:hint="eastAsia"/>
                <w:u w:val="single"/>
                <w:lang w:eastAsia="zh-CN"/>
              </w:rPr>
              <w:t>）</w:t>
            </w:r>
            <w:r>
              <w:rPr>
                <w:rFonts w:hint="eastAsia"/>
                <w:u w:val="single"/>
              </w:rPr>
              <w:t>。</w:t>
            </w:r>
          </w:p>
          <w:p w14:paraId="5F5157EC">
            <w:pPr>
              <w:pStyle w:val="33"/>
              <w:spacing w:line="360" w:lineRule="auto"/>
              <w:ind w:firstLine="480" w:firstLineChars="200"/>
              <w:rPr>
                <w:u w:val="single"/>
              </w:rPr>
            </w:pPr>
            <w:r>
              <w:rPr>
                <w:rFonts w:hint="eastAsia"/>
                <w:u w:val="single"/>
              </w:rPr>
              <w:t>经一次粗洗后的杯、勺子入高温漫泡池</w:t>
            </w:r>
            <w:r>
              <w:rPr>
                <w:rFonts w:hint="eastAsia"/>
                <w:u w:val="single"/>
                <w:lang w:eastAsia="zh-CN"/>
              </w:rPr>
              <w:t>（</w:t>
            </w:r>
            <w:r>
              <w:rPr>
                <w:rFonts w:hint="eastAsia"/>
                <w:u w:val="single"/>
              </w:rPr>
              <w:t>80℃ 热水</w:t>
            </w:r>
            <w:r>
              <w:rPr>
                <w:rFonts w:hint="eastAsia"/>
                <w:u w:val="single"/>
                <w:lang w:eastAsia="zh-CN"/>
              </w:rPr>
              <w:t>）</w:t>
            </w:r>
            <w:r>
              <w:rPr>
                <w:rFonts w:hint="eastAsia"/>
                <w:u w:val="single"/>
              </w:rPr>
              <w:t>，漫泡后人工送入碗碟的后序清洗消毒线，即进行清洗，精洗后再入高温池进一步清洗</w:t>
            </w:r>
            <w:r>
              <w:rPr>
                <w:rFonts w:hint="eastAsia"/>
                <w:u w:val="single"/>
                <w:lang w:eastAsia="zh-CN"/>
              </w:rPr>
              <w:t>（</w:t>
            </w:r>
            <w:r>
              <w:rPr>
                <w:rFonts w:hint="eastAsia"/>
                <w:u w:val="single"/>
              </w:rPr>
              <w:t>80℃热水</w:t>
            </w:r>
            <w:r>
              <w:rPr>
                <w:rFonts w:hint="eastAsia"/>
                <w:u w:val="single"/>
                <w:lang w:eastAsia="zh-CN"/>
              </w:rPr>
              <w:t>）</w:t>
            </w:r>
            <w:r>
              <w:rPr>
                <w:rFonts w:hint="eastAsia"/>
                <w:u w:val="single"/>
              </w:rPr>
              <w:t>，然后进温消毒设备。</w:t>
            </w:r>
          </w:p>
          <w:p w14:paraId="4EA6F0C5">
            <w:pPr>
              <w:pStyle w:val="33"/>
              <w:spacing w:line="360" w:lineRule="auto"/>
              <w:ind w:firstLine="480" w:firstLineChars="200"/>
              <w:rPr>
                <w:u w:val="single"/>
              </w:rPr>
            </w:pPr>
            <w:r>
              <w:rPr>
                <w:rFonts w:hint="eastAsia"/>
                <w:u w:val="single"/>
              </w:rPr>
              <w:t>经一次粗洗后的筷子单独清洗</w:t>
            </w:r>
            <w:r>
              <w:rPr>
                <w:rFonts w:hint="eastAsia"/>
                <w:u w:val="single"/>
                <w:lang w:eastAsia="zh-CN"/>
              </w:rPr>
              <w:t>（</w:t>
            </w:r>
            <w:r>
              <w:rPr>
                <w:rFonts w:hint="eastAsia"/>
                <w:u w:val="single"/>
              </w:rPr>
              <w:t>40℃热水冲洗</w:t>
            </w:r>
            <w:r>
              <w:rPr>
                <w:rFonts w:hint="eastAsia"/>
                <w:u w:val="single"/>
                <w:lang w:eastAsia="zh-CN"/>
              </w:rPr>
              <w:t>）</w:t>
            </w:r>
            <w:r>
              <w:rPr>
                <w:rFonts w:hint="eastAsia"/>
                <w:u w:val="single"/>
              </w:rPr>
              <w:t>，清洗后人工送入烘干机</w:t>
            </w:r>
            <w:r>
              <w:rPr>
                <w:rFonts w:hint="eastAsia"/>
                <w:u w:val="single"/>
                <w:lang w:eastAsia="zh-CN"/>
              </w:rPr>
              <w:t>（</w:t>
            </w:r>
            <w:r>
              <w:rPr>
                <w:rFonts w:hint="eastAsia"/>
                <w:u w:val="single"/>
              </w:rPr>
              <w:t>电热烘干，烘干后人工送入碗碟的后序高温消毒线，即进高温消毒设备。</w:t>
            </w:r>
          </w:p>
          <w:p w14:paraId="756F8EF4">
            <w:pPr>
              <w:pStyle w:val="33"/>
              <w:spacing w:line="360" w:lineRule="auto"/>
              <w:ind w:firstLine="480" w:firstLineChars="200"/>
              <w:rPr>
                <w:u w:val="single"/>
              </w:rPr>
            </w:pPr>
            <w:r>
              <w:rPr>
                <w:rFonts w:hint="eastAsia"/>
                <w:u w:val="single"/>
              </w:rPr>
              <w:t>对经高温消毒从高温消毒设备出来的碗碟、杯、勺子、筷子进行人工分拣</w:t>
            </w:r>
            <w:r>
              <w:rPr>
                <w:rFonts w:hint="eastAsia"/>
                <w:u w:val="single"/>
                <w:lang w:eastAsia="zh-CN"/>
              </w:rPr>
              <w:t>，</w:t>
            </w:r>
            <w:r>
              <w:rPr>
                <w:rFonts w:hint="eastAsia"/>
                <w:u w:val="single"/>
              </w:rPr>
              <w:t>质检合格产品进行餐具配成套入自动包装线打包</w:t>
            </w:r>
            <w:r>
              <w:rPr>
                <w:rFonts w:hint="eastAsia"/>
                <w:u w:val="single"/>
                <w:lang w:eastAsia="zh-CN"/>
              </w:rPr>
              <w:t>（</w:t>
            </w:r>
            <w:r>
              <w:rPr>
                <w:rFonts w:hint="eastAsia"/>
                <w:u w:val="single"/>
              </w:rPr>
              <w:t>清洗不干净的餐具送至清洗消毒加洗洁精及少量消毒液清洗，再将碗碟送至粗洗工序再行清洗，杯、勺子入高温浸泡池中筷子单独清洗</w:t>
            </w:r>
            <w:r>
              <w:rPr>
                <w:rFonts w:hint="eastAsia"/>
                <w:u w:val="single"/>
                <w:lang w:eastAsia="zh-CN"/>
              </w:rPr>
              <w:t>，</w:t>
            </w:r>
            <w:r>
              <w:rPr>
                <w:rFonts w:hint="eastAsia"/>
                <w:u w:val="single"/>
              </w:rPr>
              <w:t>然后再进各自后序工序</w:t>
            </w:r>
            <w:r>
              <w:rPr>
                <w:rFonts w:hint="eastAsia"/>
                <w:u w:val="single"/>
                <w:lang w:eastAsia="zh-CN"/>
              </w:rPr>
              <w:t>，</w:t>
            </w:r>
            <w:r>
              <w:rPr>
                <w:rFonts w:hint="eastAsia"/>
                <w:u w:val="single"/>
              </w:rPr>
              <w:t>自动打包过程电加热膜刀温度于180℃左右便于及时切断打包好的膜，分离打包好的餐具，会有微量的有机废气产生，打包后的餐具人工装箱入库，最后外运至用户。</w:t>
            </w:r>
          </w:p>
          <w:p w14:paraId="53CC1B3A">
            <w:pPr>
              <w:pStyle w:val="33"/>
              <w:spacing w:line="360" w:lineRule="auto"/>
              <w:ind w:firstLine="480" w:firstLineChars="200"/>
              <w:rPr>
                <w:u w:val="single"/>
              </w:rPr>
            </w:pPr>
            <w:r>
              <w:rPr>
                <w:rFonts w:hint="eastAsia"/>
                <w:u w:val="single"/>
              </w:rPr>
              <w:t>装载脏餐具的周转箱人工送至自动化洗箱机</w:t>
            </w:r>
            <w:r>
              <w:rPr>
                <w:rFonts w:hint="eastAsia"/>
                <w:u w:val="single"/>
                <w:lang w:eastAsia="zh-CN"/>
              </w:rPr>
              <w:t>（</w:t>
            </w:r>
            <w:r>
              <w:rPr>
                <w:rFonts w:hint="eastAsia"/>
                <w:u w:val="single"/>
              </w:rPr>
              <w:t>40℃热水清洗，并添加洗洁精及少量消毒液</w:t>
            </w:r>
            <w:r>
              <w:rPr>
                <w:rFonts w:hint="eastAsia"/>
                <w:u w:val="single"/>
                <w:lang w:eastAsia="zh-CN"/>
              </w:rPr>
              <w:t>）</w:t>
            </w:r>
            <w:r>
              <w:rPr>
                <w:rFonts w:hint="eastAsia"/>
                <w:u w:val="single"/>
              </w:rPr>
              <w:t>自动化洗箱，洗好后自然干燥备用。</w:t>
            </w:r>
          </w:p>
          <w:p w14:paraId="583D722F">
            <w:pPr>
              <w:pStyle w:val="19"/>
              <w:jc w:val="left"/>
            </w:pPr>
            <w:r>
              <w:rPr>
                <w:rFonts w:hint="eastAsia"/>
              </w:rPr>
              <w:drawing>
                <wp:inline distT="0" distB="0" distL="114300" distR="114300">
                  <wp:extent cx="5887085" cy="8093075"/>
                  <wp:effectExtent l="0" t="0" r="18415" b="3175"/>
                  <wp:docPr id="40" name="图片 40" descr="94058a1802451dc6f91ab8481a485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4058a1802451dc6f91ab8481a4856a"/>
                          <pic:cNvPicPr>
                            <a:picLocks noChangeAspect="1"/>
                          </pic:cNvPicPr>
                        </pic:nvPicPr>
                        <pic:blipFill>
                          <a:blip r:embed="rId20"/>
                          <a:srcRect l="2174"/>
                          <a:stretch>
                            <a:fillRect/>
                          </a:stretch>
                        </pic:blipFill>
                        <pic:spPr>
                          <a:xfrm>
                            <a:off x="0" y="0"/>
                            <a:ext cx="5887085" cy="8093075"/>
                          </a:xfrm>
                          <a:prstGeom prst="rect">
                            <a:avLst/>
                          </a:prstGeom>
                        </pic:spPr>
                      </pic:pic>
                    </a:graphicData>
                  </a:graphic>
                </wp:inline>
              </w:drawing>
            </w:r>
          </w:p>
          <w:p w14:paraId="4852676A">
            <w:pPr>
              <w:autoSpaceDE w:val="0"/>
              <w:autoSpaceDN w:val="0"/>
              <w:adjustRightInd w:val="0"/>
              <w:spacing w:line="360" w:lineRule="auto"/>
              <w:ind w:firstLine="482" w:firstLineChars="200"/>
              <w:rPr>
                <w:b/>
                <w:sz w:val="24"/>
                <w:u w:val="wave"/>
              </w:rPr>
            </w:pPr>
          </w:p>
          <w:p w14:paraId="1C562E65">
            <w:pPr>
              <w:autoSpaceDE w:val="0"/>
              <w:autoSpaceDN w:val="0"/>
              <w:adjustRightInd w:val="0"/>
              <w:spacing w:line="360" w:lineRule="auto"/>
              <w:ind w:firstLine="482" w:firstLineChars="200"/>
              <w:rPr>
                <w:sz w:val="24"/>
              </w:rPr>
            </w:pPr>
            <w:r>
              <w:rPr>
                <w:rFonts w:hint="eastAsia"/>
                <w:b/>
                <w:sz w:val="24"/>
              </w:rPr>
              <w:t>B、酒店布草洗涤生产线</w:t>
            </w:r>
            <w:r>
              <w:rPr>
                <w:rFonts w:hint="eastAsia"/>
                <w:sz w:val="24"/>
              </w:rPr>
              <w:t>：</w:t>
            </w:r>
          </w:p>
          <w:p w14:paraId="313E86D9">
            <w:pPr>
              <w:pStyle w:val="33"/>
              <w:jc w:val="center"/>
            </w:pPr>
            <w:r>
              <w:drawing>
                <wp:inline distT="0" distB="0" distL="114300" distR="114300">
                  <wp:extent cx="4250055" cy="8159750"/>
                  <wp:effectExtent l="0" t="0" r="17145" b="1270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21"/>
                          <a:stretch>
                            <a:fillRect/>
                          </a:stretch>
                        </pic:blipFill>
                        <pic:spPr>
                          <a:xfrm>
                            <a:off x="0" y="0"/>
                            <a:ext cx="4250055" cy="8159750"/>
                          </a:xfrm>
                          <a:prstGeom prst="rect">
                            <a:avLst/>
                          </a:prstGeom>
                          <a:noFill/>
                          <a:ln>
                            <a:noFill/>
                          </a:ln>
                        </pic:spPr>
                      </pic:pic>
                    </a:graphicData>
                  </a:graphic>
                </wp:inline>
              </w:drawing>
            </w:r>
          </w:p>
          <w:p w14:paraId="46C8087A">
            <w:pPr>
              <w:adjustRightInd w:val="0"/>
              <w:snapToGrid w:val="0"/>
              <w:spacing w:line="360" w:lineRule="auto"/>
              <w:ind w:firstLine="480" w:firstLineChars="200"/>
              <w:rPr>
                <w:sz w:val="24"/>
              </w:rPr>
            </w:pPr>
            <w:r>
              <w:rPr>
                <w:rFonts w:hint="eastAsia"/>
                <w:sz w:val="24"/>
              </w:rPr>
              <w:t>首先将从酒店同收回的待洗涤消毒的布草人工选出毛巾、枕头套、床单被套三大类，分选分类时同时按脏污程度分堆。将分选好的布草按各自的各类分批洗涤</w:t>
            </w:r>
            <w:r>
              <w:rPr>
                <w:rFonts w:hint="eastAsia"/>
                <w:sz w:val="24"/>
                <w:lang w:eastAsia="zh-CN"/>
              </w:rPr>
              <w:t>（</w:t>
            </w:r>
            <w:r>
              <w:rPr>
                <w:rFonts w:hint="eastAsia"/>
                <w:sz w:val="24"/>
              </w:rPr>
              <w:t>洗涤各工序类似家庭使用洗衣机洗涤的各步骤</w:t>
            </w:r>
            <w:r>
              <w:rPr>
                <w:rFonts w:hint="eastAsia"/>
                <w:sz w:val="24"/>
                <w:lang w:eastAsia="zh-CN"/>
              </w:rPr>
              <w:t>）</w:t>
            </w:r>
            <w:r>
              <w:rPr>
                <w:rFonts w:hint="eastAsia"/>
                <w:sz w:val="24"/>
              </w:rPr>
              <w:t>消毒。先人工送至洗衣脱水机内</w:t>
            </w:r>
            <w:r>
              <w:rPr>
                <w:rFonts w:hint="eastAsia"/>
                <w:sz w:val="24"/>
                <w:lang w:eastAsia="zh-CN"/>
              </w:rPr>
              <w:t>（</w:t>
            </w:r>
            <w:r>
              <w:rPr>
                <w:rFonts w:hint="eastAsia"/>
                <w:sz w:val="24"/>
              </w:rPr>
              <w:t>加蒸汽、自来水，不加洗衣粉</w:t>
            </w:r>
            <w:r>
              <w:rPr>
                <w:rFonts w:hint="eastAsia"/>
                <w:sz w:val="24"/>
                <w:lang w:eastAsia="zh-CN"/>
              </w:rPr>
              <w:t>）</w:t>
            </w:r>
            <w:r>
              <w:rPr>
                <w:rFonts w:hint="eastAsia"/>
                <w:sz w:val="24"/>
              </w:rPr>
              <w:t>进行初洗，初洗后再在同一洗衣脱水机内进行二次洗涤</w:t>
            </w:r>
            <w:r>
              <w:rPr>
                <w:rFonts w:hint="eastAsia"/>
                <w:sz w:val="24"/>
                <w:lang w:eastAsia="zh-CN"/>
              </w:rPr>
              <w:t>（</w:t>
            </w:r>
            <w:r>
              <w:rPr>
                <w:rFonts w:hint="eastAsia"/>
                <w:sz w:val="24"/>
              </w:rPr>
              <w:t>加蒸汽、自来水，不加洗衣粉，部分太脏的需要添加少量的漂白剂</w:t>
            </w:r>
            <w:r>
              <w:rPr>
                <w:rFonts w:hint="eastAsia"/>
                <w:sz w:val="24"/>
                <w:lang w:eastAsia="zh-CN"/>
              </w:rPr>
              <w:t>）</w:t>
            </w:r>
            <w:r>
              <w:rPr>
                <w:rFonts w:hint="eastAsia"/>
                <w:sz w:val="24"/>
              </w:rPr>
              <w:t>，二次洗涤后再在同一洗衣脱水机内漂洗</w:t>
            </w:r>
            <w:r>
              <w:rPr>
                <w:rFonts w:hint="eastAsia"/>
                <w:sz w:val="24"/>
                <w:lang w:eastAsia="zh-CN"/>
              </w:rPr>
              <w:t>（</w:t>
            </w:r>
            <w:r>
              <w:rPr>
                <w:rFonts w:hint="eastAsia"/>
                <w:sz w:val="24"/>
              </w:rPr>
              <w:t>加自来水</w:t>
            </w:r>
            <w:r>
              <w:rPr>
                <w:rFonts w:hint="eastAsia"/>
                <w:sz w:val="24"/>
                <w:lang w:eastAsia="zh-CN"/>
              </w:rPr>
              <w:t>）</w:t>
            </w:r>
            <w:r>
              <w:rPr>
                <w:rFonts w:hint="eastAsia"/>
                <w:sz w:val="24"/>
              </w:rPr>
              <w:t>，漂洗完后同一洗衣脱水机甩干。毛巾、枕头套、床单被套在洗衣脱水机洗涤工序相同，后序工序有别。</w:t>
            </w:r>
          </w:p>
          <w:p w14:paraId="02F9FB67">
            <w:pPr>
              <w:adjustRightInd w:val="0"/>
              <w:snapToGrid w:val="0"/>
              <w:spacing w:line="360" w:lineRule="auto"/>
              <w:ind w:firstLine="480" w:firstLineChars="200"/>
              <w:rPr>
                <w:sz w:val="24"/>
              </w:rPr>
            </w:pPr>
            <w:r>
              <w:rPr>
                <w:rFonts w:hint="eastAsia"/>
                <w:sz w:val="24"/>
              </w:rPr>
              <w:t>毛巾漂洗甩干后人工送入烘干机烘干并高温消毒</w:t>
            </w:r>
            <w:r>
              <w:rPr>
                <w:rFonts w:hint="eastAsia"/>
                <w:sz w:val="24"/>
                <w:lang w:eastAsia="zh-CN"/>
              </w:rPr>
              <w:t>（</w:t>
            </w:r>
            <w:r>
              <w:rPr>
                <w:rFonts w:hint="eastAsia"/>
                <w:sz w:val="24"/>
              </w:rPr>
              <w:t>蒸汽间接加热烘干消毒，温度150℃</w:t>
            </w:r>
            <w:r>
              <w:rPr>
                <w:rFonts w:hint="eastAsia"/>
                <w:sz w:val="24"/>
                <w:lang w:eastAsia="zh-CN"/>
              </w:rPr>
              <w:t>）</w:t>
            </w:r>
            <w:r>
              <w:rPr>
                <w:rFonts w:hint="eastAsia"/>
                <w:sz w:val="24"/>
              </w:rPr>
              <w:t>，待毛巾接近烘干完毕出机时，用电动喷雾器向干机内用医用酒精稀释的香精除味加香，然后出机，人工用打包机将毛巾打包包装膜得产品入库。枕头套漂洗甩干后入平烫机平烫、干燥及消毒</w:t>
            </w:r>
            <w:r>
              <w:rPr>
                <w:rFonts w:hint="eastAsia"/>
                <w:sz w:val="24"/>
                <w:lang w:eastAsia="zh-CN"/>
              </w:rPr>
              <w:t>（</w:t>
            </w:r>
            <w:r>
              <w:rPr>
                <w:rFonts w:hint="eastAsia"/>
                <w:sz w:val="24"/>
              </w:rPr>
              <w:t>蒸汽间接加热，温度约180℃</w:t>
            </w:r>
            <w:r>
              <w:rPr>
                <w:rFonts w:hint="eastAsia"/>
                <w:sz w:val="24"/>
                <w:lang w:eastAsia="zh-CN"/>
              </w:rPr>
              <w:t>）</w:t>
            </w:r>
            <w:r>
              <w:rPr>
                <w:rFonts w:hint="eastAsia"/>
                <w:sz w:val="24"/>
              </w:rPr>
              <w:t>，然后人工打包入库。床单被套漂洗甩干后平烫机平烫、干燥及消毒</w:t>
            </w:r>
            <w:r>
              <w:rPr>
                <w:rFonts w:hint="eastAsia"/>
                <w:sz w:val="24"/>
                <w:lang w:eastAsia="zh-CN"/>
              </w:rPr>
              <w:t>（</w:t>
            </w:r>
            <w:r>
              <w:rPr>
                <w:rFonts w:hint="eastAsia"/>
                <w:sz w:val="24"/>
              </w:rPr>
              <w:t>蒸汽间接加热，温度约180℃</w:t>
            </w:r>
            <w:r>
              <w:rPr>
                <w:rFonts w:hint="eastAsia"/>
                <w:sz w:val="24"/>
                <w:lang w:eastAsia="zh-CN"/>
              </w:rPr>
              <w:t>）</w:t>
            </w:r>
            <w:r>
              <w:rPr>
                <w:rFonts w:hint="eastAsia"/>
                <w:sz w:val="24"/>
              </w:rPr>
              <w:t>，然后进自动折叠机折叠，人工打包入库。</w:t>
            </w:r>
          </w:p>
          <w:p w14:paraId="4B2E520B">
            <w:pPr>
              <w:adjustRightInd w:val="0"/>
              <w:spacing w:line="360" w:lineRule="auto"/>
              <w:ind w:firstLine="482" w:firstLineChars="200"/>
              <w:rPr>
                <w:rFonts w:hint="eastAsia" w:hAnsi="宋体"/>
                <w:b/>
                <w:sz w:val="24"/>
              </w:rPr>
            </w:pPr>
            <w:r>
              <w:rPr>
                <w:rFonts w:hint="eastAsia" w:hAnsi="宋体"/>
                <w:b/>
                <w:sz w:val="24"/>
              </w:rPr>
              <w:t>三、现有工程污染防治措施及达标分析</w:t>
            </w:r>
          </w:p>
          <w:p w14:paraId="4B0E4F9B">
            <w:pPr>
              <w:autoSpaceDE w:val="0"/>
              <w:autoSpaceDN w:val="0"/>
              <w:adjustRightInd w:val="0"/>
              <w:spacing w:line="360" w:lineRule="auto"/>
              <w:ind w:firstLine="482" w:firstLineChars="200"/>
              <w:rPr>
                <w:b/>
                <w:color w:val="auto"/>
                <w:sz w:val="24"/>
              </w:rPr>
            </w:pPr>
            <w:r>
              <w:rPr>
                <w:rFonts w:hint="eastAsia"/>
                <w:b/>
                <w:color w:val="auto"/>
                <w:sz w:val="24"/>
              </w:rPr>
              <w:t>1、废水及其治理措施</w:t>
            </w:r>
          </w:p>
          <w:p w14:paraId="2F9791F5">
            <w:pPr>
              <w:autoSpaceDE w:val="0"/>
              <w:autoSpaceDN w:val="0"/>
              <w:adjustRightInd w:val="0"/>
              <w:spacing w:line="360" w:lineRule="auto"/>
              <w:ind w:firstLine="480" w:firstLineChars="200"/>
              <w:rPr>
                <w:rFonts w:hint="eastAsia"/>
                <w:bCs/>
                <w:color w:val="auto"/>
                <w:sz w:val="24"/>
                <w:u w:val="single"/>
              </w:rPr>
            </w:pPr>
            <w:r>
              <w:rPr>
                <w:rFonts w:hint="eastAsia"/>
                <w:bCs/>
                <w:color w:val="auto"/>
                <w:sz w:val="24"/>
                <w:u w:val="single"/>
              </w:rPr>
              <w:t>该项目主要废水为生产洗涤废水经生化处理设施处理后达到《污水综合排放标准】</w:t>
            </w:r>
            <w:r>
              <w:rPr>
                <w:rFonts w:hint="eastAsia"/>
                <w:bCs/>
                <w:color w:val="auto"/>
                <w:sz w:val="24"/>
                <w:u w:val="single"/>
                <w:lang w:eastAsia="zh-CN"/>
              </w:rPr>
              <w:t>（</w:t>
            </w:r>
            <w:r>
              <w:rPr>
                <w:rFonts w:hint="eastAsia"/>
                <w:bCs/>
                <w:color w:val="auto"/>
                <w:sz w:val="24"/>
                <w:u w:val="single"/>
              </w:rPr>
              <w:t>GB8978-1996</w:t>
            </w:r>
            <w:r>
              <w:rPr>
                <w:rFonts w:hint="eastAsia"/>
                <w:bCs/>
                <w:color w:val="auto"/>
                <w:sz w:val="24"/>
                <w:u w:val="single"/>
                <w:lang w:eastAsia="zh-CN"/>
              </w:rPr>
              <w:t>）</w:t>
            </w:r>
            <w:r>
              <w:rPr>
                <w:rFonts w:hint="eastAsia"/>
                <w:bCs/>
                <w:color w:val="auto"/>
                <w:sz w:val="24"/>
                <w:u w:val="single"/>
              </w:rPr>
              <w:t>表4中三级标准后；生活污水经化粪池处理后达到《污水综合排放标准》</w:t>
            </w:r>
            <w:r>
              <w:rPr>
                <w:rFonts w:hint="eastAsia"/>
                <w:bCs/>
                <w:color w:val="auto"/>
                <w:sz w:val="24"/>
                <w:u w:val="single"/>
                <w:lang w:eastAsia="zh-CN"/>
              </w:rPr>
              <w:t>（</w:t>
            </w:r>
            <w:r>
              <w:rPr>
                <w:rFonts w:hint="eastAsia"/>
                <w:bCs/>
                <w:color w:val="auto"/>
                <w:sz w:val="24"/>
                <w:u w:val="single"/>
              </w:rPr>
              <w:t>GB8978-1996</w:t>
            </w:r>
            <w:r>
              <w:rPr>
                <w:rFonts w:hint="eastAsia"/>
                <w:bCs/>
                <w:color w:val="auto"/>
                <w:sz w:val="24"/>
                <w:u w:val="single"/>
                <w:lang w:eastAsia="zh-CN"/>
              </w:rPr>
              <w:t>）</w:t>
            </w:r>
            <w:r>
              <w:rPr>
                <w:rFonts w:hint="eastAsia"/>
                <w:bCs/>
                <w:color w:val="auto"/>
                <w:sz w:val="24"/>
                <w:u w:val="single"/>
              </w:rPr>
              <w:t>表4中三级标准后，一起排入园区污水处理厂处理后，最终排入蒸水。</w:t>
            </w:r>
          </w:p>
          <w:p w14:paraId="7F10D575">
            <w:pPr>
              <w:autoSpaceDE w:val="0"/>
              <w:autoSpaceDN w:val="0"/>
              <w:adjustRightInd w:val="0"/>
              <w:spacing w:line="360" w:lineRule="auto"/>
              <w:ind w:firstLine="480" w:firstLineChars="200"/>
              <w:rPr>
                <w:color w:val="auto"/>
                <w:sz w:val="24"/>
                <w:szCs w:val="21"/>
                <w:u w:val="single"/>
              </w:rPr>
            </w:pPr>
            <w:r>
              <w:rPr>
                <w:rFonts w:hint="eastAsia"/>
                <w:bCs/>
                <w:color w:val="auto"/>
                <w:sz w:val="24"/>
                <w:u w:val="single"/>
                <w:lang w:eastAsia="zh-CN"/>
              </w:rPr>
              <w:t>项目原环评规定项目洗涤废水经沉淀处理后排放，后实际生产企业对废水处理站自行进行了升级改造，增加了生化处理工艺，改造后</w:t>
            </w:r>
            <w:r>
              <w:rPr>
                <w:rFonts w:hint="eastAsia"/>
                <w:bCs/>
                <w:color w:val="auto"/>
                <w:sz w:val="24"/>
                <w:u w:val="single"/>
              </w:rPr>
              <w:t>废水处理工艺流程图详见下图，根据</w:t>
            </w:r>
            <w:r>
              <w:rPr>
                <w:rFonts w:hint="eastAsia"/>
                <w:bCs/>
                <w:color w:val="auto"/>
                <w:sz w:val="24"/>
                <w:u w:val="single"/>
                <w:lang w:eastAsia="zh-CN"/>
              </w:rPr>
              <w:t>公司环保竣工验收资料</w:t>
            </w:r>
            <w:r>
              <w:rPr>
                <w:rFonts w:hint="eastAsia"/>
                <w:bCs/>
                <w:color w:val="auto"/>
                <w:sz w:val="24"/>
                <w:u w:val="single"/>
              </w:rPr>
              <w:t>，</w:t>
            </w:r>
            <w:r>
              <w:rPr>
                <w:rFonts w:hint="eastAsia"/>
                <w:color w:val="auto"/>
                <w:sz w:val="24"/>
                <w:szCs w:val="21"/>
                <w:u w:val="single"/>
              </w:rPr>
              <w:t>项目厂区废水监测分析结果如表2-</w:t>
            </w:r>
            <w:r>
              <w:rPr>
                <w:rFonts w:hint="eastAsia"/>
                <w:color w:val="auto"/>
                <w:sz w:val="24"/>
                <w:szCs w:val="21"/>
                <w:u w:val="single"/>
                <w:lang w:val="en-US" w:eastAsia="zh-CN"/>
              </w:rPr>
              <w:t>9</w:t>
            </w:r>
            <w:r>
              <w:rPr>
                <w:rFonts w:hint="eastAsia"/>
                <w:color w:val="auto"/>
                <w:sz w:val="24"/>
                <w:szCs w:val="21"/>
                <w:u w:val="single"/>
              </w:rPr>
              <w:t>。</w:t>
            </w:r>
          </w:p>
          <w:p w14:paraId="43D9D5C6">
            <w:pPr>
              <w:pStyle w:val="33"/>
              <w:jc w:val="center"/>
              <w:rPr>
                <w:u w:val="single"/>
              </w:rPr>
            </w:pPr>
            <w:r>
              <w:rPr>
                <w:rFonts w:hint="eastAsia"/>
                <w:color w:val="auto"/>
                <w:szCs w:val="21"/>
                <w:u w:val="single"/>
              </w:rPr>
              <w:object>
                <v:shape id="_x0000_i1031" o:spt="75" type="#_x0000_t75" style="height:128.1pt;width:389.1pt;" o:ole="t" filled="f" o:preferrelative="t" stroked="f" coordsize="21600,21600">
                  <v:path/>
                  <v:fill on="f" focussize="0,0"/>
                  <v:stroke on="f"/>
                  <v:imagedata r:id="rId23" o:title=""/>
                  <o:lock v:ext="edit" aspectratio="f"/>
                  <w10:wrap type="none"/>
                  <w10:anchorlock/>
                </v:shape>
                <o:OLEObject Type="Embed" ProgID="Visio.Drawing.11" ShapeID="_x0000_i1031" DrawAspect="Content" ObjectID="_1468075731" r:id="rId22">
                  <o:LockedField>false</o:LockedField>
                </o:OLEObject>
              </w:object>
            </w:r>
          </w:p>
          <w:p w14:paraId="16EAF8E7">
            <w:pPr>
              <w:spacing w:before="120" w:beforeLines="50" w:after="120" w:afterLines="50"/>
              <w:jc w:val="center"/>
              <w:rPr>
                <w:b/>
                <w:bCs/>
                <w:szCs w:val="21"/>
                <w:u w:val="single"/>
              </w:rPr>
            </w:pPr>
            <w:r>
              <w:rPr>
                <w:rFonts w:hint="eastAsia"/>
                <w:b/>
                <w:bCs/>
                <w:szCs w:val="21"/>
                <w:u w:val="single"/>
              </w:rPr>
              <w:t>图2-7  废水处理工艺流程图</w:t>
            </w:r>
          </w:p>
          <w:p w14:paraId="4F5B85F1">
            <w:pPr>
              <w:spacing w:before="120" w:beforeLines="50" w:after="120" w:afterLines="50"/>
              <w:jc w:val="center"/>
              <w:rPr>
                <w:b/>
                <w:bCs/>
                <w:szCs w:val="21"/>
                <w:u w:val="single"/>
              </w:rPr>
            </w:pPr>
            <w:r>
              <w:rPr>
                <w:rFonts w:hint="eastAsia"/>
                <w:b/>
                <w:bCs/>
                <w:szCs w:val="21"/>
                <w:u w:val="single"/>
              </w:rPr>
              <w:t>表2-</w:t>
            </w:r>
            <w:r>
              <w:rPr>
                <w:rFonts w:hint="eastAsia"/>
                <w:b/>
                <w:bCs/>
                <w:szCs w:val="21"/>
                <w:u w:val="single"/>
                <w:lang w:val="en-US" w:eastAsia="zh-CN"/>
              </w:rPr>
              <w:t>9</w:t>
            </w:r>
            <w:r>
              <w:rPr>
                <w:rFonts w:hint="eastAsia"/>
                <w:b/>
                <w:bCs/>
                <w:szCs w:val="21"/>
                <w:u w:val="single"/>
              </w:rPr>
              <w:t>生产废水排口</w:t>
            </w:r>
            <w:r>
              <w:rPr>
                <w:b/>
                <w:bCs/>
                <w:szCs w:val="21"/>
                <w:u w:val="single"/>
              </w:rPr>
              <w:t>监测结果  单位：mg/</w:t>
            </w:r>
            <w:r>
              <w:rPr>
                <w:rFonts w:hint="eastAsia"/>
                <w:b/>
                <w:bCs/>
                <w:szCs w:val="21"/>
                <w:u w:val="single"/>
              </w:rPr>
              <w:t>L</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1108"/>
              <w:gridCol w:w="2255"/>
              <w:gridCol w:w="670"/>
              <w:gridCol w:w="670"/>
              <w:gridCol w:w="688"/>
              <w:gridCol w:w="936"/>
              <w:gridCol w:w="932"/>
              <w:gridCol w:w="930"/>
            </w:tblGrid>
            <w:tr w14:paraId="27CA5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restart"/>
                  <w:tcBorders>
                    <w:top w:val="single" w:color="auto" w:sz="4" w:space="0"/>
                    <w:left w:val="single" w:color="auto" w:sz="4" w:space="0"/>
                    <w:bottom w:val="single" w:color="auto" w:sz="4" w:space="0"/>
                    <w:right w:val="single" w:color="auto" w:sz="4" w:space="0"/>
                  </w:tcBorders>
                  <w:vAlign w:val="center"/>
                </w:tcPr>
                <w:p w14:paraId="052E4818">
                  <w:pPr>
                    <w:widowControl/>
                    <w:jc w:val="center"/>
                    <w:textAlignment w:val="center"/>
                    <w:rPr>
                      <w:b/>
                      <w:bCs/>
                      <w:kern w:val="0"/>
                      <w:szCs w:val="21"/>
                      <w:u w:val="single"/>
                    </w:rPr>
                  </w:pPr>
                  <w:r>
                    <w:rPr>
                      <w:rFonts w:hint="eastAsia" w:ascii="宋体" w:hAnsi="宋体" w:cs="宋体"/>
                      <w:b/>
                      <w:bCs/>
                      <w:kern w:val="0"/>
                      <w:szCs w:val="21"/>
                      <w:u w:val="single"/>
                      <w:lang w:bidi="ar"/>
                    </w:rPr>
                    <w:t>采样点位</w:t>
                  </w:r>
                </w:p>
              </w:tc>
              <w:tc>
                <w:tcPr>
                  <w:tcW w:w="596" w:type="pct"/>
                  <w:vMerge w:val="restart"/>
                  <w:tcBorders>
                    <w:top w:val="single" w:color="auto" w:sz="4" w:space="0"/>
                    <w:left w:val="single" w:color="auto" w:sz="4" w:space="0"/>
                    <w:bottom w:val="single" w:color="auto" w:sz="4" w:space="0"/>
                    <w:right w:val="single" w:color="auto" w:sz="4" w:space="0"/>
                  </w:tcBorders>
                  <w:vAlign w:val="center"/>
                </w:tcPr>
                <w:p w14:paraId="5B907684">
                  <w:pPr>
                    <w:widowControl/>
                    <w:jc w:val="center"/>
                    <w:textAlignment w:val="center"/>
                    <w:rPr>
                      <w:b/>
                      <w:bCs/>
                      <w:kern w:val="0"/>
                      <w:szCs w:val="21"/>
                      <w:u w:val="single"/>
                    </w:rPr>
                  </w:pPr>
                  <w:r>
                    <w:rPr>
                      <w:rFonts w:hint="eastAsia" w:ascii="宋体" w:hAnsi="宋体" w:cs="宋体"/>
                      <w:b/>
                      <w:bCs/>
                      <w:kern w:val="0"/>
                      <w:szCs w:val="21"/>
                      <w:u w:val="single"/>
                      <w:lang w:bidi="ar"/>
                    </w:rPr>
                    <w:t>检测时间</w:t>
                  </w:r>
                </w:p>
              </w:tc>
              <w:tc>
                <w:tcPr>
                  <w:tcW w:w="1212" w:type="pct"/>
                  <w:vMerge w:val="restart"/>
                  <w:tcBorders>
                    <w:top w:val="single" w:color="auto" w:sz="4" w:space="0"/>
                    <w:left w:val="single" w:color="auto" w:sz="4" w:space="0"/>
                    <w:bottom w:val="single" w:color="auto" w:sz="4" w:space="0"/>
                    <w:right w:val="single" w:color="auto" w:sz="4" w:space="0"/>
                  </w:tcBorders>
                  <w:vAlign w:val="center"/>
                </w:tcPr>
                <w:p w14:paraId="501F8FD3">
                  <w:pPr>
                    <w:widowControl/>
                    <w:jc w:val="center"/>
                    <w:textAlignment w:val="center"/>
                    <w:rPr>
                      <w:b/>
                      <w:bCs/>
                      <w:kern w:val="0"/>
                      <w:szCs w:val="21"/>
                      <w:u w:val="single"/>
                    </w:rPr>
                  </w:pPr>
                  <w:r>
                    <w:rPr>
                      <w:rFonts w:hint="eastAsia" w:ascii="宋体" w:hAnsi="宋体" w:cs="宋体"/>
                      <w:b/>
                      <w:bCs/>
                      <w:kern w:val="0"/>
                      <w:szCs w:val="21"/>
                      <w:u w:val="single"/>
                      <w:lang w:bidi="ar"/>
                    </w:rPr>
                    <w:t>检测项目</w:t>
                  </w:r>
                </w:p>
              </w:tc>
              <w:tc>
                <w:tcPr>
                  <w:tcW w:w="1593" w:type="pct"/>
                  <w:gridSpan w:val="4"/>
                  <w:tcBorders>
                    <w:top w:val="single" w:color="auto" w:sz="4" w:space="0"/>
                    <w:left w:val="single" w:color="auto" w:sz="4" w:space="0"/>
                    <w:bottom w:val="single" w:color="auto" w:sz="4" w:space="0"/>
                    <w:right w:val="single" w:color="auto" w:sz="4" w:space="0"/>
                  </w:tcBorders>
                  <w:vAlign w:val="center"/>
                </w:tcPr>
                <w:p w14:paraId="65DD84BD">
                  <w:pPr>
                    <w:widowControl/>
                    <w:jc w:val="center"/>
                    <w:textAlignment w:val="center"/>
                    <w:rPr>
                      <w:rFonts w:hint="eastAsia" w:ascii="宋体" w:hAnsi="宋体" w:cs="宋体"/>
                      <w:b/>
                      <w:bCs/>
                      <w:kern w:val="0"/>
                      <w:szCs w:val="21"/>
                      <w:u w:val="single"/>
                      <w:lang w:bidi="ar"/>
                    </w:rPr>
                  </w:pPr>
                  <w:r>
                    <w:rPr>
                      <w:rFonts w:hint="eastAsia" w:ascii="宋体" w:hAnsi="宋体" w:cs="宋体"/>
                      <w:b/>
                      <w:bCs/>
                      <w:kern w:val="0"/>
                      <w:szCs w:val="21"/>
                      <w:u w:val="single"/>
                      <w:lang w:bidi="ar"/>
                    </w:rPr>
                    <w:t>检测结果</w:t>
                  </w:r>
                </w:p>
              </w:tc>
              <w:tc>
                <w:tcPr>
                  <w:tcW w:w="501" w:type="pct"/>
                  <w:vMerge w:val="restart"/>
                  <w:tcBorders>
                    <w:top w:val="single" w:color="auto" w:sz="4" w:space="0"/>
                    <w:left w:val="single" w:color="auto" w:sz="4" w:space="0"/>
                    <w:bottom w:val="single" w:color="auto" w:sz="4" w:space="0"/>
                    <w:right w:val="single" w:color="auto" w:sz="4" w:space="0"/>
                  </w:tcBorders>
                  <w:vAlign w:val="center"/>
                </w:tcPr>
                <w:p w14:paraId="7E3A46DC">
                  <w:pPr>
                    <w:widowControl/>
                    <w:jc w:val="center"/>
                    <w:textAlignment w:val="center"/>
                    <w:rPr>
                      <w:b/>
                      <w:bCs/>
                      <w:kern w:val="0"/>
                      <w:szCs w:val="21"/>
                      <w:u w:val="single"/>
                    </w:rPr>
                  </w:pPr>
                  <w:r>
                    <w:rPr>
                      <w:rFonts w:hint="eastAsia" w:ascii="宋体" w:hAnsi="宋体" w:cs="宋体"/>
                      <w:b/>
                      <w:bCs/>
                      <w:kern w:val="0"/>
                      <w:szCs w:val="21"/>
                      <w:u w:val="single"/>
                      <w:lang w:bidi="ar"/>
                    </w:rPr>
                    <w:t>标准限值</w:t>
                  </w:r>
                </w:p>
              </w:tc>
              <w:tc>
                <w:tcPr>
                  <w:tcW w:w="500" w:type="pct"/>
                  <w:vMerge w:val="restart"/>
                  <w:tcBorders>
                    <w:top w:val="single" w:color="auto" w:sz="4" w:space="0"/>
                    <w:left w:val="single" w:color="auto" w:sz="4" w:space="0"/>
                    <w:bottom w:val="single" w:color="auto" w:sz="4" w:space="0"/>
                    <w:right w:val="single" w:color="auto" w:sz="4" w:space="0"/>
                  </w:tcBorders>
                  <w:vAlign w:val="center"/>
                </w:tcPr>
                <w:p w14:paraId="1CBD5DF6">
                  <w:pPr>
                    <w:widowControl/>
                    <w:jc w:val="center"/>
                    <w:textAlignment w:val="center"/>
                    <w:rPr>
                      <w:b/>
                      <w:bCs/>
                      <w:kern w:val="0"/>
                      <w:szCs w:val="21"/>
                      <w:u w:val="single"/>
                    </w:rPr>
                  </w:pPr>
                  <w:r>
                    <w:rPr>
                      <w:rFonts w:hint="eastAsia" w:ascii="宋体" w:hAnsi="宋体" w:cs="宋体"/>
                      <w:b/>
                      <w:bCs/>
                      <w:kern w:val="0"/>
                      <w:szCs w:val="21"/>
                      <w:u w:val="single"/>
                      <w:lang w:bidi="ar"/>
                    </w:rPr>
                    <w:t>是否达标</w:t>
                  </w:r>
                </w:p>
              </w:tc>
            </w:tr>
            <w:tr w14:paraId="655CC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single" w:color="auto" w:sz="4" w:space="0"/>
                    <w:left w:val="single" w:color="auto" w:sz="4" w:space="0"/>
                    <w:bottom w:val="single" w:color="auto" w:sz="4" w:space="0"/>
                    <w:right w:val="single" w:color="auto" w:sz="4" w:space="0"/>
                  </w:tcBorders>
                  <w:vAlign w:val="center"/>
                </w:tcPr>
                <w:p w14:paraId="18DA05A9">
                  <w:pPr>
                    <w:rPr>
                      <w:szCs w:val="21"/>
                      <w:u w:val="single"/>
                    </w:rPr>
                  </w:pPr>
                </w:p>
              </w:tc>
              <w:tc>
                <w:tcPr>
                  <w:tcW w:w="596" w:type="pct"/>
                  <w:vMerge w:val="continue"/>
                  <w:tcBorders>
                    <w:top w:val="single" w:color="auto" w:sz="4" w:space="0"/>
                    <w:left w:val="single" w:color="auto" w:sz="4" w:space="0"/>
                    <w:bottom w:val="single" w:color="auto" w:sz="4" w:space="0"/>
                    <w:right w:val="single" w:color="auto" w:sz="4" w:space="0"/>
                  </w:tcBorders>
                  <w:vAlign w:val="center"/>
                </w:tcPr>
                <w:p w14:paraId="7F17E7E7">
                  <w:pPr>
                    <w:rPr>
                      <w:szCs w:val="21"/>
                      <w:u w:val="single"/>
                    </w:rPr>
                  </w:pPr>
                </w:p>
              </w:tc>
              <w:tc>
                <w:tcPr>
                  <w:tcW w:w="1212" w:type="pct"/>
                  <w:vMerge w:val="continue"/>
                  <w:tcBorders>
                    <w:top w:val="single" w:color="auto" w:sz="4" w:space="0"/>
                    <w:left w:val="single" w:color="auto" w:sz="4" w:space="0"/>
                    <w:bottom w:val="single" w:color="auto" w:sz="4" w:space="0"/>
                    <w:right w:val="single" w:color="auto" w:sz="4" w:space="0"/>
                  </w:tcBorders>
                  <w:vAlign w:val="center"/>
                </w:tcPr>
                <w:p w14:paraId="53287C02">
                  <w:pPr>
                    <w:rPr>
                      <w:szCs w:val="21"/>
                      <w:u w:val="single"/>
                    </w:rPr>
                  </w:pPr>
                </w:p>
              </w:tc>
              <w:tc>
                <w:tcPr>
                  <w:tcW w:w="360" w:type="pct"/>
                  <w:tcBorders>
                    <w:top w:val="single" w:color="auto" w:sz="4" w:space="0"/>
                    <w:left w:val="single" w:color="auto" w:sz="4" w:space="0"/>
                    <w:bottom w:val="single" w:color="auto" w:sz="4" w:space="0"/>
                    <w:right w:val="single" w:color="auto" w:sz="4" w:space="0"/>
                  </w:tcBorders>
                  <w:vAlign w:val="center"/>
                </w:tcPr>
                <w:p w14:paraId="532A3291">
                  <w:pPr>
                    <w:jc w:val="center"/>
                    <w:rPr>
                      <w:b/>
                      <w:bCs/>
                      <w:kern w:val="0"/>
                      <w:szCs w:val="21"/>
                      <w:u w:val="single"/>
                    </w:rPr>
                  </w:pPr>
                  <w:r>
                    <w:rPr>
                      <w:b/>
                      <w:bCs/>
                      <w:szCs w:val="21"/>
                      <w:u w:val="single"/>
                      <w:lang w:bidi="ar"/>
                    </w:rPr>
                    <w:t>Ⅰ</w:t>
                  </w:r>
                </w:p>
              </w:tc>
              <w:tc>
                <w:tcPr>
                  <w:tcW w:w="360" w:type="pct"/>
                  <w:tcBorders>
                    <w:top w:val="single" w:color="auto" w:sz="4" w:space="0"/>
                    <w:left w:val="single" w:color="auto" w:sz="4" w:space="0"/>
                    <w:bottom w:val="single" w:color="auto" w:sz="4" w:space="0"/>
                    <w:right w:val="single" w:color="auto" w:sz="4" w:space="0"/>
                  </w:tcBorders>
                  <w:vAlign w:val="center"/>
                </w:tcPr>
                <w:p w14:paraId="14E2B65A">
                  <w:pPr>
                    <w:jc w:val="center"/>
                    <w:rPr>
                      <w:b/>
                      <w:bCs/>
                      <w:kern w:val="0"/>
                      <w:szCs w:val="21"/>
                      <w:u w:val="single"/>
                    </w:rPr>
                  </w:pPr>
                  <w:r>
                    <w:rPr>
                      <w:b/>
                      <w:bCs/>
                      <w:szCs w:val="21"/>
                      <w:u w:val="single"/>
                      <w:lang w:bidi="ar"/>
                    </w:rPr>
                    <w:t>Ⅱ</w:t>
                  </w:r>
                </w:p>
              </w:tc>
              <w:tc>
                <w:tcPr>
                  <w:tcW w:w="370" w:type="pct"/>
                  <w:tcBorders>
                    <w:top w:val="single" w:color="auto" w:sz="4" w:space="0"/>
                    <w:left w:val="single" w:color="auto" w:sz="4" w:space="0"/>
                    <w:bottom w:val="single" w:color="auto" w:sz="4" w:space="0"/>
                    <w:right w:val="single" w:color="auto" w:sz="4" w:space="0"/>
                  </w:tcBorders>
                  <w:vAlign w:val="center"/>
                </w:tcPr>
                <w:p w14:paraId="587A4DB8">
                  <w:pPr>
                    <w:jc w:val="center"/>
                    <w:rPr>
                      <w:b/>
                      <w:bCs/>
                      <w:kern w:val="0"/>
                      <w:szCs w:val="21"/>
                      <w:u w:val="single"/>
                    </w:rPr>
                  </w:pPr>
                  <w:r>
                    <w:rPr>
                      <w:b/>
                      <w:bCs/>
                      <w:szCs w:val="21"/>
                      <w:u w:val="single"/>
                      <w:lang w:bidi="ar"/>
                    </w:rPr>
                    <w:t>Ⅲ</w:t>
                  </w:r>
                </w:p>
              </w:tc>
              <w:tc>
                <w:tcPr>
                  <w:tcW w:w="501" w:type="pct"/>
                  <w:tcBorders>
                    <w:top w:val="single" w:color="auto" w:sz="4" w:space="0"/>
                    <w:left w:val="single" w:color="auto" w:sz="4" w:space="0"/>
                    <w:bottom w:val="single" w:color="auto" w:sz="4" w:space="0"/>
                    <w:right w:val="single" w:color="auto" w:sz="4" w:space="0"/>
                  </w:tcBorders>
                  <w:vAlign w:val="center"/>
                </w:tcPr>
                <w:p w14:paraId="6704806E">
                  <w:pPr>
                    <w:jc w:val="center"/>
                    <w:rPr>
                      <w:b/>
                      <w:bCs/>
                      <w:szCs w:val="21"/>
                      <w:u w:val="single"/>
                      <w:lang w:bidi="ar"/>
                    </w:rPr>
                  </w:pPr>
                  <w:r>
                    <w:rPr>
                      <w:rFonts w:hint="eastAsia"/>
                      <w:b/>
                      <w:bCs/>
                      <w:szCs w:val="21"/>
                      <w:u w:val="single"/>
                      <w:lang w:bidi="ar"/>
                    </w:rPr>
                    <w:t>平均值</w:t>
                  </w:r>
                </w:p>
              </w:tc>
              <w:tc>
                <w:tcPr>
                  <w:tcW w:w="501" w:type="pct"/>
                  <w:vMerge w:val="continue"/>
                  <w:tcBorders>
                    <w:top w:val="single" w:color="auto" w:sz="4" w:space="0"/>
                    <w:left w:val="single" w:color="auto" w:sz="4" w:space="0"/>
                    <w:bottom w:val="single" w:color="auto" w:sz="4" w:space="0"/>
                    <w:right w:val="single" w:color="auto" w:sz="4" w:space="0"/>
                  </w:tcBorders>
                  <w:vAlign w:val="center"/>
                </w:tcPr>
                <w:p w14:paraId="32BFEE14">
                  <w:pPr>
                    <w:rPr>
                      <w:szCs w:val="21"/>
                      <w:u w:val="single"/>
                    </w:rPr>
                  </w:pPr>
                </w:p>
              </w:tc>
              <w:tc>
                <w:tcPr>
                  <w:tcW w:w="500" w:type="pct"/>
                  <w:vMerge w:val="continue"/>
                  <w:tcBorders>
                    <w:top w:val="single" w:color="auto" w:sz="4" w:space="0"/>
                    <w:left w:val="single" w:color="auto" w:sz="4" w:space="0"/>
                    <w:bottom w:val="single" w:color="auto" w:sz="4" w:space="0"/>
                    <w:right w:val="single" w:color="auto" w:sz="4" w:space="0"/>
                  </w:tcBorders>
                  <w:vAlign w:val="center"/>
                </w:tcPr>
                <w:p w14:paraId="081D413F">
                  <w:pPr>
                    <w:rPr>
                      <w:szCs w:val="21"/>
                      <w:u w:val="single"/>
                    </w:rPr>
                  </w:pPr>
                </w:p>
              </w:tc>
            </w:tr>
            <w:tr w14:paraId="72EF4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restart"/>
                  <w:tcBorders>
                    <w:top w:val="nil"/>
                    <w:left w:val="single" w:color="auto" w:sz="4" w:space="0"/>
                    <w:bottom w:val="single" w:color="auto" w:sz="4" w:space="0"/>
                    <w:right w:val="single" w:color="auto" w:sz="4" w:space="0"/>
                  </w:tcBorders>
                  <w:vAlign w:val="center"/>
                </w:tcPr>
                <w:p w14:paraId="3381124D">
                  <w:pPr>
                    <w:widowControl/>
                    <w:jc w:val="center"/>
                    <w:textAlignment w:val="center"/>
                    <w:rPr>
                      <w:kern w:val="0"/>
                      <w:szCs w:val="21"/>
                      <w:u w:val="single"/>
                    </w:rPr>
                  </w:pPr>
                  <w:r>
                    <w:rPr>
                      <w:rFonts w:hint="eastAsia" w:ascii="宋体" w:hAnsi="宋体" w:cs="宋体"/>
                      <w:kern w:val="0"/>
                      <w:szCs w:val="21"/>
                      <w:u w:val="single"/>
                      <w:lang w:bidi="ar"/>
                    </w:rPr>
                    <w:t>生产废水排口</w:t>
                  </w:r>
                </w:p>
              </w:tc>
              <w:tc>
                <w:tcPr>
                  <w:tcW w:w="596" w:type="pct"/>
                  <w:vMerge w:val="restart"/>
                  <w:tcBorders>
                    <w:top w:val="nil"/>
                    <w:left w:val="single" w:color="auto" w:sz="4" w:space="0"/>
                    <w:right w:val="single" w:color="auto" w:sz="4" w:space="0"/>
                  </w:tcBorders>
                  <w:vAlign w:val="center"/>
                </w:tcPr>
                <w:p w14:paraId="79A7E99D">
                  <w:pPr>
                    <w:widowControl/>
                    <w:jc w:val="center"/>
                    <w:textAlignment w:val="center"/>
                    <w:rPr>
                      <w:rFonts w:hint="default" w:eastAsia="宋体"/>
                      <w:kern w:val="0"/>
                      <w:szCs w:val="21"/>
                      <w:u w:val="single"/>
                      <w:lang w:val="en-US" w:eastAsia="zh-CN"/>
                    </w:rPr>
                  </w:pPr>
                  <w:r>
                    <w:rPr>
                      <w:kern w:val="0"/>
                      <w:szCs w:val="21"/>
                      <w:u w:val="single"/>
                      <w:lang w:bidi="ar"/>
                    </w:rPr>
                    <w:t>2</w:t>
                  </w:r>
                  <w:r>
                    <w:rPr>
                      <w:rFonts w:hint="eastAsia"/>
                      <w:kern w:val="0"/>
                      <w:szCs w:val="21"/>
                      <w:u w:val="single"/>
                      <w:lang w:val="en-US" w:eastAsia="zh-CN" w:bidi="ar"/>
                    </w:rPr>
                    <w:t>016.1</w:t>
                  </w: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39BA1D7A">
                  <w:pPr>
                    <w:widowControl/>
                    <w:jc w:val="center"/>
                    <w:textAlignment w:val="center"/>
                    <w:rPr>
                      <w:kern w:val="0"/>
                      <w:szCs w:val="21"/>
                      <w:u w:val="single"/>
                    </w:rPr>
                  </w:pPr>
                  <w:r>
                    <w:rPr>
                      <w:kern w:val="0"/>
                      <w:szCs w:val="21"/>
                      <w:u w:val="single"/>
                      <w:lang w:bidi="ar"/>
                    </w:rPr>
                    <w:t>pH</w:t>
                  </w:r>
                  <w:r>
                    <w:rPr>
                      <w:rFonts w:hint="eastAsia" w:ascii="宋体" w:hAnsi="宋体" w:cs="宋体"/>
                      <w:kern w:val="0"/>
                      <w:szCs w:val="21"/>
                      <w:u w:val="single"/>
                      <w:lang w:bidi="ar"/>
                    </w:rPr>
                    <w:t>值</w:t>
                  </w:r>
                </w:p>
                <w:p w14:paraId="3409AB76">
                  <w:pPr>
                    <w:widowControl/>
                    <w:jc w:val="center"/>
                    <w:textAlignment w:val="center"/>
                    <w:rPr>
                      <w:kern w:val="0"/>
                      <w:szCs w:val="21"/>
                      <w:u w:val="single"/>
                    </w:rPr>
                  </w:pPr>
                  <w:r>
                    <w:rPr>
                      <w:rFonts w:hint="eastAsia" w:ascii="宋体" w:hAnsi="宋体" w:cs="宋体"/>
                      <w:kern w:val="0"/>
                      <w:szCs w:val="21"/>
                      <w:u w:val="single"/>
                      <w:lang w:bidi="ar"/>
                    </w:rPr>
                    <w:t>（无量纲）</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7203950C">
                  <w:pPr>
                    <w:widowControl/>
                    <w:jc w:val="center"/>
                    <w:textAlignment w:val="center"/>
                    <w:rPr>
                      <w:kern w:val="0"/>
                      <w:szCs w:val="21"/>
                      <w:u w:val="single"/>
                    </w:rPr>
                  </w:pPr>
                  <w:r>
                    <w:rPr>
                      <w:rFonts w:hint="eastAsia"/>
                      <w:kern w:val="0"/>
                      <w:szCs w:val="21"/>
                      <w:u w:val="single"/>
                      <w:lang w:bidi="ar"/>
                    </w:rPr>
                    <w:t>7.8</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0E79DCA2">
                  <w:pPr>
                    <w:widowControl/>
                    <w:jc w:val="center"/>
                    <w:textAlignment w:val="center"/>
                    <w:rPr>
                      <w:kern w:val="0"/>
                      <w:szCs w:val="21"/>
                      <w:u w:val="single"/>
                    </w:rPr>
                  </w:pPr>
                  <w:r>
                    <w:rPr>
                      <w:rFonts w:hint="eastAsia"/>
                      <w:kern w:val="0"/>
                      <w:szCs w:val="21"/>
                      <w:u w:val="single"/>
                    </w:rPr>
                    <w:t>7.6</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7411DC49">
                  <w:pPr>
                    <w:widowControl/>
                    <w:jc w:val="center"/>
                    <w:textAlignment w:val="center"/>
                    <w:rPr>
                      <w:kern w:val="0"/>
                      <w:szCs w:val="21"/>
                      <w:u w:val="single"/>
                    </w:rPr>
                  </w:pPr>
                  <w:r>
                    <w:rPr>
                      <w:rFonts w:hint="eastAsia"/>
                      <w:kern w:val="0"/>
                      <w:szCs w:val="21"/>
                      <w:u w:val="single"/>
                    </w:rPr>
                    <w:t>7.6</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6C3CC784">
                  <w:pPr>
                    <w:widowControl/>
                    <w:jc w:val="center"/>
                    <w:textAlignment w:val="center"/>
                    <w:rPr>
                      <w:kern w:val="0"/>
                      <w:szCs w:val="21"/>
                      <w:u w:val="single"/>
                      <w:lang w:bidi="ar"/>
                    </w:rPr>
                  </w:pPr>
                  <w:r>
                    <w:rPr>
                      <w:rFonts w:hint="eastAsia"/>
                      <w:kern w:val="0"/>
                      <w:szCs w:val="21"/>
                      <w:u w:val="single"/>
                      <w:lang w:bidi="ar"/>
                    </w:rPr>
                    <w:t>/</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72BEFB7A">
                  <w:pPr>
                    <w:widowControl/>
                    <w:jc w:val="center"/>
                    <w:textAlignment w:val="center"/>
                    <w:rPr>
                      <w:kern w:val="0"/>
                      <w:szCs w:val="21"/>
                      <w:u w:val="single"/>
                    </w:rPr>
                  </w:pPr>
                  <w:r>
                    <w:rPr>
                      <w:kern w:val="0"/>
                      <w:szCs w:val="21"/>
                      <w:u w:val="single"/>
                      <w:lang w:bidi="ar"/>
                    </w:rPr>
                    <w:t>6-9</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23C26026">
                  <w:pPr>
                    <w:widowControl/>
                    <w:jc w:val="center"/>
                    <w:textAlignment w:val="center"/>
                    <w:rPr>
                      <w:kern w:val="0"/>
                      <w:szCs w:val="21"/>
                      <w:u w:val="single"/>
                    </w:rPr>
                  </w:pPr>
                  <w:r>
                    <w:rPr>
                      <w:rFonts w:hint="eastAsia" w:ascii="宋体" w:hAnsi="宋体" w:cs="宋体"/>
                      <w:kern w:val="0"/>
                      <w:szCs w:val="21"/>
                      <w:u w:val="single"/>
                      <w:lang w:bidi="ar"/>
                    </w:rPr>
                    <w:t>是</w:t>
                  </w:r>
                </w:p>
              </w:tc>
            </w:tr>
            <w:tr w14:paraId="3FDBC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nil"/>
                    <w:left w:val="single" w:color="auto" w:sz="4" w:space="0"/>
                    <w:bottom w:val="single" w:color="auto" w:sz="4" w:space="0"/>
                    <w:right w:val="single" w:color="auto" w:sz="4" w:space="0"/>
                  </w:tcBorders>
                  <w:vAlign w:val="center"/>
                </w:tcPr>
                <w:p w14:paraId="60EE2511">
                  <w:pPr>
                    <w:rPr>
                      <w:szCs w:val="21"/>
                      <w:u w:val="single"/>
                    </w:rPr>
                  </w:pPr>
                </w:p>
              </w:tc>
              <w:tc>
                <w:tcPr>
                  <w:tcW w:w="596" w:type="pct"/>
                  <w:vMerge w:val="continue"/>
                  <w:tcBorders>
                    <w:left w:val="single" w:color="auto" w:sz="4" w:space="0"/>
                    <w:right w:val="single" w:color="auto" w:sz="4" w:space="0"/>
                  </w:tcBorders>
                  <w:vAlign w:val="center"/>
                </w:tcPr>
                <w:p w14:paraId="2B10EBFF">
                  <w:pPr>
                    <w:rPr>
                      <w:szCs w:val="21"/>
                      <w:u w:val="single"/>
                    </w:rPr>
                  </w:pP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433A61EA">
                  <w:pPr>
                    <w:widowControl/>
                    <w:jc w:val="center"/>
                    <w:textAlignment w:val="center"/>
                    <w:rPr>
                      <w:kern w:val="0"/>
                      <w:szCs w:val="21"/>
                      <w:u w:val="single"/>
                    </w:rPr>
                  </w:pPr>
                  <w:r>
                    <w:rPr>
                      <w:rFonts w:hint="eastAsia" w:ascii="宋体" w:hAnsi="宋体" w:cs="宋体"/>
                      <w:kern w:val="0"/>
                      <w:szCs w:val="21"/>
                      <w:u w:val="single"/>
                      <w:lang w:bidi="ar"/>
                    </w:rPr>
                    <w:t>悬浮物</w:t>
                  </w:r>
                </w:p>
                <w:p w14:paraId="31CB2467">
                  <w:pPr>
                    <w:widowControl/>
                    <w:jc w:val="center"/>
                    <w:textAlignment w:val="center"/>
                    <w:rPr>
                      <w:kern w:val="0"/>
                      <w:szCs w:val="21"/>
                      <w:u w:val="single"/>
                    </w:rPr>
                  </w:pPr>
                  <w:r>
                    <w:rPr>
                      <w:rFonts w:hint="eastAsia" w:ascii="宋体" w:hAnsi="宋体" w:cs="宋体"/>
                      <w:kern w:val="0"/>
                      <w:szCs w:val="21"/>
                      <w:u w:val="single"/>
                      <w:lang w:bidi="ar"/>
                    </w:rPr>
                    <w:t>（</w:t>
                  </w:r>
                  <w:r>
                    <w:rPr>
                      <w:kern w:val="0"/>
                      <w:szCs w:val="21"/>
                      <w:u w:val="single"/>
                      <w:lang w:bidi="ar"/>
                    </w:rPr>
                    <w:t>mg/L</w:t>
                  </w:r>
                  <w:r>
                    <w:rPr>
                      <w:rFonts w:hint="eastAsia" w:ascii="宋体" w:hAnsi="宋体" w:cs="宋体"/>
                      <w:kern w:val="0"/>
                      <w:szCs w:val="21"/>
                      <w:u w:val="single"/>
                      <w:lang w:bidi="ar"/>
                    </w:rPr>
                    <w:t>）</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59404774">
                  <w:pPr>
                    <w:widowControl/>
                    <w:jc w:val="center"/>
                    <w:textAlignment w:val="center"/>
                    <w:rPr>
                      <w:kern w:val="0"/>
                      <w:szCs w:val="21"/>
                      <w:u w:val="single"/>
                    </w:rPr>
                  </w:pPr>
                  <w:r>
                    <w:rPr>
                      <w:rFonts w:hint="eastAsia"/>
                      <w:kern w:val="0"/>
                      <w:szCs w:val="21"/>
                      <w:u w:val="single"/>
                    </w:rPr>
                    <w:t>36</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12020449">
                  <w:pPr>
                    <w:widowControl/>
                    <w:jc w:val="center"/>
                    <w:textAlignment w:val="center"/>
                    <w:rPr>
                      <w:kern w:val="0"/>
                      <w:szCs w:val="21"/>
                      <w:u w:val="single"/>
                    </w:rPr>
                  </w:pPr>
                  <w:r>
                    <w:rPr>
                      <w:rFonts w:hint="eastAsia"/>
                      <w:kern w:val="0"/>
                      <w:szCs w:val="21"/>
                      <w:u w:val="single"/>
                    </w:rPr>
                    <w:t>39</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726B2182">
                  <w:pPr>
                    <w:widowControl/>
                    <w:jc w:val="center"/>
                    <w:textAlignment w:val="center"/>
                    <w:rPr>
                      <w:kern w:val="0"/>
                      <w:szCs w:val="21"/>
                      <w:u w:val="single"/>
                    </w:rPr>
                  </w:pPr>
                  <w:r>
                    <w:rPr>
                      <w:rFonts w:hint="eastAsia"/>
                      <w:kern w:val="0"/>
                      <w:szCs w:val="21"/>
                      <w:u w:val="single"/>
                    </w:rPr>
                    <w:t>37</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12F172E3">
                  <w:pPr>
                    <w:widowControl/>
                    <w:jc w:val="center"/>
                    <w:textAlignment w:val="center"/>
                    <w:rPr>
                      <w:kern w:val="0"/>
                      <w:szCs w:val="21"/>
                      <w:u w:val="single"/>
                      <w:lang w:bidi="ar"/>
                    </w:rPr>
                  </w:pPr>
                  <w:r>
                    <w:rPr>
                      <w:rFonts w:hint="eastAsia"/>
                      <w:kern w:val="0"/>
                      <w:szCs w:val="21"/>
                      <w:u w:val="single"/>
                      <w:lang w:bidi="ar"/>
                    </w:rPr>
                    <w:t>37</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53D12F47">
                  <w:pPr>
                    <w:widowControl/>
                    <w:jc w:val="center"/>
                    <w:textAlignment w:val="center"/>
                    <w:rPr>
                      <w:kern w:val="0"/>
                      <w:szCs w:val="21"/>
                      <w:u w:val="single"/>
                    </w:rPr>
                  </w:pPr>
                  <w:r>
                    <w:rPr>
                      <w:kern w:val="0"/>
                      <w:szCs w:val="21"/>
                      <w:u w:val="single"/>
                      <w:lang w:bidi="ar"/>
                    </w:rPr>
                    <w:t>400</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1B0F9535">
                  <w:pPr>
                    <w:widowControl/>
                    <w:jc w:val="center"/>
                    <w:textAlignment w:val="center"/>
                    <w:rPr>
                      <w:kern w:val="0"/>
                      <w:szCs w:val="21"/>
                      <w:u w:val="single"/>
                    </w:rPr>
                  </w:pPr>
                  <w:r>
                    <w:rPr>
                      <w:rFonts w:hint="eastAsia" w:ascii="宋体" w:hAnsi="宋体" w:cs="宋体"/>
                      <w:kern w:val="0"/>
                      <w:szCs w:val="21"/>
                      <w:u w:val="single"/>
                      <w:lang w:bidi="ar"/>
                    </w:rPr>
                    <w:t>是</w:t>
                  </w:r>
                </w:p>
              </w:tc>
            </w:tr>
            <w:tr w14:paraId="26848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nil"/>
                    <w:left w:val="single" w:color="auto" w:sz="4" w:space="0"/>
                    <w:bottom w:val="single" w:color="auto" w:sz="4" w:space="0"/>
                    <w:right w:val="single" w:color="auto" w:sz="4" w:space="0"/>
                  </w:tcBorders>
                  <w:vAlign w:val="center"/>
                </w:tcPr>
                <w:p w14:paraId="6C79F166">
                  <w:pPr>
                    <w:rPr>
                      <w:szCs w:val="21"/>
                      <w:u w:val="single"/>
                    </w:rPr>
                  </w:pPr>
                </w:p>
              </w:tc>
              <w:tc>
                <w:tcPr>
                  <w:tcW w:w="596" w:type="pct"/>
                  <w:vMerge w:val="continue"/>
                  <w:tcBorders>
                    <w:left w:val="single" w:color="auto" w:sz="4" w:space="0"/>
                    <w:right w:val="single" w:color="auto" w:sz="4" w:space="0"/>
                  </w:tcBorders>
                  <w:vAlign w:val="center"/>
                </w:tcPr>
                <w:p w14:paraId="1D2EBB23">
                  <w:pPr>
                    <w:rPr>
                      <w:szCs w:val="21"/>
                      <w:u w:val="single"/>
                    </w:rPr>
                  </w:pP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24CDE28B">
                  <w:pPr>
                    <w:widowControl/>
                    <w:jc w:val="center"/>
                    <w:textAlignment w:val="center"/>
                    <w:rPr>
                      <w:kern w:val="0"/>
                      <w:szCs w:val="21"/>
                      <w:u w:val="single"/>
                    </w:rPr>
                  </w:pPr>
                  <w:r>
                    <w:rPr>
                      <w:rFonts w:hint="eastAsia" w:ascii="宋体" w:hAnsi="宋体" w:cs="宋体"/>
                      <w:kern w:val="0"/>
                      <w:szCs w:val="21"/>
                      <w:u w:val="single"/>
                      <w:lang w:bidi="ar"/>
                    </w:rPr>
                    <w:t>化学需氧量（</w:t>
                  </w:r>
                  <w:r>
                    <w:rPr>
                      <w:kern w:val="0"/>
                      <w:szCs w:val="21"/>
                      <w:u w:val="single"/>
                      <w:lang w:bidi="ar"/>
                    </w:rPr>
                    <w:t>mg/L</w:t>
                  </w:r>
                  <w:r>
                    <w:rPr>
                      <w:rFonts w:hint="eastAsia" w:ascii="宋体" w:hAnsi="宋体" w:cs="宋体"/>
                      <w:kern w:val="0"/>
                      <w:szCs w:val="21"/>
                      <w:u w:val="single"/>
                      <w:lang w:bidi="ar"/>
                    </w:rPr>
                    <w:t>）</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0978A426">
                  <w:pPr>
                    <w:widowControl/>
                    <w:jc w:val="center"/>
                    <w:textAlignment w:val="center"/>
                    <w:rPr>
                      <w:kern w:val="0"/>
                      <w:szCs w:val="21"/>
                      <w:u w:val="single"/>
                    </w:rPr>
                  </w:pPr>
                  <w:r>
                    <w:rPr>
                      <w:rFonts w:hint="eastAsia"/>
                      <w:kern w:val="0"/>
                      <w:szCs w:val="21"/>
                      <w:u w:val="single"/>
                    </w:rPr>
                    <w:t>153</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743DFB60">
                  <w:pPr>
                    <w:widowControl/>
                    <w:jc w:val="center"/>
                    <w:textAlignment w:val="center"/>
                    <w:rPr>
                      <w:kern w:val="0"/>
                      <w:szCs w:val="21"/>
                      <w:u w:val="single"/>
                    </w:rPr>
                  </w:pPr>
                  <w:r>
                    <w:rPr>
                      <w:rFonts w:hint="eastAsia"/>
                      <w:kern w:val="0"/>
                      <w:szCs w:val="21"/>
                      <w:u w:val="single"/>
                    </w:rPr>
                    <w:t>151</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08E18D36">
                  <w:pPr>
                    <w:widowControl/>
                    <w:jc w:val="center"/>
                    <w:textAlignment w:val="center"/>
                    <w:rPr>
                      <w:kern w:val="0"/>
                      <w:szCs w:val="21"/>
                      <w:u w:val="single"/>
                    </w:rPr>
                  </w:pPr>
                  <w:r>
                    <w:rPr>
                      <w:rFonts w:hint="eastAsia"/>
                      <w:kern w:val="0"/>
                      <w:szCs w:val="21"/>
                      <w:u w:val="single"/>
                    </w:rPr>
                    <w:t>153</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4FF3037E">
                  <w:pPr>
                    <w:widowControl/>
                    <w:jc w:val="center"/>
                    <w:textAlignment w:val="center"/>
                    <w:rPr>
                      <w:kern w:val="0"/>
                      <w:szCs w:val="21"/>
                      <w:u w:val="single"/>
                      <w:lang w:bidi="ar"/>
                    </w:rPr>
                  </w:pPr>
                  <w:r>
                    <w:rPr>
                      <w:rFonts w:hint="eastAsia"/>
                      <w:kern w:val="0"/>
                      <w:szCs w:val="21"/>
                      <w:u w:val="single"/>
                      <w:lang w:bidi="ar"/>
                    </w:rPr>
                    <w:t>152</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38D9DF6D">
                  <w:pPr>
                    <w:widowControl/>
                    <w:jc w:val="center"/>
                    <w:textAlignment w:val="center"/>
                    <w:rPr>
                      <w:kern w:val="0"/>
                      <w:szCs w:val="21"/>
                      <w:u w:val="single"/>
                    </w:rPr>
                  </w:pPr>
                  <w:r>
                    <w:rPr>
                      <w:kern w:val="0"/>
                      <w:szCs w:val="21"/>
                      <w:u w:val="single"/>
                      <w:lang w:bidi="ar"/>
                    </w:rPr>
                    <w:t>500</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195D2C98">
                  <w:pPr>
                    <w:widowControl/>
                    <w:jc w:val="center"/>
                    <w:textAlignment w:val="center"/>
                    <w:rPr>
                      <w:kern w:val="0"/>
                      <w:szCs w:val="21"/>
                      <w:u w:val="single"/>
                    </w:rPr>
                  </w:pPr>
                  <w:r>
                    <w:rPr>
                      <w:rFonts w:hint="eastAsia" w:ascii="宋体" w:hAnsi="宋体" w:cs="宋体"/>
                      <w:kern w:val="0"/>
                      <w:szCs w:val="21"/>
                      <w:u w:val="single"/>
                      <w:lang w:bidi="ar"/>
                    </w:rPr>
                    <w:t>是</w:t>
                  </w:r>
                </w:p>
              </w:tc>
            </w:tr>
            <w:tr w14:paraId="22FCE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nil"/>
                    <w:left w:val="single" w:color="auto" w:sz="4" w:space="0"/>
                    <w:bottom w:val="single" w:color="auto" w:sz="4" w:space="0"/>
                    <w:right w:val="single" w:color="auto" w:sz="4" w:space="0"/>
                  </w:tcBorders>
                  <w:vAlign w:val="center"/>
                </w:tcPr>
                <w:p w14:paraId="46599357">
                  <w:pPr>
                    <w:rPr>
                      <w:szCs w:val="21"/>
                      <w:u w:val="single"/>
                    </w:rPr>
                  </w:pPr>
                </w:p>
              </w:tc>
              <w:tc>
                <w:tcPr>
                  <w:tcW w:w="596" w:type="pct"/>
                  <w:vMerge w:val="continue"/>
                  <w:tcBorders>
                    <w:left w:val="single" w:color="auto" w:sz="4" w:space="0"/>
                    <w:right w:val="single" w:color="auto" w:sz="4" w:space="0"/>
                  </w:tcBorders>
                  <w:vAlign w:val="center"/>
                </w:tcPr>
                <w:p w14:paraId="757647F8">
                  <w:pPr>
                    <w:rPr>
                      <w:szCs w:val="21"/>
                      <w:u w:val="single"/>
                    </w:rPr>
                  </w:pP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55B3ED5A">
                  <w:pPr>
                    <w:widowControl/>
                    <w:jc w:val="center"/>
                    <w:textAlignment w:val="center"/>
                    <w:rPr>
                      <w:kern w:val="0"/>
                      <w:szCs w:val="21"/>
                      <w:u w:val="single"/>
                    </w:rPr>
                  </w:pPr>
                  <w:r>
                    <w:rPr>
                      <w:rFonts w:hint="eastAsia"/>
                      <w:kern w:val="0"/>
                      <w:szCs w:val="21"/>
                      <w:u w:val="single"/>
                    </w:rPr>
                    <w:t>动植物油</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72A58410">
                  <w:pPr>
                    <w:widowControl/>
                    <w:jc w:val="center"/>
                    <w:textAlignment w:val="center"/>
                    <w:rPr>
                      <w:kern w:val="0"/>
                      <w:szCs w:val="21"/>
                      <w:u w:val="single"/>
                    </w:rPr>
                  </w:pPr>
                  <w:r>
                    <w:rPr>
                      <w:rFonts w:hint="eastAsia"/>
                      <w:kern w:val="0"/>
                      <w:szCs w:val="21"/>
                      <w:u w:val="single"/>
                    </w:rPr>
                    <w:t>1.3</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52C84901">
                  <w:pPr>
                    <w:widowControl/>
                    <w:jc w:val="center"/>
                    <w:textAlignment w:val="center"/>
                    <w:rPr>
                      <w:kern w:val="0"/>
                      <w:szCs w:val="21"/>
                      <w:u w:val="single"/>
                    </w:rPr>
                  </w:pPr>
                  <w:r>
                    <w:rPr>
                      <w:rFonts w:hint="eastAsia"/>
                      <w:kern w:val="0"/>
                      <w:szCs w:val="21"/>
                      <w:u w:val="single"/>
                    </w:rPr>
                    <w:t>1.28</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68A59A7B">
                  <w:pPr>
                    <w:widowControl/>
                    <w:jc w:val="center"/>
                    <w:textAlignment w:val="center"/>
                    <w:rPr>
                      <w:kern w:val="0"/>
                      <w:szCs w:val="21"/>
                      <w:u w:val="single"/>
                    </w:rPr>
                  </w:pPr>
                  <w:r>
                    <w:rPr>
                      <w:rFonts w:hint="eastAsia"/>
                      <w:kern w:val="0"/>
                      <w:szCs w:val="21"/>
                      <w:u w:val="single"/>
                    </w:rPr>
                    <w:t>1.34</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342448D6">
                  <w:pPr>
                    <w:widowControl/>
                    <w:jc w:val="center"/>
                    <w:textAlignment w:val="center"/>
                    <w:rPr>
                      <w:kern w:val="0"/>
                      <w:szCs w:val="21"/>
                      <w:u w:val="single"/>
                      <w:lang w:bidi="ar"/>
                    </w:rPr>
                  </w:pPr>
                  <w:r>
                    <w:rPr>
                      <w:rFonts w:hint="eastAsia"/>
                      <w:kern w:val="0"/>
                      <w:szCs w:val="21"/>
                      <w:u w:val="single"/>
                      <w:lang w:bidi="ar"/>
                    </w:rPr>
                    <w:t>1.31</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6F0AFFA6">
                  <w:pPr>
                    <w:widowControl/>
                    <w:jc w:val="center"/>
                    <w:textAlignment w:val="center"/>
                    <w:rPr>
                      <w:kern w:val="0"/>
                      <w:szCs w:val="21"/>
                      <w:u w:val="single"/>
                    </w:rPr>
                  </w:pPr>
                  <w:r>
                    <w:rPr>
                      <w:rFonts w:hint="eastAsia"/>
                      <w:kern w:val="0"/>
                      <w:szCs w:val="21"/>
                      <w:u w:val="single"/>
                      <w:lang w:bidi="ar"/>
                    </w:rPr>
                    <w:t>100</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13FE6F34">
                  <w:pPr>
                    <w:widowControl/>
                    <w:jc w:val="center"/>
                    <w:textAlignment w:val="center"/>
                    <w:rPr>
                      <w:kern w:val="0"/>
                      <w:szCs w:val="21"/>
                      <w:u w:val="single"/>
                    </w:rPr>
                  </w:pPr>
                  <w:r>
                    <w:rPr>
                      <w:rFonts w:hint="eastAsia" w:ascii="宋体" w:hAnsi="宋体" w:cs="宋体"/>
                      <w:kern w:val="0"/>
                      <w:szCs w:val="21"/>
                      <w:u w:val="single"/>
                      <w:lang w:bidi="ar"/>
                    </w:rPr>
                    <w:t>是</w:t>
                  </w:r>
                </w:p>
              </w:tc>
            </w:tr>
            <w:tr w14:paraId="4CA86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nil"/>
                    <w:left w:val="single" w:color="auto" w:sz="4" w:space="0"/>
                    <w:bottom w:val="single" w:color="auto" w:sz="4" w:space="0"/>
                    <w:right w:val="single" w:color="auto" w:sz="4" w:space="0"/>
                  </w:tcBorders>
                  <w:vAlign w:val="center"/>
                </w:tcPr>
                <w:p w14:paraId="5B34AF93">
                  <w:pPr>
                    <w:rPr>
                      <w:szCs w:val="21"/>
                      <w:u w:val="single"/>
                    </w:rPr>
                  </w:pPr>
                </w:p>
              </w:tc>
              <w:tc>
                <w:tcPr>
                  <w:tcW w:w="596" w:type="pct"/>
                  <w:vMerge w:val="continue"/>
                  <w:tcBorders>
                    <w:left w:val="single" w:color="auto" w:sz="4" w:space="0"/>
                    <w:right w:val="single" w:color="auto" w:sz="4" w:space="0"/>
                  </w:tcBorders>
                  <w:vAlign w:val="center"/>
                </w:tcPr>
                <w:p w14:paraId="0F407631">
                  <w:pPr>
                    <w:rPr>
                      <w:szCs w:val="21"/>
                      <w:u w:val="single"/>
                    </w:rPr>
                  </w:pP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3702FCD5">
                  <w:pPr>
                    <w:widowControl/>
                    <w:jc w:val="center"/>
                    <w:textAlignment w:val="center"/>
                    <w:rPr>
                      <w:kern w:val="0"/>
                      <w:szCs w:val="21"/>
                      <w:u w:val="single"/>
                    </w:rPr>
                  </w:pPr>
                  <w:r>
                    <w:rPr>
                      <w:rFonts w:hint="eastAsia" w:ascii="宋体" w:hAnsi="宋体" w:cs="宋体"/>
                      <w:kern w:val="0"/>
                      <w:szCs w:val="21"/>
                      <w:u w:val="single"/>
                      <w:lang w:bidi="ar"/>
                    </w:rPr>
                    <w:t>氨氮（</w:t>
                  </w:r>
                  <w:r>
                    <w:rPr>
                      <w:kern w:val="0"/>
                      <w:szCs w:val="21"/>
                      <w:u w:val="single"/>
                      <w:lang w:bidi="ar"/>
                    </w:rPr>
                    <w:t>mg/L</w:t>
                  </w:r>
                  <w:r>
                    <w:rPr>
                      <w:rFonts w:hint="eastAsia" w:ascii="宋体" w:hAnsi="宋体" w:cs="宋体"/>
                      <w:kern w:val="0"/>
                      <w:szCs w:val="21"/>
                      <w:u w:val="single"/>
                      <w:lang w:bidi="ar"/>
                    </w:rPr>
                    <w:t>）</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08AA58B7">
                  <w:pPr>
                    <w:widowControl/>
                    <w:jc w:val="center"/>
                    <w:textAlignment w:val="center"/>
                    <w:rPr>
                      <w:kern w:val="0"/>
                      <w:szCs w:val="21"/>
                      <w:u w:val="single"/>
                    </w:rPr>
                  </w:pPr>
                  <w:r>
                    <w:rPr>
                      <w:rFonts w:hint="eastAsia"/>
                      <w:kern w:val="0"/>
                      <w:szCs w:val="21"/>
                      <w:u w:val="single"/>
                      <w:lang w:bidi="ar"/>
                    </w:rPr>
                    <w:t>7.16</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0A1A1616">
                  <w:pPr>
                    <w:widowControl/>
                    <w:jc w:val="center"/>
                    <w:textAlignment w:val="center"/>
                    <w:rPr>
                      <w:kern w:val="0"/>
                      <w:szCs w:val="21"/>
                      <w:u w:val="single"/>
                    </w:rPr>
                  </w:pPr>
                  <w:r>
                    <w:rPr>
                      <w:rFonts w:hint="eastAsia"/>
                      <w:kern w:val="0"/>
                      <w:szCs w:val="21"/>
                      <w:u w:val="single"/>
                    </w:rPr>
                    <w:t>6.98</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25CE06E9">
                  <w:pPr>
                    <w:widowControl/>
                    <w:jc w:val="center"/>
                    <w:textAlignment w:val="center"/>
                    <w:rPr>
                      <w:kern w:val="0"/>
                      <w:szCs w:val="21"/>
                      <w:u w:val="single"/>
                    </w:rPr>
                  </w:pPr>
                  <w:r>
                    <w:rPr>
                      <w:rFonts w:hint="eastAsia"/>
                      <w:kern w:val="0"/>
                      <w:szCs w:val="21"/>
                      <w:u w:val="single"/>
                    </w:rPr>
                    <w:t>7.03</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6BEBE5F8">
                  <w:pPr>
                    <w:widowControl/>
                    <w:jc w:val="center"/>
                    <w:textAlignment w:val="center"/>
                    <w:rPr>
                      <w:kern w:val="0"/>
                      <w:szCs w:val="21"/>
                      <w:u w:val="single"/>
                      <w:lang w:bidi="ar"/>
                    </w:rPr>
                  </w:pPr>
                  <w:r>
                    <w:rPr>
                      <w:rFonts w:hint="eastAsia"/>
                      <w:kern w:val="0"/>
                      <w:szCs w:val="21"/>
                      <w:u w:val="single"/>
                      <w:lang w:bidi="ar"/>
                    </w:rPr>
                    <w:t>7.06</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53E24651">
                  <w:pPr>
                    <w:widowControl/>
                    <w:jc w:val="center"/>
                    <w:textAlignment w:val="center"/>
                    <w:rPr>
                      <w:kern w:val="0"/>
                      <w:szCs w:val="21"/>
                      <w:u w:val="single"/>
                    </w:rPr>
                  </w:pPr>
                  <w:r>
                    <w:rPr>
                      <w:kern w:val="0"/>
                      <w:szCs w:val="21"/>
                      <w:u w:val="single"/>
                      <w:lang w:bidi="ar"/>
                    </w:rPr>
                    <w:t>/</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2AB06892">
                  <w:pPr>
                    <w:widowControl/>
                    <w:jc w:val="center"/>
                    <w:textAlignment w:val="center"/>
                    <w:rPr>
                      <w:kern w:val="0"/>
                      <w:szCs w:val="21"/>
                      <w:u w:val="single"/>
                    </w:rPr>
                  </w:pPr>
                  <w:r>
                    <w:rPr>
                      <w:rFonts w:hint="eastAsia" w:ascii="宋体" w:hAnsi="宋体" w:cs="宋体"/>
                      <w:kern w:val="0"/>
                      <w:szCs w:val="21"/>
                      <w:u w:val="single"/>
                      <w:lang w:bidi="ar"/>
                    </w:rPr>
                    <w:t>是</w:t>
                  </w:r>
                </w:p>
              </w:tc>
            </w:tr>
            <w:tr w14:paraId="71C90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nil"/>
                    <w:left w:val="single" w:color="auto" w:sz="4" w:space="0"/>
                    <w:bottom w:val="single" w:color="auto" w:sz="4" w:space="0"/>
                    <w:right w:val="single" w:color="auto" w:sz="4" w:space="0"/>
                  </w:tcBorders>
                  <w:vAlign w:val="center"/>
                </w:tcPr>
                <w:p w14:paraId="735F1533">
                  <w:pPr>
                    <w:rPr>
                      <w:szCs w:val="21"/>
                      <w:u w:val="single"/>
                    </w:rPr>
                  </w:pPr>
                </w:p>
              </w:tc>
              <w:tc>
                <w:tcPr>
                  <w:tcW w:w="596" w:type="pct"/>
                  <w:vMerge w:val="continue"/>
                  <w:tcBorders>
                    <w:left w:val="single" w:color="auto" w:sz="4" w:space="0"/>
                    <w:right w:val="single" w:color="auto" w:sz="4" w:space="0"/>
                  </w:tcBorders>
                  <w:vAlign w:val="center"/>
                </w:tcPr>
                <w:p w14:paraId="21BD2CA1">
                  <w:pPr>
                    <w:rPr>
                      <w:szCs w:val="21"/>
                      <w:u w:val="single"/>
                    </w:rPr>
                  </w:pP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7165F3ED">
                  <w:pPr>
                    <w:widowControl/>
                    <w:jc w:val="center"/>
                    <w:textAlignment w:val="center"/>
                    <w:rPr>
                      <w:kern w:val="0"/>
                      <w:szCs w:val="21"/>
                      <w:u w:val="single"/>
                    </w:rPr>
                  </w:pPr>
                  <w:r>
                    <w:rPr>
                      <w:rFonts w:hint="eastAsia"/>
                      <w:kern w:val="0"/>
                      <w:szCs w:val="21"/>
                      <w:u w:val="single"/>
                    </w:rPr>
                    <w:t>总磷</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6F4BCA53">
                  <w:pPr>
                    <w:widowControl/>
                    <w:jc w:val="center"/>
                    <w:textAlignment w:val="center"/>
                    <w:rPr>
                      <w:kern w:val="0"/>
                      <w:szCs w:val="21"/>
                      <w:u w:val="single"/>
                    </w:rPr>
                  </w:pPr>
                  <w:r>
                    <w:rPr>
                      <w:rFonts w:hint="eastAsia"/>
                      <w:kern w:val="0"/>
                      <w:szCs w:val="21"/>
                      <w:u w:val="single"/>
                      <w:lang w:bidi="ar"/>
                    </w:rPr>
                    <w:t>2.90</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499DBC7A">
                  <w:pPr>
                    <w:widowControl/>
                    <w:jc w:val="center"/>
                    <w:textAlignment w:val="center"/>
                    <w:rPr>
                      <w:kern w:val="0"/>
                      <w:szCs w:val="21"/>
                      <w:u w:val="single"/>
                    </w:rPr>
                  </w:pPr>
                  <w:r>
                    <w:rPr>
                      <w:rFonts w:hint="eastAsia"/>
                      <w:kern w:val="0"/>
                      <w:szCs w:val="21"/>
                      <w:u w:val="single"/>
                      <w:lang w:bidi="ar"/>
                    </w:rPr>
                    <w:t>2.88</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43546492">
                  <w:pPr>
                    <w:widowControl/>
                    <w:jc w:val="center"/>
                    <w:textAlignment w:val="center"/>
                    <w:rPr>
                      <w:kern w:val="0"/>
                      <w:szCs w:val="21"/>
                      <w:u w:val="single"/>
                    </w:rPr>
                  </w:pPr>
                  <w:r>
                    <w:rPr>
                      <w:rFonts w:hint="eastAsia"/>
                      <w:kern w:val="0"/>
                      <w:szCs w:val="21"/>
                      <w:u w:val="single"/>
                      <w:lang w:bidi="ar"/>
                    </w:rPr>
                    <w:t>2.90</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17A2FD1F">
                  <w:pPr>
                    <w:widowControl/>
                    <w:jc w:val="center"/>
                    <w:textAlignment w:val="center"/>
                    <w:rPr>
                      <w:kern w:val="0"/>
                      <w:szCs w:val="21"/>
                      <w:u w:val="single"/>
                      <w:lang w:bidi="ar"/>
                    </w:rPr>
                  </w:pPr>
                  <w:r>
                    <w:rPr>
                      <w:rFonts w:hint="eastAsia"/>
                      <w:kern w:val="0"/>
                      <w:szCs w:val="21"/>
                      <w:u w:val="single"/>
                      <w:lang w:bidi="ar"/>
                    </w:rPr>
                    <w:t>2.89</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62D55E0F">
                  <w:pPr>
                    <w:widowControl/>
                    <w:jc w:val="center"/>
                    <w:textAlignment w:val="center"/>
                    <w:rPr>
                      <w:kern w:val="0"/>
                      <w:szCs w:val="21"/>
                      <w:u w:val="single"/>
                    </w:rPr>
                  </w:pPr>
                  <w:r>
                    <w:rPr>
                      <w:kern w:val="0"/>
                      <w:szCs w:val="21"/>
                      <w:u w:val="single"/>
                      <w:lang w:bidi="ar"/>
                    </w:rPr>
                    <w:t>/</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2E865073">
                  <w:pPr>
                    <w:widowControl/>
                    <w:jc w:val="center"/>
                    <w:textAlignment w:val="center"/>
                    <w:rPr>
                      <w:kern w:val="0"/>
                      <w:szCs w:val="21"/>
                      <w:u w:val="single"/>
                    </w:rPr>
                  </w:pPr>
                  <w:r>
                    <w:rPr>
                      <w:rFonts w:hint="eastAsia" w:ascii="宋体" w:hAnsi="宋体" w:cs="宋体"/>
                      <w:kern w:val="0"/>
                      <w:szCs w:val="21"/>
                      <w:u w:val="single"/>
                      <w:lang w:bidi="ar"/>
                    </w:rPr>
                    <w:t>是</w:t>
                  </w:r>
                </w:p>
              </w:tc>
            </w:tr>
            <w:tr w14:paraId="0C00A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6" w:type="pct"/>
                  <w:vMerge w:val="continue"/>
                  <w:tcBorders>
                    <w:top w:val="nil"/>
                    <w:left w:val="single" w:color="auto" w:sz="4" w:space="0"/>
                    <w:bottom w:val="single" w:color="auto" w:sz="4" w:space="0"/>
                    <w:right w:val="single" w:color="auto" w:sz="4" w:space="0"/>
                  </w:tcBorders>
                  <w:vAlign w:val="center"/>
                </w:tcPr>
                <w:p w14:paraId="492898F0">
                  <w:pPr>
                    <w:rPr>
                      <w:szCs w:val="21"/>
                      <w:u w:val="single"/>
                    </w:rPr>
                  </w:pPr>
                </w:p>
              </w:tc>
              <w:tc>
                <w:tcPr>
                  <w:tcW w:w="596" w:type="pct"/>
                  <w:vMerge w:val="continue"/>
                  <w:tcBorders>
                    <w:left w:val="single" w:color="auto" w:sz="4" w:space="0"/>
                    <w:bottom w:val="single" w:color="auto" w:sz="4" w:space="0"/>
                    <w:right w:val="single" w:color="auto" w:sz="4" w:space="0"/>
                  </w:tcBorders>
                  <w:vAlign w:val="center"/>
                </w:tcPr>
                <w:p w14:paraId="358006A1">
                  <w:pPr>
                    <w:widowControl/>
                    <w:jc w:val="center"/>
                    <w:textAlignment w:val="center"/>
                    <w:rPr>
                      <w:kern w:val="0"/>
                      <w:szCs w:val="21"/>
                      <w:u w:val="single"/>
                    </w:rPr>
                  </w:pPr>
                </w:p>
              </w:tc>
              <w:tc>
                <w:tcPr>
                  <w:tcW w:w="1212" w:type="pct"/>
                  <w:tcBorders>
                    <w:top w:val="single" w:color="auto" w:sz="4" w:space="0"/>
                    <w:left w:val="single" w:color="auto" w:sz="4" w:space="0"/>
                    <w:bottom w:val="single" w:color="auto" w:sz="4" w:space="0"/>
                    <w:right w:val="single" w:color="auto" w:sz="4" w:space="0"/>
                  </w:tcBorders>
                  <w:shd w:val="clear" w:color="auto" w:fill="auto"/>
                  <w:vAlign w:val="center"/>
                </w:tcPr>
                <w:p w14:paraId="0B8B275B">
                  <w:pPr>
                    <w:widowControl/>
                    <w:jc w:val="center"/>
                    <w:textAlignment w:val="center"/>
                    <w:rPr>
                      <w:kern w:val="0"/>
                      <w:szCs w:val="21"/>
                      <w:u w:val="single"/>
                    </w:rPr>
                  </w:pPr>
                  <w:r>
                    <w:rPr>
                      <w:rFonts w:hint="eastAsia"/>
                      <w:kern w:val="0"/>
                      <w:szCs w:val="21"/>
                      <w:u w:val="single"/>
                    </w:rPr>
                    <w:t>LAS</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747191DE">
                  <w:pPr>
                    <w:widowControl/>
                    <w:jc w:val="center"/>
                    <w:textAlignment w:val="center"/>
                    <w:rPr>
                      <w:kern w:val="0"/>
                      <w:szCs w:val="21"/>
                      <w:u w:val="single"/>
                      <w:lang w:bidi="ar"/>
                    </w:rPr>
                  </w:pPr>
                  <w:r>
                    <w:rPr>
                      <w:rFonts w:hint="eastAsia"/>
                      <w:kern w:val="0"/>
                      <w:szCs w:val="21"/>
                      <w:u w:val="single"/>
                      <w:lang w:bidi="ar"/>
                    </w:rPr>
                    <w:t>0.22</w:t>
                  </w:r>
                </w:p>
              </w:tc>
              <w:tc>
                <w:tcPr>
                  <w:tcW w:w="360" w:type="pct"/>
                  <w:tcBorders>
                    <w:top w:val="single" w:color="auto" w:sz="4" w:space="0"/>
                    <w:left w:val="single" w:color="auto" w:sz="4" w:space="0"/>
                    <w:bottom w:val="single" w:color="auto" w:sz="4" w:space="0"/>
                    <w:right w:val="single" w:color="auto" w:sz="4" w:space="0"/>
                  </w:tcBorders>
                  <w:shd w:val="clear" w:color="auto" w:fill="auto"/>
                  <w:vAlign w:val="center"/>
                </w:tcPr>
                <w:p w14:paraId="43F5DA40">
                  <w:pPr>
                    <w:widowControl/>
                    <w:jc w:val="center"/>
                    <w:textAlignment w:val="center"/>
                    <w:rPr>
                      <w:kern w:val="0"/>
                      <w:szCs w:val="21"/>
                      <w:u w:val="single"/>
                      <w:lang w:bidi="ar"/>
                    </w:rPr>
                  </w:pPr>
                  <w:r>
                    <w:rPr>
                      <w:rFonts w:hint="eastAsia"/>
                      <w:kern w:val="0"/>
                      <w:szCs w:val="21"/>
                      <w:u w:val="single"/>
                      <w:lang w:bidi="ar"/>
                    </w:rPr>
                    <w:t>0.22</w:t>
                  </w:r>
                </w:p>
              </w:tc>
              <w:tc>
                <w:tcPr>
                  <w:tcW w:w="370" w:type="pct"/>
                  <w:tcBorders>
                    <w:top w:val="single" w:color="auto" w:sz="4" w:space="0"/>
                    <w:left w:val="single" w:color="auto" w:sz="4" w:space="0"/>
                    <w:bottom w:val="single" w:color="auto" w:sz="4" w:space="0"/>
                    <w:right w:val="single" w:color="auto" w:sz="4" w:space="0"/>
                  </w:tcBorders>
                  <w:shd w:val="clear" w:color="auto" w:fill="auto"/>
                  <w:vAlign w:val="center"/>
                </w:tcPr>
                <w:p w14:paraId="49C2929B">
                  <w:pPr>
                    <w:widowControl/>
                    <w:jc w:val="center"/>
                    <w:textAlignment w:val="center"/>
                    <w:rPr>
                      <w:kern w:val="0"/>
                      <w:szCs w:val="21"/>
                      <w:u w:val="single"/>
                      <w:lang w:bidi="ar"/>
                    </w:rPr>
                  </w:pPr>
                  <w:r>
                    <w:rPr>
                      <w:rFonts w:hint="eastAsia"/>
                      <w:kern w:val="0"/>
                      <w:szCs w:val="21"/>
                      <w:u w:val="single"/>
                      <w:lang w:bidi="ar"/>
                    </w:rPr>
                    <w:t>0.20</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487F177B">
                  <w:pPr>
                    <w:widowControl/>
                    <w:jc w:val="center"/>
                    <w:textAlignment w:val="center"/>
                    <w:rPr>
                      <w:kern w:val="0"/>
                      <w:szCs w:val="21"/>
                      <w:u w:val="single"/>
                      <w:lang w:bidi="ar"/>
                    </w:rPr>
                  </w:pPr>
                  <w:r>
                    <w:rPr>
                      <w:rFonts w:hint="eastAsia"/>
                      <w:kern w:val="0"/>
                      <w:szCs w:val="21"/>
                      <w:u w:val="single"/>
                      <w:lang w:bidi="ar"/>
                    </w:rPr>
                    <w:t>0.21</w:t>
                  </w:r>
                </w:p>
              </w:tc>
              <w:tc>
                <w:tcPr>
                  <w:tcW w:w="501" w:type="pct"/>
                  <w:tcBorders>
                    <w:top w:val="single" w:color="auto" w:sz="4" w:space="0"/>
                    <w:left w:val="single" w:color="auto" w:sz="4" w:space="0"/>
                    <w:bottom w:val="single" w:color="auto" w:sz="4" w:space="0"/>
                    <w:right w:val="single" w:color="auto" w:sz="4" w:space="0"/>
                  </w:tcBorders>
                  <w:shd w:val="clear" w:color="auto" w:fill="auto"/>
                  <w:vAlign w:val="center"/>
                </w:tcPr>
                <w:p w14:paraId="4EB494FC">
                  <w:pPr>
                    <w:widowControl/>
                    <w:jc w:val="center"/>
                    <w:textAlignment w:val="center"/>
                    <w:rPr>
                      <w:kern w:val="0"/>
                      <w:szCs w:val="21"/>
                      <w:u w:val="single"/>
                      <w:lang w:bidi="ar"/>
                    </w:rPr>
                  </w:pPr>
                  <w:r>
                    <w:rPr>
                      <w:kern w:val="0"/>
                      <w:szCs w:val="21"/>
                      <w:u w:val="single"/>
                      <w:lang w:bidi="ar"/>
                    </w:rPr>
                    <w:t>20</w:t>
                  </w:r>
                </w:p>
              </w:tc>
              <w:tc>
                <w:tcPr>
                  <w:tcW w:w="500" w:type="pct"/>
                  <w:tcBorders>
                    <w:top w:val="single" w:color="auto" w:sz="4" w:space="0"/>
                    <w:left w:val="single" w:color="auto" w:sz="4" w:space="0"/>
                    <w:bottom w:val="single" w:color="auto" w:sz="4" w:space="0"/>
                    <w:right w:val="single" w:color="auto" w:sz="4" w:space="0"/>
                  </w:tcBorders>
                  <w:shd w:val="clear" w:color="auto" w:fill="auto"/>
                  <w:vAlign w:val="center"/>
                </w:tcPr>
                <w:p w14:paraId="00C47672">
                  <w:pPr>
                    <w:widowControl/>
                    <w:jc w:val="center"/>
                    <w:textAlignment w:val="center"/>
                    <w:rPr>
                      <w:rFonts w:hint="eastAsia" w:ascii="宋体" w:hAnsi="宋体" w:cs="宋体"/>
                      <w:kern w:val="0"/>
                      <w:szCs w:val="21"/>
                      <w:u w:val="single"/>
                      <w:lang w:bidi="ar"/>
                    </w:rPr>
                  </w:pPr>
                  <w:r>
                    <w:rPr>
                      <w:rFonts w:hint="eastAsia" w:ascii="宋体" w:hAnsi="宋体" w:cs="宋体"/>
                      <w:kern w:val="0"/>
                      <w:szCs w:val="21"/>
                      <w:u w:val="single"/>
                      <w:lang w:bidi="ar"/>
                    </w:rPr>
                    <w:t>是</w:t>
                  </w:r>
                </w:p>
              </w:tc>
            </w:tr>
          </w:tbl>
          <w:p w14:paraId="0F1255E3">
            <w:pPr>
              <w:autoSpaceDE w:val="0"/>
              <w:autoSpaceDN w:val="0"/>
              <w:spacing w:line="360" w:lineRule="auto"/>
              <w:ind w:firstLine="480" w:firstLineChars="200"/>
              <w:rPr>
                <w:bCs/>
                <w:color w:val="auto"/>
                <w:sz w:val="24"/>
                <w:u w:val="single"/>
              </w:rPr>
            </w:pPr>
            <w:r>
              <w:rPr>
                <w:rFonts w:hint="eastAsia"/>
                <w:bCs/>
                <w:color w:val="auto"/>
                <w:sz w:val="24"/>
                <w:u w:val="single"/>
              </w:rPr>
              <w:t>根据监测结果，废水总排口水质能达到《污水综合排放标准》</w:t>
            </w:r>
            <w:r>
              <w:rPr>
                <w:rFonts w:hint="eastAsia"/>
                <w:bCs/>
                <w:color w:val="auto"/>
                <w:sz w:val="24"/>
                <w:u w:val="single"/>
                <w:lang w:eastAsia="zh-CN"/>
              </w:rPr>
              <w:t>（</w:t>
            </w:r>
            <w:r>
              <w:rPr>
                <w:rFonts w:hint="eastAsia"/>
                <w:bCs/>
                <w:color w:val="auto"/>
                <w:sz w:val="24"/>
                <w:u w:val="single"/>
              </w:rPr>
              <w:t>GB8978-1996</w:t>
            </w:r>
            <w:r>
              <w:rPr>
                <w:rFonts w:hint="eastAsia"/>
                <w:bCs/>
                <w:color w:val="auto"/>
                <w:sz w:val="24"/>
                <w:u w:val="single"/>
                <w:lang w:eastAsia="zh-CN"/>
              </w:rPr>
              <w:t>）</w:t>
            </w:r>
            <w:r>
              <w:rPr>
                <w:rFonts w:hint="eastAsia"/>
                <w:bCs/>
                <w:color w:val="auto"/>
                <w:sz w:val="24"/>
                <w:u w:val="single"/>
              </w:rPr>
              <w:t>表4中三级标准</w:t>
            </w:r>
            <w:r>
              <w:rPr>
                <w:rFonts w:hint="eastAsia"/>
                <w:color w:val="auto"/>
                <w:sz w:val="24"/>
                <w:u w:val="single"/>
              </w:rPr>
              <w:t>。</w:t>
            </w:r>
            <w:r>
              <w:rPr>
                <w:rFonts w:hint="eastAsia"/>
                <w:color w:val="auto"/>
                <w:sz w:val="24"/>
                <w:u w:val="single"/>
                <w:lang w:eastAsia="zh-CN"/>
              </w:rPr>
              <w:t>项目现有工程废水排放量为：</w:t>
            </w:r>
            <w:r>
              <w:rPr>
                <w:rFonts w:hint="eastAsia"/>
                <w:color w:val="auto"/>
                <w:sz w:val="24"/>
                <w:u w:val="single"/>
              </w:rPr>
              <w:t>根据检测报告，计算得现有项目污染物排放量为化学需氧量</w:t>
            </w:r>
            <w:r>
              <w:rPr>
                <w:rFonts w:hint="eastAsia"/>
                <w:color w:val="auto"/>
                <w:sz w:val="24"/>
                <w:u w:val="single"/>
                <w:lang w:val="en-US" w:eastAsia="zh-CN"/>
              </w:rPr>
              <w:t>1.911</w:t>
            </w:r>
            <w:r>
              <w:rPr>
                <w:rFonts w:hint="eastAsia"/>
                <w:color w:val="auto"/>
                <w:sz w:val="24"/>
                <w:u w:val="single"/>
              </w:rPr>
              <w:t>t/a，氨氮0.0</w:t>
            </w:r>
            <w:r>
              <w:rPr>
                <w:rFonts w:hint="eastAsia"/>
                <w:color w:val="auto"/>
                <w:sz w:val="24"/>
                <w:u w:val="single"/>
                <w:lang w:val="en-US" w:eastAsia="zh-CN"/>
              </w:rPr>
              <w:t>887</w:t>
            </w:r>
            <w:r>
              <w:rPr>
                <w:rFonts w:hint="eastAsia"/>
                <w:color w:val="auto"/>
                <w:sz w:val="24"/>
                <w:u w:val="single"/>
              </w:rPr>
              <w:t>t/a。</w:t>
            </w:r>
          </w:p>
          <w:p w14:paraId="4D758F03">
            <w:pPr>
              <w:spacing w:line="360" w:lineRule="auto"/>
              <w:ind w:left="420" w:leftChars="200"/>
              <w:rPr>
                <w:b/>
                <w:bCs/>
                <w:sz w:val="24"/>
                <w:u w:val="single"/>
              </w:rPr>
            </w:pPr>
            <w:r>
              <w:rPr>
                <w:rFonts w:hint="eastAsia"/>
                <w:b/>
                <w:bCs/>
                <w:sz w:val="24"/>
                <w:u w:val="single"/>
              </w:rPr>
              <w:t>2、废气及其治理措施</w:t>
            </w:r>
          </w:p>
          <w:p w14:paraId="31FC485C">
            <w:pPr>
              <w:pStyle w:val="33"/>
              <w:spacing w:line="360" w:lineRule="auto"/>
              <w:ind w:firstLine="480" w:firstLineChars="200"/>
              <w:rPr>
                <w:rFonts w:ascii="Times New Roman" w:cs="Times New Roman"/>
                <w:u w:val="single"/>
              </w:rPr>
            </w:pPr>
            <w:r>
              <w:rPr>
                <w:rFonts w:hint="eastAsia"/>
                <w:u w:val="single"/>
              </w:rPr>
              <w:t>项目废气主要来自生物质燃料锅炉烟气、餐具自动打包过程产生的微量有机</w:t>
            </w:r>
            <w:r>
              <w:rPr>
                <w:rFonts w:ascii="Times New Roman" w:cs="Times New Roman"/>
                <w:u w:val="single"/>
              </w:rPr>
              <w:t>废气。</w:t>
            </w:r>
          </w:p>
          <w:p w14:paraId="3670C08C">
            <w:pPr>
              <w:pStyle w:val="33"/>
              <w:spacing w:line="360" w:lineRule="auto"/>
              <w:ind w:firstLine="480" w:firstLineChars="200"/>
              <w:rPr>
                <w:rFonts w:ascii="Times New Roman" w:cs="Times New Roman"/>
                <w:u w:val="single"/>
              </w:rPr>
            </w:pPr>
            <w:r>
              <w:rPr>
                <w:rFonts w:hint="eastAsia" w:ascii="Times New Roman" w:cs="Times New Roman"/>
                <w:u w:val="single"/>
                <w:lang w:eastAsia="zh-CN"/>
              </w:rPr>
              <w:t>（</w:t>
            </w:r>
            <w:r>
              <w:rPr>
                <w:rFonts w:ascii="Times New Roman" w:cs="Times New Roman"/>
                <w:u w:val="single"/>
              </w:rPr>
              <w:t>1</w:t>
            </w:r>
            <w:r>
              <w:rPr>
                <w:rFonts w:hint="eastAsia" w:ascii="Times New Roman" w:cs="Times New Roman"/>
                <w:u w:val="single"/>
                <w:lang w:eastAsia="zh-CN"/>
              </w:rPr>
              <w:t>）</w:t>
            </w:r>
            <w:r>
              <w:rPr>
                <w:rFonts w:ascii="Times New Roman" w:cs="Times New Roman"/>
                <w:u w:val="single"/>
              </w:rPr>
              <w:t>生物质燃料锅炉烟气</w:t>
            </w:r>
          </w:p>
          <w:p w14:paraId="1E978D82">
            <w:pPr>
              <w:pStyle w:val="33"/>
              <w:spacing w:line="360" w:lineRule="auto"/>
              <w:ind w:firstLine="480" w:firstLineChars="200"/>
              <w:rPr>
                <w:rFonts w:ascii="Times New Roman" w:cs="Times New Roman"/>
                <w:color w:val="auto"/>
                <w:szCs w:val="21"/>
                <w:u w:val="single"/>
              </w:rPr>
            </w:pPr>
            <w:r>
              <w:rPr>
                <w:rFonts w:ascii="Times New Roman" w:cs="Times New Roman"/>
                <w:u w:val="single"/>
              </w:rPr>
              <w:t>锅炉烟气经布袋除尘处理后经25m高烟囱达到《锅炉大气污染物排放标准》</w:t>
            </w:r>
            <w:r>
              <w:rPr>
                <w:rFonts w:hint="eastAsia" w:ascii="Times New Roman" w:cs="Times New Roman"/>
                <w:u w:val="single"/>
                <w:lang w:eastAsia="zh-CN"/>
              </w:rPr>
              <w:t>（</w:t>
            </w:r>
            <w:r>
              <w:rPr>
                <w:rFonts w:ascii="Times New Roman" w:cs="Times New Roman"/>
                <w:u w:val="single"/>
              </w:rPr>
              <w:t>GB13271-2014</w:t>
            </w:r>
            <w:r>
              <w:rPr>
                <w:rFonts w:hint="eastAsia" w:ascii="Times New Roman" w:cs="Times New Roman"/>
                <w:u w:val="single"/>
                <w:lang w:eastAsia="zh-CN"/>
              </w:rPr>
              <w:t>）</w:t>
            </w:r>
            <w:r>
              <w:rPr>
                <w:rFonts w:ascii="Times New Roman" w:cs="Times New Roman"/>
                <w:u w:val="single"/>
              </w:rPr>
              <w:t>表2中浓度限值排放。</w:t>
            </w:r>
            <w:r>
              <w:rPr>
                <w:rFonts w:hint="eastAsia"/>
                <w:bCs/>
                <w:color w:val="auto"/>
                <w:sz w:val="24"/>
                <w:u w:val="single"/>
              </w:rPr>
              <w:t>根据</w:t>
            </w:r>
            <w:r>
              <w:rPr>
                <w:rFonts w:hint="eastAsia"/>
                <w:bCs/>
                <w:color w:val="auto"/>
                <w:sz w:val="24"/>
                <w:u w:val="single"/>
                <w:lang w:eastAsia="zh-CN"/>
              </w:rPr>
              <w:t>公司环保竣工验收资料</w:t>
            </w:r>
            <w:r>
              <w:rPr>
                <w:rFonts w:hint="eastAsia" w:ascii="Times New Roman" w:cs="Times New Roman"/>
                <w:color w:val="auto"/>
                <w:szCs w:val="21"/>
                <w:u w:val="single"/>
                <w:lang w:eastAsia="zh-CN"/>
              </w:rPr>
              <w:t>，监测期间锅炉基本满负荷运行</w:t>
            </w:r>
            <w:r>
              <w:rPr>
                <w:rFonts w:ascii="Times New Roman" w:cs="Times New Roman"/>
                <w:color w:val="auto"/>
                <w:szCs w:val="21"/>
                <w:u w:val="single"/>
              </w:rPr>
              <w:t>，项目锅炉废气监测分析结果如表2-</w:t>
            </w:r>
            <w:r>
              <w:rPr>
                <w:rFonts w:hint="eastAsia" w:ascii="Times New Roman" w:cs="Times New Roman"/>
                <w:color w:val="auto"/>
                <w:szCs w:val="21"/>
                <w:u w:val="single"/>
                <w:lang w:val="en-US" w:eastAsia="zh-CN"/>
              </w:rPr>
              <w:t>10</w:t>
            </w:r>
            <w:r>
              <w:rPr>
                <w:rFonts w:ascii="Times New Roman" w:cs="Times New Roman"/>
                <w:color w:val="auto"/>
                <w:szCs w:val="21"/>
                <w:u w:val="single"/>
              </w:rPr>
              <w:t>。</w:t>
            </w:r>
          </w:p>
          <w:p w14:paraId="371C751E">
            <w:pPr>
              <w:spacing w:before="120" w:beforeLines="50" w:after="120" w:afterLines="50"/>
              <w:jc w:val="center"/>
              <w:rPr>
                <w:b/>
                <w:bCs/>
                <w:color w:val="auto"/>
                <w:szCs w:val="21"/>
                <w:u w:val="single"/>
              </w:rPr>
            </w:pPr>
            <w:r>
              <w:rPr>
                <w:rFonts w:hint="eastAsia"/>
                <w:b/>
                <w:bCs/>
                <w:color w:val="auto"/>
                <w:szCs w:val="21"/>
                <w:u w:val="single"/>
              </w:rPr>
              <w:t>表2-</w:t>
            </w:r>
            <w:r>
              <w:rPr>
                <w:rFonts w:hint="eastAsia"/>
                <w:b/>
                <w:bCs/>
                <w:color w:val="auto"/>
                <w:szCs w:val="21"/>
                <w:u w:val="single"/>
                <w:lang w:val="en-US" w:eastAsia="zh-CN"/>
              </w:rPr>
              <w:t>10</w:t>
            </w:r>
            <w:r>
              <w:rPr>
                <w:rFonts w:hint="eastAsia"/>
                <w:b/>
                <w:bCs/>
                <w:color w:val="auto"/>
                <w:szCs w:val="21"/>
                <w:u w:val="single"/>
              </w:rPr>
              <w:t>锅炉烟气</w:t>
            </w:r>
            <w:r>
              <w:rPr>
                <w:b/>
                <w:bCs/>
                <w:color w:val="auto"/>
                <w:szCs w:val="21"/>
                <w:u w:val="single"/>
              </w:rPr>
              <w:t>监测结果  单位：mg/</w:t>
            </w:r>
            <w:r>
              <w:rPr>
                <w:rFonts w:hint="eastAsia"/>
                <w:b/>
                <w:bCs/>
                <w:color w:val="auto"/>
                <w:szCs w:val="21"/>
                <w:u w:val="single"/>
              </w:rPr>
              <w:t>L</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27"/>
              <w:gridCol w:w="1056"/>
              <w:gridCol w:w="907"/>
              <w:gridCol w:w="907"/>
              <w:gridCol w:w="1176"/>
              <w:gridCol w:w="848"/>
              <w:gridCol w:w="848"/>
              <w:gridCol w:w="848"/>
              <w:gridCol w:w="849"/>
              <w:gridCol w:w="613"/>
            </w:tblGrid>
            <w:tr w14:paraId="56FBE7A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restart"/>
                  <w:tcBorders>
                    <w:top w:val="single" w:color="auto" w:sz="12" w:space="0"/>
                    <w:left w:val="single" w:color="auto" w:sz="12" w:space="0"/>
                    <w:bottom w:val="single" w:color="auto" w:sz="6" w:space="0"/>
                    <w:right w:val="single" w:color="auto" w:sz="6" w:space="0"/>
                    <w:tl2br w:val="nil"/>
                    <w:tr2bl w:val="nil"/>
                  </w:tcBorders>
                  <w:vAlign w:val="center"/>
                </w:tcPr>
                <w:p w14:paraId="1239E7A2">
                  <w:pPr>
                    <w:adjustRightInd w:val="0"/>
                    <w:snapToGrid w:val="0"/>
                    <w:jc w:val="center"/>
                    <w:textAlignment w:val="center"/>
                    <w:rPr>
                      <w:b/>
                      <w:color w:val="auto"/>
                      <w:szCs w:val="21"/>
                      <w:u w:val="single"/>
                    </w:rPr>
                  </w:pPr>
                  <w:r>
                    <w:rPr>
                      <w:b/>
                      <w:color w:val="auto"/>
                      <w:szCs w:val="21"/>
                      <w:u w:val="single"/>
                    </w:rPr>
                    <w:t>监测点位</w:t>
                  </w:r>
                </w:p>
              </w:tc>
              <w:tc>
                <w:tcPr>
                  <w:tcW w:w="0" w:type="auto"/>
                  <w:vMerge w:val="restart"/>
                  <w:tcBorders>
                    <w:top w:val="single" w:color="auto" w:sz="12" w:space="0"/>
                    <w:left w:val="single" w:color="auto" w:sz="6" w:space="0"/>
                    <w:right w:val="single" w:color="auto" w:sz="6" w:space="0"/>
                    <w:tl2br w:val="nil"/>
                    <w:tr2bl w:val="nil"/>
                  </w:tcBorders>
                  <w:vAlign w:val="center"/>
                </w:tcPr>
                <w:p w14:paraId="5277F669">
                  <w:pPr>
                    <w:adjustRightInd w:val="0"/>
                    <w:snapToGrid w:val="0"/>
                    <w:jc w:val="center"/>
                    <w:textAlignment w:val="center"/>
                    <w:rPr>
                      <w:b/>
                      <w:color w:val="auto"/>
                      <w:szCs w:val="21"/>
                      <w:u w:val="single"/>
                    </w:rPr>
                  </w:pPr>
                  <w:r>
                    <w:rPr>
                      <w:rFonts w:hint="eastAsia"/>
                      <w:b/>
                      <w:color w:val="auto"/>
                      <w:szCs w:val="21"/>
                      <w:u w:val="single"/>
                    </w:rPr>
                    <w:t>检测时间</w:t>
                  </w:r>
                </w:p>
              </w:tc>
              <w:tc>
                <w:tcPr>
                  <w:tcW w:w="0" w:type="auto"/>
                  <w:gridSpan w:val="2"/>
                  <w:vMerge w:val="restart"/>
                  <w:tcBorders>
                    <w:top w:val="single" w:color="auto" w:sz="12" w:space="0"/>
                    <w:left w:val="single" w:color="auto" w:sz="6" w:space="0"/>
                    <w:bottom w:val="single" w:color="auto" w:sz="6" w:space="0"/>
                    <w:right w:val="single" w:color="auto" w:sz="6" w:space="0"/>
                    <w:tl2br w:val="nil"/>
                    <w:tr2bl w:val="nil"/>
                  </w:tcBorders>
                  <w:vAlign w:val="center"/>
                </w:tcPr>
                <w:p w14:paraId="5F34FBB3">
                  <w:pPr>
                    <w:adjustRightInd w:val="0"/>
                    <w:snapToGrid w:val="0"/>
                    <w:jc w:val="center"/>
                    <w:textAlignment w:val="center"/>
                    <w:rPr>
                      <w:b/>
                      <w:color w:val="auto"/>
                      <w:szCs w:val="21"/>
                      <w:u w:val="single"/>
                    </w:rPr>
                  </w:pPr>
                  <w:r>
                    <w:rPr>
                      <w:b/>
                      <w:color w:val="auto"/>
                      <w:szCs w:val="21"/>
                      <w:u w:val="single"/>
                    </w:rPr>
                    <w:t>检测项目</w:t>
                  </w:r>
                </w:p>
              </w:tc>
              <w:tc>
                <w:tcPr>
                  <w:tcW w:w="0" w:type="auto"/>
                  <w:vMerge w:val="restart"/>
                  <w:tcBorders>
                    <w:top w:val="single" w:color="auto" w:sz="12" w:space="0"/>
                    <w:left w:val="single" w:color="auto" w:sz="6" w:space="0"/>
                    <w:bottom w:val="single" w:color="auto" w:sz="6" w:space="0"/>
                    <w:right w:val="single" w:color="auto" w:sz="6" w:space="0"/>
                    <w:tl2br w:val="nil"/>
                    <w:tr2bl w:val="nil"/>
                  </w:tcBorders>
                  <w:vAlign w:val="center"/>
                </w:tcPr>
                <w:p w14:paraId="0EA8EEE7">
                  <w:pPr>
                    <w:adjustRightInd w:val="0"/>
                    <w:snapToGrid w:val="0"/>
                    <w:jc w:val="center"/>
                    <w:textAlignment w:val="center"/>
                    <w:rPr>
                      <w:b/>
                      <w:color w:val="auto"/>
                      <w:szCs w:val="21"/>
                      <w:u w:val="single"/>
                    </w:rPr>
                  </w:pPr>
                  <w:r>
                    <w:rPr>
                      <w:b/>
                      <w:color w:val="auto"/>
                      <w:szCs w:val="21"/>
                      <w:u w:val="single"/>
                    </w:rPr>
                    <w:t>单位</w:t>
                  </w:r>
                </w:p>
              </w:tc>
              <w:tc>
                <w:tcPr>
                  <w:tcW w:w="0" w:type="auto"/>
                  <w:gridSpan w:val="4"/>
                  <w:tcBorders>
                    <w:top w:val="single" w:color="auto" w:sz="12" w:space="0"/>
                    <w:left w:val="single" w:color="auto" w:sz="6" w:space="0"/>
                    <w:bottom w:val="single" w:color="auto" w:sz="6" w:space="0"/>
                    <w:right w:val="single" w:color="auto" w:sz="6" w:space="0"/>
                    <w:tl2br w:val="nil"/>
                    <w:tr2bl w:val="nil"/>
                  </w:tcBorders>
                  <w:vAlign w:val="center"/>
                </w:tcPr>
                <w:p w14:paraId="01E1C47A">
                  <w:pPr>
                    <w:pStyle w:val="33"/>
                    <w:jc w:val="center"/>
                    <w:rPr>
                      <w:rFonts w:ascii="Times New Roman" w:cs="Times New Roman"/>
                      <w:color w:val="auto"/>
                      <w:sz w:val="21"/>
                      <w:szCs w:val="21"/>
                      <w:u w:val="single"/>
                    </w:rPr>
                  </w:pPr>
                  <w:r>
                    <w:rPr>
                      <w:rFonts w:ascii="Times New Roman" w:cs="Times New Roman"/>
                      <w:b/>
                      <w:color w:val="auto"/>
                      <w:sz w:val="21"/>
                      <w:szCs w:val="21"/>
                      <w:u w:val="single"/>
                    </w:rPr>
                    <w:t>检测时间及检测结果</w:t>
                  </w:r>
                </w:p>
              </w:tc>
              <w:tc>
                <w:tcPr>
                  <w:tcW w:w="0" w:type="auto"/>
                  <w:vMerge w:val="restart"/>
                  <w:tcBorders>
                    <w:top w:val="single" w:color="auto" w:sz="12" w:space="0"/>
                    <w:left w:val="single" w:color="auto" w:sz="6" w:space="0"/>
                    <w:bottom w:val="single" w:color="auto" w:sz="6" w:space="0"/>
                    <w:right w:val="single" w:color="auto" w:sz="12" w:space="0"/>
                    <w:tl2br w:val="nil"/>
                    <w:tr2bl w:val="nil"/>
                  </w:tcBorders>
                  <w:vAlign w:val="center"/>
                </w:tcPr>
                <w:p w14:paraId="4D3B2468">
                  <w:pPr>
                    <w:adjustRightInd w:val="0"/>
                    <w:snapToGrid w:val="0"/>
                    <w:jc w:val="center"/>
                    <w:textAlignment w:val="center"/>
                    <w:rPr>
                      <w:b/>
                      <w:color w:val="auto"/>
                      <w:szCs w:val="21"/>
                      <w:u w:val="single"/>
                    </w:rPr>
                  </w:pPr>
                  <w:r>
                    <w:rPr>
                      <w:b/>
                      <w:color w:val="auto"/>
                      <w:szCs w:val="21"/>
                      <w:u w:val="single"/>
                    </w:rPr>
                    <w:t>排放</w:t>
                  </w:r>
                </w:p>
                <w:p w14:paraId="70F08A70">
                  <w:pPr>
                    <w:pStyle w:val="33"/>
                    <w:jc w:val="center"/>
                    <w:rPr>
                      <w:rFonts w:ascii="Times New Roman" w:cs="Times New Roman"/>
                      <w:color w:val="auto"/>
                      <w:sz w:val="21"/>
                      <w:szCs w:val="21"/>
                      <w:u w:val="single"/>
                    </w:rPr>
                  </w:pPr>
                  <w:r>
                    <w:rPr>
                      <w:rFonts w:ascii="Times New Roman" w:cs="Times New Roman"/>
                      <w:b/>
                      <w:color w:val="auto"/>
                      <w:sz w:val="21"/>
                      <w:szCs w:val="21"/>
                      <w:u w:val="single"/>
                    </w:rPr>
                    <w:t>标准</w:t>
                  </w:r>
                </w:p>
              </w:tc>
            </w:tr>
            <w:tr w14:paraId="07AD1B1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18F36410">
                  <w:pPr>
                    <w:pStyle w:val="33"/>
                    <w:jc w:val="center"/>
                    <w:rPr>
                      <w:rFonts w:ascii="Times New Roman" w:cs="Times New Roman"/>
                      <w:color w:val="auto"/>
                      <w:sz w:val="21"/>
                      <w:szCs w:val="21"/>
                      <w:u w:val="single"/>
                    </w:rPr>
                  </w:pPr>
                </w:p>
              </w:tc>
              <w:tc>
                <w:tcPr>
                  <w:tcW w:w="0" w:type="auto"/>
                  <w:vMerge w:val="continue"/>
                  <w:tcBorders>
                    <w:left w:val="single" w:color="auto" w:sz="6" w:space="0"/>
                    <w:bottom w:val="single" w:color="auto" w:sz="6" w:space="0"/>
                    <w:right w:val="single" w:color="auto" w:sz="6" w:space="0"/>
                    <w:tl2br w:val="nil"/>
                    <w:tr2bl w:val="nil"/>
                  </w:tcBorders>
                  <w:vAlign w:val="center"/>
                </w:tcPr>
                <w:p w14:paraId="4C528497">
                  <w:pPr>
                    <w:pStyle w:val="33"/>
                    <w:jc w:val="center"/>
                    <w:rPr>
                      <w:rFonts w:ascii="Times New Roman" w:cs="Times New Roman"/>
                      <w:color w:val="auto"/>
                      <w:sz w:val="21"/>
                      <w:szCs w:val="21"/>
                      <w:u w:val="single"/>
                    </w:rPr>
                  </w:pPr>
                </w:p>
              </w:tc>
              <w:tc>
                <w:tcPr>
                  <w:tcW w:w="0" w:type="auto"/>
                  <w:gridSpan w:val="2"/>
                  <w:vMerge w:val="continue"/>
                  <w:tcBorders>
                    <w:top w:val="single" w:color="auto" w:sz="6" w:space="0"/>
                    <w:left w:val="single" w:color="auto" w:sz="6" w:space="0"/>
                    <w:bottom w:val="single" w:color="auto" w:sz="6" w:space="0"/>
                    <w:right w:val="single" w:color="auto" w:sz="6" w:space="0"/>
                    <w:tl2br w:val="nil"/>
                    <w:tr2bl w:val="nil"/>
                  </w:tcBorders>
                  <w:vAlign w:val="center"/>
                </w:tcPr>
                <w:p w14:paraId="14B57956">
                  <w:pPr>
                    <w:pStyle w:val="33"/>
                    <w:jc w:val="center"/>
                    <w:rPr>
                      <w:rFonts w:ascii="Times New Roman" w:cs="Times New Roman"/>
                      <w:color w:val="auto"/>
                      <w:sz w:val="21"/>
                      <w:szCs w:val="21"/>
                      <w:u w:val="single"/>
                    </w:rPr>
                  </w:pPr>
                </w:p>
              </w:tc>
              <w:tc>
                <w:tcPr>
                  <w:tcW w:w="0" w:type="auto"/>
                  <w:vMerge w:val="continue"/>
                  <w:tcBorders>
                    <w:top w:val="single" w:color="auto" w:sz="6" w:space="0"/>
                    <w:left w:val="single" w:color="auto" w:sz="6" w:space="0"/>
                    <w:bottom w:val="single" w:color="auto" w:sz="6" w:space="0"/>
                    <w:right w:val="single" w:color="auto" w:sz="6" w:space="0"/>
                    <w:tl2br w:val="nil"/>
                    <w:tr2bl w:val="nil"/>
                  </w:tcBorders>
                  <w:vAlign w:val="center"/>
                </w:tcPr>
                <w:p w14:paraId="10FCA1FA">
                  <w:pPr>
                    <w:pStyle w:val="33"/>
                    <w:jc w:val="center"/>
                    <w:rPr>
                      <w:rFonts w:ascii="Times New Roman" w:cs="Times New Roman"/>
                      <w:color w:val="auto"/>
                      <w:sz w:val="21"/>
                      <w:szCs w:val="21"/>
                      <w:u w:val="single"/>
                    </w:rPr>
                  </w:pP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46DE9D1B">
                  <w:pPr>
                    <w:adjustRightInd w:val="0"/>
                    <w:snapToGrid w:val="0"/>
                    <w:jc w:val="center"/>
                    <w:rPr>
                      <w:b/>
                      <w:color w:val="auto"/>
                      <w:szCs w:val="21"/>
                      <w:u w:val="single"/>
                    </w:rPr>
                  </w:pPr>
                  <w:r>
                    <w:rPr>
                      <w:b/>
                      <w:color w:val="auto"/>
                      <w:szCs w:val="21"/>
                      <w:u w:val="single"/>
                    </w:rPr>
                    <w:t>第1次</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653DF1DE">
                  <w:pPr>
                    <w:adjustRightInd w:val="0"/>
                    <w:snapToGrid w:val="0"/>
                    <w:jc w:val="center"/>
                    <w:rPr>
                      <w:b/>
                      <w:color w:val="auto"/>
                      <w:szCs w:val="21"/>
                      <w:u w:val="single"/>
                    </w:rPr>
                  </w:pPr>
                  <w:r>
                    <w:rPr>
                      <w:b/>
                      <w:color w:val="auto"/>
                      <w:szCs w:val="21"/>
                      <w:u w:val="single"/>
                    </w:rPr>
                    <w:t>第2次</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1474C26B">
                  <w:pPr>
                    <w:adjustRightInd w:val="0"/>
                    <w:snapToGrid w:val="0"/>
                    <w:jc w:val="center"/>
                    <w:rPr>
                      <w:b/>
                      <w:color w:val="auto"/>
                      <w:szCs w:val="21"/>
                      <w:u w:val="single"/>
                    </w:rPr>
                  </w:pPr>
                  <w:r>
                    <w:rPr>
                      <w:b/>
                      <w:color w:val="auto"/>
                      <w:szCs w:val="21"/>
                      <w:u w:val="single"/>
                    </w:rPr>
                    <w:t>第3次</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5E534482">
                  <w:pPr>
                    <w:adjustRightInd w:val="0"/>
                    <w:snapToGrid w:val="0"/>
                    <w:jc w:val="center"/>
                    <w:rPr>
                      <w:b/>
                      <w:color w:val="auto"/>
                      <w:szCs w:val="21"/>
                      <w:u w:val="single"/>
                    </w:rPr>
                  </w:pPr>
                  <w:r>
                    <w:rPr>
                      <w:b/>
                      <w:color w:val="auto"/>
                      <w:szCs w:val="21"/>
                      <w:u w:val="single"/>
                    </w:rPr>
                    <w:t>平均值</w:t>
                  </w:r>
                </w:p>
              </w:tc>
              <w:tc>
                <w:tcPr>
                  <w:tcW w:w="0" w:type="auto"/>
                  <w:vMerge w:val="continue"/>
                  <w:tcBorders>
                    <w:top w:val="single" w:color="auto" w:sz="6" w:space="0"/>
                    <w:left w:val="single" w:color="auto" w:sz="6" w:space="0"/>
                    <w:bottom w:val="single" w:color="auto" w:sz="6" w:space="0"/>
                    <w:right w:val="single" w:color="auto" w:sz="12" w:space="0"/>
                    <w:tl2br w:val="nil"/>
                    <w:tr2bl w:val="nil"/>
                  </w:tcBorders>
                  <w:vAlign w:val="center"/>
                </w:tcPr>
                <w:p w14:paraId="3B780D90">
                  <w:pPr>
                    <w:pStyle w:val="33"/>
                    <w:jc w:val="center"/>
                    <w:rPr>
                      <w:rFonts w:ascii="Times New Roman" w:cs="Times New Roman"/>
                      <w:color w:val="auto"/>
                      <w:sz w:val="21"/>
                      <w:szCs w:val="21"/>
                      <w:u w:val="single"/>
                    </w:rPr>
                  </w:pPr>
                </w:p>
              </w:tc>
            </w:tr>
            <w:tr w14:paraId="57AF64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restart"/>
                  <w:tcBorders>
                    <w:top w:val="single" w:color="auto" w:sz="6" w:space="0"/>
                    <w:left w:val="single" w:color="auto" w:sz="12" w:space="0"/>
                    <w:bottom w:val="single" w:color="auto" w:sz="6" w:space="0"/>
                    <w:right w:val="single" w:color="auto" w:sz="6" w:space="0"/>
                    <w:tl2br w:val="nil"/>
                    <w:tr2bl w:val="nil"/>
                  </w:tcBorders>
                  <w:vAlign w:val="center"/>
                </w:tcPr>
                <w:p w14:paraId="16F509AA">
                  <w:pPr>
                    <w:pStyle w:val="33"/>
                    <w:jc w:val="center"/>
                    <w:rPr>
                      <w:rFonts w:ascii="Times New Roman" w:cs="Times New Roman"/>
                      <w:color w:val="auto"/>
                      <w:sz w:val="21"/>
                      <w:szCs w:val="21"/>
                      <w:u w:val="single"/>
                    </w:rPr>
                  </w:pPr>
                  <w:r>
                    <w:rPr>
                      <w:rFonts w:ascii="Times New Roman" w:cs="Times New Roman"/>
                      <w:color w:val="auto"/>
                      <w:sz w:val="21"/>
                      <w:szCs w:val="21"/>
                      <w:u w:val="single"/>
                    </w:rPr>
                    <w:t>锅炉废气排口</w:t>
                  </w:r>
                </w:p>
              </w:tc>
              <w:tc>
                <w:tcPr>
                  <w:tcW w:w="1056" w:type="dxa"/>
                  <w:vMerge w:val="restart"/>
                  <w:tcBorders>
                    <w:top w:val="single" w:color="auto" w:sz="6" w:space="0"/>
                    <w:left w:val="single" w:color="auto" w:sz="6" w:space="0"/>
                    <w:right w:val="single" w:color="auto" w:sz="6" w:space="0"/>
                    <w:tl2br w:val="nil"/>
                    <w:tr2bl w:val="nil"/>
                  </w:tcBorders>
                  <w:vAlign w:val="center"/>
                </w:tcPr>
                <w:p w14:paraId="51807D19">
                  <w:pPr>
                    <w:pStyle w:val="33"/>
                    <w:jc w:val="center"/>
                    <w:rPr>
                      <w:rFonts w:hint="default" w:ascii="Times New Roman" w:eastAsia="宋体" w:cs="Times New Roman"/>
                      <w:color w:val="auto"/>
                      <w:sz w:val="21"/>
                      <w:szCs w:val="21"/>
                      <w:u w:val="single"/>
                      <w:lang w:val="en-US" w:eastAsia="zh-CN"/>
                    </w:rPr>
                  </w:pPr>
                  <w:r>
                    <w:rPr>
                      <w:rFonts w:hint="eastAsia" w:ascii="Times New Roman" w:cs="Times New Roman"/>
                      <w:color w:val="auto"/>
                      <w:kern w:val="0"/>
                      <w:sz w:val="21"/>
                      <w:szCs w:val="21"/>
                      <w:u w:val="single"/>
                      <w:lang w:val="en-US" w:eastAsia="zh-CN" w:bidi="ar"/>
                    </w:rPr>
                    <w:t>2016.1</w:t>
                  </w:r>
                </w:p>
              </w:tc>
              <w:tc>
                <w:tcPr>
                  <w:tcW w:w="0" w:type="auto"/>
                  <w:gridSpan w:val="2"/>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494C06B7">
                  <w:pPr>
                    <w:widowControl/>
                    <w:jc w:val="center"/>
                    <w:textAlignment w:val="center"/>
                    <w:rPr>
                      <w:color w:val="auto"/>
                      <w:szCs w:val="21"/>
                      <w:u w:val="single"/>
                    </w:rPr>
                  </w:pPr>
                  <w:r>
                    <w:rPr>
                      <w:color w:val="auto"/>
                      <w:kern w:val="0"/>
                      <w:szCs w:val="21"/>
                      <w:u w:val="single"/>
                      <w:lang w:bidi="ar"/>
                    </w:rPr>
                    <w:t>实测氧含量</w:t>
                  </w:r>
                </w:p>
              </w:tc>
              <w:tc>
                <w:tcPr>
                  <w:tcW w:w="1176" w:type="dxa"/>
                  <w:tcBorders>
                    <w:top w:val="single" w:color="auto" w:sz="6" w:space="0"/>
                    <w:left w:val="single" w:color="auto" w:sz="6" w:space="0"/>
                    <w:bottom w:val="single" w:color="auto" w:sz="6" w:space="0"/>
                    <w:right w:val="single" w:color="auto" w:sz="6" w:space="0"/>
                    <w:tl2br w:val="nil"/>
                    <w:tr2bl w:val="nil"/>
                  </w:tcBorders>
                  <w:vAlign w:val="center"/>
                </w:tcPr>
                <w:p w14:paraId="04AA8422">
                  <w:pPr>
                    <w:widowControl/>
                    <w:jc w:val="center"/>
                    <w:textAlignment w:val="center"/>
                    <w:rPr>
                      <w:color w:val="auto"/>
                      <w:szCs w:val="21"/>
                      <w:u w:val="single"/>
                    </w:rPr>
                  </w:pPr>
                  <w:r>
                    <w:rPr>
                      <w:color w:val="auto"/>
                      <w:kern w:val="0"/>
                      <w:szCs w:val="21"/>
                      <w:u w:val="single"/>
                      <w:lang w:bidi="ar"/>
                    </w:rPr>
                    <w:t>%</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1C9BC42D">
                  <w:pPr>
                    <w:widowControl/>
                    <w:jc w:val="center"/>
                    <w:textAlignment w:val="center"/>
                    <w:rPr>
                      <w:color w:val="auto"/>
                      <w:szCs w:val="21"/>
                      <w:u w:val="single"/>
                    </w:rPr>
                  </w:pPr>
                  <w:r>
                    <w:rPr>
                      <w:color w:val="auto"/>
                      <w:kern w:val="0"/>
                      <w:szCs w:val="21"/>
                      <w:u w:val="single"/>
                      <w:lang w:bidi="ar"/>
                    </w:rPr>
                    <w:t>15.2</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1EC1B230">
                  <w:pPr>
                    <w:widowControl/>
                    <w:jc w:val="center"/>
                    <w:textAlignment w:val="center"/>
                    <w:rPr>
                      <w:color w:val="auto"/>
                      <w:szCs w:val="21"/>
                      <w:u w:val="single"/>
                    </w:rPr>
                  </w:pPr>
                  <w:r>
                    <w:rPr>
                      <w:color w:val="auto"/>
                      <w:kern w:val="0"/>
                      <w:szCs w:val="21"/>
                      <w:u w:val="single"/>
                      <w:lang w:bidi="ar"/>
                    </w:rPr>
                    <w:t>15.3</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07DDABFD">
                  <w:pPr>
                    <w:widowControl/>
                    <w:jc w:val="center"/>
                    <w:textAlignment w:val="center"/>
                    <w:rPr>
                      <w:color w:val="auto"/>
                      <w:szCs w:val="21"/>
                      <w:u w:val="single"/>
                    </w:rPr>
                  </w:pPr>
                  <w:r>
                    <w:rPr>
                      <w:color w:val="auto"/>
                      <w:kern w:val="0"/>
                      <w:szCs w:val="21"/>
                      <w:u w:val="single"/>
                      <w:lang w:bidi="ar"/>
                    </w:rPr>
                    <w:t>15.5</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5E1BC680">
                  <w:pPr>
                    <w:widowControl/>
                    <w:jc w:val="center"/>
                    <w:textAlignment w:val="center"/>
                    <w:rPr>
                      <w:color w:val="auto"/>
                      <w:szCs w:val="21"/>
                      <w:u w:val="single"/>
                    </w:rPr>
                  </w:pPr>
                  <w:r>
                    <w:rPr>
                      <w:color w:val="auto"/>
                      <w:kern w:val="0"/>
                      <w:szCs w:val="21"/>
                      <w:u w:val="single"/>
                      <w:lang w:bidi="ar"/>
                    </w:rPr>
                    <w:t>15.3</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6A9B022D">
                  <w:pPr>
                    <w:adjustRightInd w:val="0"/>
                    <w:snapToGrid w:val="0"/>
                    <w:jc w:val="center"/>
                    <w:textAlignment w:val="center"/>
                    <w:rPr>
                      <w:color w:val="auto"/>
                      <w:szCs w:val="21"/>
                      <w:u w:val="single"/>
                    </w:rPr>
                  </w:pPr>
                  <w:r>
                    <w:rPr>
                      <w:color w:val="auto"/>
                      <w:szCs w:val="21"/>
                      <w:u w:val="single"/>
                    </w:rPr>
                    <w:t>/</w:t>
                  </w:r>
                </w:p>
              </w:tc>
            </w:tr>
            <w:tr w14:paraId="12263C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7EBC8CE7">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22768357">
                  <w:pPr>
                    <w:pStyle w:val="33"/>
                    <w:jc w:val="center"/>
                    <w:rPr>
                      <w:rFonts w:ascii="Times New Roman" w:cs="Times New Roman"/>
                      <w:color w:val="auto"/>
                      <w:sz w:val="21"/>
                      <w:szCs w:val="21"/>
                      <w:u w:val="single"/>
                    </w:rPr>
                  </w:pPr>
                </w:p>
              </w:tc>
              <w:tc>
                <w:tcPr>
                  <w:tcW w:w="0" w:type="auto"/>
                  <w:gridSpan w:val="2"/>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3799592D">
                  <w:pPr>
                    <w:widowControl/>
                    <w:jc w:val="center"/>
                    <w:textAlignment w:val="center"/>
                    <w:rPr>
                      <w:color w:val="auto"/>
                      <w:szCs w:val="21"/>
                      <w:u w:val="single"/>
                    </w:rPr>
                  </w:pPr>
                  <w:r>
                    <w:rPr>
                      <w:color w:val="auto"/>
                      <w:kern w:val="0"/>
                      <w:szCs w:val="21"/>
                      <w:u w:val="single"/>
                      <w:lang w:bidi="ar"/>
                    </w:rPr>
                    <w:t>烟气流速</w:t>
                  </w:r>
                </w:p>
              </w:tc>
              <w:tc>
                <w:tcPr>
                  <w:tcW w:w="1176" w:type="dxa"/>
                  <w:tcBorders>
                    <w:top w:val="single" w:color="auto" w:sz="6" w:space="0"/>
                    <w:left w:val="single" w:color="auto" w:sz="6" w:space="0"/>
                    <w:bottom w:val="single" w:color="auto" w:sz="6" w:space="0"/>
                    <w:right w:val="single" w:color="auto" w:sz="6" w:space="0"/>
                    <w:tl2br w:val="nil"/>
                    <w:tr2bl w:val="nil"/>
                  </w:tcBorders>
                  <w:vAlign w:val="center"/>
                </w:tcPr>
                <w:p w14:paraId="10FEF283">
                  <w:pPr>
                    <w:widowControl/>
                    <w:jc w:val="center"/>
                    <w:textAlignment w:val="center"/>
                    <w:rPr>
                      <w:color w:val="auto"/>
                      <w:szCs w:val="21"/>
                      <w:u w:val="single"/>
                    </w:rPr>
                  </w:pPr>
                  <w:r>
                    <w:rPr>
                      <w:color w:val="auto"/>
                      <w:kern w:val="0"/>
                      <w:szCs w:val="21"/>
                      <w:u w:val="single"/>
                      <w:lang w:bidi="ar"/>
                    </w:rPr>
                    <w:t>m/s</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1FAA32EE">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14.7</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5F7095CC">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17.5</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7D2F9BEE">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15.8</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267DFE16">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16.0</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4A8958F3">
                  <w:pPr>
                    <w:adjustRightInd w:val="0"/>
                    <w:snapToGrid w:val="0"/>
                    <w:jc w:val="center"/>
                    <w:textAlignment w:val="center"/>
                    <w:rPr>
                      <w:color w:val="auto"/>
                      <w:szCs w:val="21"/>
                      <w:u w:val="single"/>
                    </w:rPr>
                  </w:pPr>
                  <w:r>
                    <w:rPr>
                      <w:color w:val="auto"/>
                      <w:szCs w:val="21"/>
                      <w:u w:val="single"/>
                    </w:rPr>
                    <w:t>/</w:t>
                  </w:r>
                </w:p>
              </w:tc>
            </w:tr>
            <w:tr w14:paraId="4F99DC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5FF13BAA">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448ACBAA">
                  <w:pPr>
                    <w:pStyle w:val="33"/>
                    <w:jc w:val="center"/>
                    <w:rPr>
                      <w:rFonts w:ascii="Times New Roman" w:cs="Times New Roman"/>
                      <w:color w:val="auto"/>
                      <w:sz w:val="21"/>
                      <w:szCs w:val="21"/>
                      <w:u w:val="single"/>
                    </w:rPr>
                  </w:pPr>
                </w:p>
              </w:tc>
              <w:tc>
                <w:tcPr>
                  <w:tcW w:w="0" w:type="auto"/>
                  <w:gridSpan w:val="2"/>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1BB4099C">
                  <w:pPr>
                    <w:widowControl/>
                    <w:jc w:val="center"/>
                    <w:textAlignment w:val="center"/>
                    <w:rPr>
                      <w:color w:val="auto"/>
                      <w:szCs w:val="21"/>
                      <w:u w:val="single"/>
                    </w:rPr>
                  </w:pPr>
                  <w:r>
                    <w:rPr>
                      <w:color w:val="auto"/>
                      <w:kern w:val="0"/>
                      <w:szCs w:val="21"/>
                      <w:u w:val="single"/>
                      <w:lang w:bidi="ar"/>
                    </w:rPr>
                    <w:t>烟气温度</w:t>
                  </w:r>
                </w:p>
              </w:tc>
              <w:tc>
                <w:tcPr>
                  <w:tcW w:w="1176" w:type="dxa"/>
                  <w:tcBorders>
                    <w:top w:val="single" w:color="auto" w:sz="6" w:space="0"/>
                    <w:left w:val="single" w:color="auto" w:sz="6" w:space="0"/>
                    <w:bottom w:val="single" w:color="auto" w:sz="6" w:space="0"/>
                    <w:right w:val="single" w:color="auto" w:sz="6" w:space="0"/>
                    <w:tl2br w:val="nil"/>
                    <w:tr2bl w:val="nil"/>
                  </w:tcBorders>
                  <w:vAlign w:val="center"/>
                </w:tcPr>
                <w:p w14:paraId="64E158C5">
                  <w:pPr>
                    <w:widowControl/>
                    <w:jc w:val="center"/>
                    <w:textAlignment w:val="center"/>
                    <w:rPr>
                      <w:color w:val="auto"/>
                      <w:szCs w:val="21"/>
                      <w:u w:val="single"/>
                    </w:rPr>
                  </w:pPr>
                  <w:r>
                    <w:rPr>
                      <w:color w:val="auto"/>
                      <w:kern w:val="0"/>
                      <w:szCs w:val="21"/>
                      <w:u w:val="single"/>
                      <w:lang w:bidi="ar"/>
                    </w:rPr>
                    <w:t>℃</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34177920">
                  <w:pPr>
                    <w:widowControl/>
                    <w:jc w:val="center"/>
                    <w:textAlignment w:val="center"/>
                    <w:rPr>
                      <w:color w:val="auto"/>
                      <w:szCs w:val="21"/>
                      <w:u w:val="single"/>
                    </w:rPr>
                  </w:pPr>
                  <w:r>
                    <w:rPr>
                      <w:color w:val="auto"/>
                      <w:kern w:val="0"/>
                      <w:szCs w:val="21"/>
                      <w:u w:val="single"/>
                      <w:lang w:bidi="ar"/>
                    </w:rPr>
                    <w:t>98</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038E8843">
                  <w:pPr>
                    <w:widowControl/>
                    <w:jc w:val="center"/>
                    <w:textAlignment w:val="center"/>
                    <w:rPr>
                      <w:color w:val="auto"/>
                      <w:szCs w:val="21"/>
                      <w:u w:val="single"/>
                    </w:rPr>
                  </w:pPr>
                  <w:r>
                    <w:rPr>
                      <w:color w:val="auto"/>
                      <w:kern w:val="0"/>
                      <w:szCs w:val="21"/>
                      <w:u w:val="single"/>
                      <w:lang w:bidi="ar"/>
                    </w:rPr>
                    <w:t>98.6</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0E0E1855">
                  <w:pPr>
                    <w:widowControl/>
                    <w:jc w:val="center"/>
                    <w:textAlignment w:val="center"/>
                    <w:rPr>
                      <w:color w:val="auto"/>
                      <w:szCs w:val="21"/>
                      <w:u w:val="single"/>
                    </w:rPr>
                  </w:pPr>
                  <w:r>
                    <w:rPr>
                      <w:color w:val="auto"/>
                      <w:kern w:val="0"/>
                      <w:szCs w:val="21"/>
                      <w:u w:val="single"/>
                      <w:lang w:bidi="ar"/>
                    </w:rPr>
                    <w:t>96.9</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4DC82BE0">
                  <w:pPr>
                    <w:widowControl/>
                    <w:jc w:val="center"/>
                    <w:textAlignment w:val="center"/>
                    <w:rPr>
                      <w:color w:val="auto"/>
                      <w:szCs w:val="21"/>
                      <w:u w:val="single"/>
                    </w:rPr>
                  </w:pPr>
                  <w:r>
                    <w:rPr>
                      <w:color w:val="auto"/>
                      <w:kern w:val="0"/>
                      <w:szCs w:val="21"/>
                      <w:u w:val="single"/>
                      <w:lang w:bidi="ar"/>
                    </w:rPr>
                    <w:t>97.8</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134816A8">
                  <w:pPr>
                    <w:adjustRightInd w:val="0"/>
                    <w:snapToGrid w:val="0"/>
                    <w:jc w:val="center"/>
                    <w:textAlignment w:val="center"/>
                    <w:rPr>
                      <w:color w:val="auto"/>
                      <w:szCs w:val="21"/>
                      <w:u w:val="single"/>
                    </w:rPr>
                  </w:pPr>
                  <w:r>
                    <w:rPr>
                      <w:color w:val="auto"/>
                      <w:szCs w:val="21"/>
                      <w:u w:val="single"/>
                    </w:rPr>
                    <w:t>/</w:t>
                  </w:r>
                </w:p>
              </w:tc>
            </w:tr>
            <w:tr w14:paraId="638E04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5CA0D6E8">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21616856">
                  <w:pPr>
                    <w:pStyle w:val="33"/>
                    <w:jc w:val="center"/>
                    <w:rPr>
                      <w:rFonts w:ascii="Times New Roman" w:cs="Times New Roman"/>
                      <w:color w:val="auto"/>
                      <w:sz w:val="21"/>
                      <w:szCs w:val="21"/>
                      <w:u w:val="single"/>
                    </w:rPr>
                  </w:pPr>
                </w:p>
              </w:tc>
              <w:tc>
                <w:tcPr>
                  <w:tcW w:w="0" w:type="auto"/>
                  <w:gridSpan w:val="2"/>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30EC6DDB">
                  <w:pPr>
                    <w:widowControl/>
                    <w:jc w:val="center"/>
                    <w:textAlignment w:val="center"/>
                    <w:rPr>
                      <w:color w:val="auto"/>
                      <w:szCs w:val="21"/>
                      <w:u w:val="single"/>
                    </w:rPr>
                  </w:pPr>
                  <w:r>
                    <w:rPr>
                      <w:color w:val="auto"/>
                      <w:kern w:val="0"/>
                      <w:szCs w:val="21"/>
                      <w:u w:val="single"/>
                      <w:lang w:bidi="ar"/>
                    </w:rPr>
                    <w:t>烟气含湿量</w:t>
                  </w:r>
                </w:p>
              </w:tc>
              <w:tc>
                <w:tcPr>
                  <w:tcW w:w="1176" w:type="dxa"/>
                  <w:tcBorders>
                    <w:top w:val="single" w:color="auto" w:sz="6" w:space="0"/>
                    <w:left w:val="single" w:color="auto" w:sz="6" w:space="0"/>
                    <w:bottom w:val="single" w:color="auto" w:sz="6" w:space="0"/>
                    <w:right w:val="single" w:color="auto" w:sz="6" w:space="0"/>
                    <w:tl2br w:val="nil"/>
                    <w:tr2bl w:val="nil"/>
                  </w:tcBorders>
                  <w:vAlign w:val="center"/>
                </w:tcPr>
                <w:p w14:paraId="793F3063">
                  <w:pPr>
                    <w:widowControl/>
                    <w:jc w:val="center"/>
                    <w:textAlignment w:val="center"/>
                    <w:rPr>
                      <w:color w:val="auto"/>
                      <w:szCs w:val="21"/>
                      <w:u w:val="single"/>
                    </w:rPr>
                  </w:pPr>
                  <w:r>
                    <w:rPr>
                      <w:color w:val="auto"/>
                      <w:kern w:val="0"/>
                      <w:szCs w:val="21"/>
                      <w:u w:val="single"/>
                      <w:lang w:bidi="ar"/>
                    </w:rPr>
                    <w:t>%</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08305143">
                  <w:pPr>
                    <w:widowControl/>
                    <w:jc w:val="center"/>
                    <w:textAlignment w:val="center"/>
                    <w:rPr>
                      <w:color w:val="auto"/>
                      <w:szCs w:val="21"/>
                      <w:u w:val="single"/>
                    </w:rPr>
                  </w:pPr>
                  <w:r>
                    <w:rPr>
                      <w:color w:val="auto"/>
                      <w:kern w:val="0"/>
                      <w:szCs w:val="21"/>
                      <w:u w:val="single"/>
                      <w:lang w:bidi="ar"/>
                    </w:rPr>
                    <w:t>9.0</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40AA1E3A">
                  <w:pPr>
                    <w:widowControl/>
                    <w:jc w:val="center"/>
                    <w:textAlignment w:val="center"/>
                    <w:rPr>
                      <w:color w:val="auto"/>
                      <w:szCs w:val="21"/>
                      <w:u w:val="single"/>
                    </w:rPr>
                  </w:pPr>
                  <w:r>
                    <w:rPr>
                      <w:color w:val="auto"/>
                      <w:kern w:val="0"/>
                      <w:szCs w:val="21"/>
                      <w:u w:val="single"/>
                      <w:lang w:bidi="ar"/>
                    </w:rPr>
                    <w:t>9.4</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59567B53">
                  <w:pPr>
                    <w:widowControl/>
                    <w:jc w:val="center"/>
                    <w:textAlignment w:val="center"/>
                    <w:rPr>
                      <w:color w:val="auto"/>
                      <w:szCs w:val="21"/>
                      <w:u w:val="single"/>
                    </w:rPr>
                  </w:pPr>
                  <w:r>
                    <w:rPr>
                      <w:color w:val="auto"/>
                      <w:kern w:val="0"/>
                      <w:szCs w:val="21"/>
                      <w:u w:val="single"/>
                      <w:lang w:bidi="ar"/>
                    </w:rPr>
                    <w:t>9.3</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65C5FA57">
                  <w:pPr>
                    <w:widowControl/>
                    <w:jc w:val="center"/>
                    <w:textAlignment w:val="center"/>
                    <w:rPr>
                      <w:color w:val="auto"/>
                      <w:szCs w:val="21"/>
                      <w:u w:val="single"/>
                    </w:rPr>
                  </w:pPr>
                  <w:r>
                    <w:rPr>
                      <w:color w:val="auto"/>
                      <w:kern w:val="0"/>
                      <w:szCs w:val="21"/>
                      <w:u w:val="single"/>
                      <w:lang w:bidi="ar"/>
                    </w:rPr>
                    <w:t>9.2</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7721B79D">
                  <w:pPr>
                    <w:adjustRightInd w:val="0"/>
                    <w:snapToGrid w:val="0"/>
                    <w:jc w:val="center"/>
                    <w:textAlignment w:val="center"/>
                    <w:rPr>
                      <w:color w:val="auto"/>
                      <w:szCs w:val="21"/>
                      <w:u w:val="single"/>
                    </w:rPr>
                  </w:pPr>
                  <w:r>
                    <w:rPr>
                      <w:color w:val="auto"/>
                      <w:szCs w:val="21"/>
                      <w:u w:val="single"/>
                    </w:rPr>
                    <w:t>/</w:t>
                  </w:r>
                </w:p>
              </w:tc>
            </w:tr>
            <w:tr w14:paraId="5AB3A5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5A492C49">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4434CC94">
                  <w:pPr>
                    <w:pStyle w:val="33"/>
                    <w:jc w:val="center"/>
                    <w:rPr>
                      <w:rFonts w:ascii="Times New Roman" w:cs="Times New Roman"/>
                      <w:color w:val="auto"/>
                      <w:sz w:val="21"/>
                      <w:szCs w:val="21"/>
                      <w:u w:val="single"/>
                    </w:rPr>
                  </w:pPr>
                </w:p>
              </w:tc>
              <w:tc>
                <w:tcPr>
                  <w:tcW w:w="0" w:type="auto"/>
                  <w:gridSpan w:val="2"/>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38991E5C">
                  <w:pPr>
                    <w:widowControl/>
                    <w:jc w:val="center"/>
                    <w:textAlignment w:val="center"/>
                    <w:rPr>
                      <w:color w:val="auto"/>
                      <w:szCs w:val="21"/>
                      <w:u w:val="single"/>
                    </w:rPr>
                  </w:pPr>
                  <w:r>
                    <w:rPr>
                      <w:color w:val="auto"/>
                      <w:kern w:val="0"/>
                      <w:szCs w:val="21"/>
                      <w:u w:val="single"/>
                      <w:lang w:bidi="ar"/>
                    </w:rPr>
                    <w:t>标干流量</w:t>
                  </w:r>
                </w:p>
              </w:tc>
              <w:tc>
                <w:tcPr>
                  <w:tcW w:w="1176" w:type="dxa"/>
                  <w:tcBorders>
                    <w:top w:val="single" w:color="auto" w:sz="6" w:space="0"/>
                    <w:left w:val="single" w:color="auto" w:sz="6" w:space="0"/>
                    <w:bottom w:val="single" w:color="auto" w:sz="6" w:space="0"/>
                    <w:right w:val="single" w:color="auto" w:sz="6" w:space="0"/>
                    <w:tl2br w:val="nil"/>
                    <w:tr2bl w:val="nil"/>
                  </w:tcBorders>
                  <w:vAlign w:val="center"/>
                </w:tcPr>
                <w:p w14:paraId="652E8C08">
                  <w:pPr>
                    <w:widowControl/>
                    <w:jc w:val="center"/>
                    <w:textAlignment w:val="center"/>
                    <w:rPr>
                      <w:color w:val="auto"/>
                      <w:szCs w:val="21"/>
                      <w:u w:val="single"/>
                    </w:rPr>
                  </w:pPr>
                  <w:r>
                    <w:rPr>
                      <w:color w:val="auto"/>
                      <w:kern w:val="0"/>
                      <w:szCs w:val="21"/>
                      <w:u w:val="single"/>
                      <w:lang w:bidi="ar"/>
                    </w:rPr>
                    <w:t>m</w:t>
                  </w:r>
                  <w:r>
                    <w:rPr>
                      <w:color w:val="auto"/>
                      <w:kern w:val="0"/>
                      <w:szCs w:val="21"/>
                      <w:u w:val="single"/>
                      <w:vertAlign w:val="superscript"/>
                      <w:lang w:bidi="ar"/>
                    </w:rPr>
                    <w:t>3</w:t>
                  </w:r>
                  <w:r>
                    <w:rPr>
                      <w:color w:val="auto"/>
                      <w:kern w:val="0"/>
                      <w:szCs w:val="21"/>
                      <w:u w:val="single"/>
                      <w:lang w:bidi="ar"/>
                    </w:rPr>
                    <w:t>/h</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45BEFC3A">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5100</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4ADF176F">
                  <w:pPr>
                    <w:widowControl/>
                    <w:jc w:val="center"/>
                    <w:textAlignment w:val="center"/>
                    <w:rPr>
                      <w:rFonts w:hint="default" w:eastAsia="宋体"/>
                      <w:color w:val="auto"/>
                      <w:szCs w:val="21"/>
                      <w:u w:val="single"/>
                      <w:lang w:val="en-US" w:eastAsia="zh-CN"/>
                    </w:rPr>
                  </w:pPr>
                  <w:r>
                    <w:rPr>
                      <w:rFonts w:hint="eastAsia"/>
                      <w:color w:val="auto"/>
                      <w:szCs w:val="21"/>
                      <w:u w:val="single"/>
                      <w:lang w:val="en-US" w:eastAsia="zh-CN"/>
                    </w:rPr>
                    <w:t>6080</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6B92D969">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5500</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7BAB740C">
                  <w:pPr>
                    <w:widowControl/>
                    <w:jc w:val="center"/>
                    <w:textAlignment w:val="center"/>
                    <w:rPr>
                      <w:rFonts w:hint="default" w:eastAsia="宋体"/>
                      <w:color w:val="auto"/>
                      <w:szCs w:val="21"/>
                      <w:u w:val="single"/>
                      <w:lang w:val="en-US" w:eastAsia="zh-CN"/>
                    </w:rPr>
                  </w:pPr>
                  <w:r>
                    <w:rPr>
                      <w:rFonts w:hint="eastAsia"/>
                      <w:color w:val="auto"/>
                      <w:kern w:val="0"/>
                      <w:szCs w:val="21"/>
                      <w:u w:val="single"/>
                      <w:lang w:val="en-US" w:eastAsia="zh-CN" w:bidi="ar"/>
                    </w:rPr>
                    <w:t>5560</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7B8FE791">
                  <w:pPr>
                    <w:adjustRightInd w:val="0"/>
                    <w:snapToGrid w:val="0"/>
                    <w:jc w:val="center"/>
                    <w:textAlignment w:val="center"/>
                    <w:rPr>
                      <w:color w:val="auto"/>
                      <w:szCs w:val="21"/>
                      <w:u w:val="single"/>
                    </w:rPr>
                  </w:pPr>
                  <w:r>
                    <w:rPr>
                      <w:color w:val="auto"/>
                      <w:szCs w:val="21"/>
                      <w:u w:val="single"/>
                    </w:rPr>
                    <w:t>/</w:t>
                  </w:r>
                </w:p>
              </w:tc>
            </w:tr>
            <w:tr w14:paraId="6A04FBE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38E3FB01">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1D211FD8">
                  <w:pPr>
                    <w:pStyle w:val="33"/>
                    <w:jc w:val="center"/>
                    <w:rPr>
                      <w:rFonts w:ascii="Times New Roman" w:cs="Times New Roman"/>
                      <w:color w:val="auto"/>
                      <w:sz w:val="21"/>
                      <w:szCs w:val="21"/>
                      <w:u w:val="single"/>
                    </w:rPr>
                  </w:pPr>
                </w:p>
              </w:tc>
              <w:tc>
                <w:tcPr>
                  <w:tcW w:w="0" w:type="auto"/>
                  <w:vMerge w:val="restart"/>
                  <w:tcBorders>
                    <w:top w:val="single" w:color="auto" w:sz="6" w:space="0"/>
                    <w:left w:val="single" w:color="auto" w:sz="6" w:space="0"/>
                    <w:bottom w:val="single" w:color="auto" w:sz="6" w:space="0"/>
                    <w:right w:val="single" w:color="auto" w:sz="6" w:space="0"/>
                    <w:tl2br w:val="nil"/>
                    <w:tr2bl w:val="nil"/>
                  </w:tcBorders>
                  <w:vAlign w:val="center"/>
                </w:tcPr>
                <w:p w14:paraId="1ACF6A14">
                  <w:pPr>
                    <w:adjustRightInd w:val="0"/>
                    <w:snapToGrid w:val="0"/>
                    <w:jc w:val="center"/>
                    <w:rPr>
                      <w:color w:val="auto"/>
                      <w:szCs w:val="21"/>
                      <w:u w:val="single"/>
                    </w:rPr>
                  </w:pPr>
                  <w:r>
                    <w:rPr>
                      <w:color w:val="auto"/>
                      <w:szCs w:val="21"/>
                      <w:u w:val="single"/>
                    </w:rPr>
                    <w:t>颗粒物</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2225351E">
                  <w:pPr>
                    <w:adjustRightInd w:val="0"/>
                    <w:snapToGrid w:val="0"/>
                    <w:jc w:val="center"/>
                    <w:textAlignment w:val="center"/>
                    <w:rPr>
                      <w:color w:val="auto"/>
                      <w:szCs w:val="21"/>
                      <w:u w:val="single"/>
                    </w:rPr>
                  </w:pPr>
                  <w:r>
                    <w:rPr>
                      <w:color w:val="auto"/>
                      <w:szCs w:val="21"/>
                      <w:u w:val="single"/>
                    </w:rPr>
                    <w:t>实测浓度</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08738E0D">
                  <w:pPr>
                    <w:adjustRightInd w:val="0"/>
                    <w:snapToGrid w:val="0"/>
                    <w:jc w:val="center"/>
                    <w:textAlignment w:val="center"/>
                    <w:rPr>
                      <w:color w:val="auto"/>
                      <w:szCs w:val="21"/>
                      <w:u w:val="single"/>
                    </w:rPr>
                  </w:pPr>
                  <w:r>
                    <w:rPr>
                      <w:color w:val="auto"/>
                      <w:szCs w:val="21"/>
                      <w:u w:val="single"/>
                    </w:rPr>
                    <w:t>mg/m</w:t>
                  </w:r>
                  <w:r>
                    <w:rPr>
                      <w:color w:val="auto"/>
                      <w:szCs w:val="21"/>
                      <w:u w:val="single"/>
                      <w:vertAlign w:val="superscript"/>
                    </w:rPr>
                    <w:t>3</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541D4D82">
                  <w:pPr>
                    <w:widowControl/>
                    <w:jc w:val="center"/>
                    <w:textAlignment w:val="center"/>
                    <w:rPr>
                      <w:color w:val="auto"/>
                      <w:szCs w:val="21"/>
                      <w:u w:val="single"/>
                    </w:rPr>
                  </w:pPr>
                  <w:r>
                    <w:rPr>
                      <w:color w:val="auto"/>
                      <w:kern w:val="0"/>
                      <w:szCs w:val="21"/>
                      <w:u w:val="single"/>
                      <w:lang w:bidi="ar"/>
                    </w:rPr>
                    <w:t>10.8</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03334454">
                  <w:pPr>
                    <w:widowControl/>
                    <w:jc w:val="center"/>
                    <w:textAlignment w:val="center"/>
                    <w:rPr>
                      <w:color w:val="auto"/>
                      <w:szCs w:val="21"/>
                      <w:u w:val="single"/>
                    </w:rPr>
                  </w:pPr>
                  <w:r>
                    <w:rPr>
                      <w:color w:val="auto"/>
                      <w:kern w:val="0"/>
                      <w:szCs w:val="21"/>
                      <w:u w:val="single"/>
                      <w:lang w:bidi="ar"/>
                    </w:rPr>
                    <w:t>10.2</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60D104A9">
                  <w:pPr>
                    <w:widowControl/>
                    <w:jc w:val="center"/>
                    <w:textAlignment w:val="center"/>
                    <w:rPr>
                      <w:color w:val="auto"/>
                      <w:szCs w:val="21"/>
                      <w:u w:val="single"/>
                    </w:rPr>
                  </w:pPr>
                  <w:r>
                    <w:rPr>
                      <w:color w:val="auto"/>
                      <w:kern w:val="0"/>
                      <w:szCs w:val="21"/>
                      <w:u w:val="single"/>
                      <w:lang w:bidi="ar"/>
                    </w:rPr>
                    <w:t>10.5</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4DAC9F70">
                  <w:pPr>
                    <w:widowControl/>
                    <w:jc w:val="center"/>
                    <w:textAlignment w:val="center"/>
                    <w:rPr>
                      <w:color w:val="auto"/>
                      <w:szCs w:val="21"/>
                      <w:u w:val="single"/>
                    </w:rPr>
                  </w:pPr>
                  <w:r>
                    <w:rPr>
                      <w:color w:val="auto"/>
                      <w:kern w:val="0"/>
                      <w:szCs w:val="21"/>
                      <w:u w:val="single"/>
                      <w:lang w:bidi="ar"/>
                    </w:rPr>
                    <w:t>10.5</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726D6693">
                  <w:pPr>
                    <w:adjustRightInd w:val="0"/>
                    <w:snapToGrid w:val="0"/>
                    <w:jc w:val="center"/>
                    <w:textAlignment w:val="center"/>
                    <w:rPr>
                      <w:color w:val="auto"/>
                      <w:szCs w:val="21"/>
                      <w:u w:val="single"/>
                    </w:rPr>
                  </w:pPr>
                  <w:r>
                    <w:rPr>
                      <w:color w:val="auto"/>
                      <w:szCs w:val="21"/>
                      <w:u w:val="single"/>
                    </w:rPr>
                    <w:t>/</w:t>
                  </w:r>
                </w:p>
              </w:tc>
            </w:tr>
            <w:tr w14:paraId="3FAC602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5C40B956">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3A131214">
                  <w:pPr>
                    <w:pStyle w:val="33"/>
                    <w:jc w:val="center"/>
                    <w:rPr>
                      <w:rFonts w:ascii="Times New Roman" w:cs="Times New Roman"/>
                      <w:color w:val="auto"/>
                      <w:sz w:val="21"/>
                      <w:szCs w:val="21"/>
                      <w:u w:val="single"/>
                    </w:rPr>
                  </w:pPr>
                </w:p>
              </w:tc>
              <w:tc>
                <w:tcPr>
                  <w:tcW w:w="0" w:type="auto"/>
                  <w:vMerge w:val="continue"/>
                  <w:tcBorders>
                    <w:top w:val="single" w:color="auto" w:sz="6" w:space="0"/>
                    <w:left w:val="single" w:color="auto" w:sz="6" w:space="0"/>
                    <w:bottom w:val="single" w:color="auto" w:sz="6" w:space="0"/>
                    <w:right w:val="single" w:color="auto" w:sz="6" w:space="0"/>
                    <w:tl2br w:val="nil"/>
                    <w:tr2bl w:val="nil"/>
                  </w:tcBorders>
                  <w:vAlign w:val="center"/>
                </w:tcPr>
                <w:p w14:paraId="08A94A15">
                  <w:pPr>
                    <w:adjustRightInd w:val="0"/>
                    <w:snapToGrid w:val="0"/>
                    <w:jc w:val="center"/>
                    <w:rPr>
                      <w:color w:val="auto"/>
                      <w:szCs w:val="21"/>
                      <w:u w:val="single"/>
                    </w:rPr>
                  </w:pP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618BBFAC">
                  <w:pPr>
                    <w:adjustRightInd w:val="0"/>
                    <w:snapToGrid w:val="0"/>
                    <w:jc w:val="center"/>
                    <w:textAlignment w:val="center"/>
                    <w:rPr>
                      <w:color w:val="auto"/>
                      <w:szCs w:val="21"/>
                      <w:u w:val="single"/>
                    </w:rPr>
                  </w:pPr>
                  <w:r>
                    <w:rPr>
                      <w:color w:val="auto"/>
                      <w:szCs w:val="21"/>
                      <w:u w:val="single"/>
                    </w:rPr>
                    <w:t>折算浓度</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49452497">
                  <w:pPr>
                    <w:adjustRightInd w:val="0"/>
                    <w:snapToGrid w:val="0"/>
                    <w:jc w:val="center"/>
                    <w:textAlignment w:val="center"/>
                    <w:rPr>
                      <w:color w:val="auto"/>
                      <w:szCs w:val="21"/>
                      <w:u w:val="single"/>
                    </w:rPr>
                  </w:pPr>
                  <w:r>
                    <w:rPr>
                      <w:color w:val="auto"/>
                      <w:szCs w:val="21"/>
                      <w:u w:val="single"/>
                    </w:rPr>
                    <w:t>mg/m</w:t>
                  </w:r>
                  <w:r>
                    <w:rPr>
                      <w:color w:val="auto"/>
                      <w:szCs w:val="21"/>
                      <w:u w:val="single"/>
                      <w:vertAlign w:val="superscript"/>
                    </w:rPr>
                    <w:t>3</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7C999F66">
                  <w:pPr>
                    <w:widowControl/>
                    <w:jc w:val="center"/>
                    <w:textAlignment w:val="center"/>
                    <w:rPr>
                      <w:color w:val="auto"/>
                      <w:szCs w:val="21"/>
                      <w:u w:val="single"/>
                    </w:rPr>
                  </w:pPr>
                  <w:r>
                    <w:rPr>
                      <w:color w:val="auto"/>
                      <w:kern w:val="0"/>
                      <w:szCs w:val="21"/>
                      <w:u w:val="single"/>
                      <w:lang w:bidi="ar"/>
                    </w:rPr>
                    <w:t>22.3</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2C85177F">
                  <w:pPr>
                    <w:widowControl/>
                    <w:jc w:val="center"/>
                    <w:textAlignment w:val="center"/>
                    <w:rPr>
                      <w:color w:val="auto"/>
                      <w:szCs w:val="21"/>
                      <w:u w:val="single"/>
                    </w:rPr>
                  </w:pPr>
                  <w:r>
                    <w:rPr>
                      <w:color w:val="auto"/>
                      <w:kern w:val="0"/>
                      <w:szCs w:val="21"/>
                      <w:u w:val="single"/>
                      <w:lang w:bidi="ar"/>
                    </w:rPr>
                    <w:t>21.5</w:t>
                  </w:r>
                </w:p>
              </w:tc>
              <w:tc>
                <w:tcPr>
                  <w:tcW w:w="848" w:type="dxa"/>
                  <w:tcBorders>
                    <w:top w:val="single" w:color="auto" w:sz="6" w:space="0"/>
                    <w:left w:val="single" w:color="auto" w:sz="6" w:space="0"/>
                    <w:bottom w:val="single" w:color="auto" w:sz="6" w:space="0"/>
                    <w:right w:val="single" w:color="auto" w:sz="6" w:space="0"/>
                    <w:tl2br w:val="nil"/>
                    <w:tr2bl w:val="nil"/>
                  </w:tcBorders>
                  <w:vAlign w:val="center"/>
                </w:tcPr>
                <w:p w14:paraId="08E33E54">
                  <w:pPr>
                    <w:widowControl/>
                    <w:jc w:val="center"/>
                    <w:textAlignment w:val="center"/>
                    <w:rPr>
                      <w:color w:val="auto"/>
                      <w:szCs w:val="21"/>
                      <w:u w:val="single"/>
                    </w:rPr>
                  </w:pPr>
                  <w:r>
                    <w:rPr>
                      <w:color w:val="auto"/>
                      <w:kern w:val="0"/>
                      <w:szCs w:val="21"/>
                      <w:u w:val="single"/>
                      <w:lang w:bidi="ar"/>
                    </w:rPr>
                    <w:t>22.9</w:t>
                  </w:r>
                </w:p>
              </w:tc>
              <w:tc>
                <w:tcPr>
                  <w:tcW w:w="849" w:type="dxa"/>
                  <w:tcBorders>
                    <w:top w:val="single" w:color="auto" w:sz="6" w:space="0"/>
                    <w:left w:val="single" w:color="auto" w:sz="6" w:space="0"/>
                    <w:bottom w:val="single" w:color="auto" w:sz="6" w:space="0"/>
                    <w:right w:val="single" w:color="auto" w:sz="6" w:space="0"/>
                    <w:tl2br w:val="nil"/>
                    <w:tr2bl w:val="nil"/>
                  </w:tcBorders>
                  <w:vAlign w:val="center"/>
                </w:tcPr>
                <w:p w14:paraId="10DAD22B">
                  <w:pPr>
                    <w:widowControl/>
                    <w:jc w:val="center"/>
                    <w:textAlignment w:val="center"/>
                    <w:rPr>
                      <w:color w:val="auto"/>
                      <w:szCs w:val="21"/>
                      <w:u w:val="single"/>
                    </w:rPr>
                  </w:pPr>
                  <w:r>
                    <w:rPr>
                      <w:color w:val="auto"/>
                      <w:kern w:val="0"/>
                      <w:szCs w:val="21"/>
                      <w:u w:val="single"/>
                      <w:lang w:bidi="ar"/>
                    </w:rPr>
                    <w:t>22 1</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35BD7132">
                  <w:pPr>
                    <w:adjustRightInd w:val="0"/>
                    <w:snapToGrid w:val="0"/>
                    <w:jc w:val="center"/>
                    <w:textAlignment w:val="center"/>
                    <w:rPr>
                      <w:color w:val="auto"/>
                      <w:szCs w:val="21"/>
                      <w:u w:val="single"/>
                    </w:rPr>
                  </w:pPr>
                  <w:r>
                    <w:rPr>
                      <w:color w:val="auto"/>
                      <w:szCs w:val="21"/>
                      <w:u w:val="single"/>
                    </w:rPr>
                    <w:t>50</w:t>
                  </w:r>
                </w:p>
              </w:tc>
            </w:tr>
            <w:tr w14:paraId="02F67D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52F0D171">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7B9FB4C3">
                  <w:pPr>
                    <w:pStyle w:val="33"/>
                    <w:jc w:val="center"/>
                    <w:rPr>
                      <w:rFonts w:ascii="Times New Roman" w:cs="Times New Roman"/>
                      <w:color w:val="auto"/>
                      <w:sz w:val="21"/>
                      <w:szCs w:val="21"/>
                      <w:u w:val="single"/>
                    </w:rPr>
                  </w:pPr>
                </w:p>
              </w:tc>
              <w:tc>
                <w:tcPr>
                  <w:tcW w:w="0" w:type="auto"/>
                  <w:vMerge w:val="restart"/>
                  <w:tcBorders>
                    <w:top w:val="single" w:color="auto" w:sz="6" w:space="0"/>
                    <w:left w:val="single" w:color="auto" w:sz="6" w:space="0"/>
                    <w:bottom w:val="single" w:color="auto" w:sz="6" w:space="0"/>
                    <w:right w:val="single" w:color="auto" w:sz="6" w:space="0"/>
                    <w:tl2br w:val="nil"/>
                    <w:tr2bl w:val="nil"/>
                  </w:tcBorders>
                  <w:vAlign w:val="center"/>
                </w:tcPr>
                <w:p w14:paraId="38E69F71">
                  <w:pPr>
                    <w:adjustRightInd w:val="0"/>
                    <w:snapToGrid w:val="0"/>
                    <w:jc w:val="center"/>
                    <w:rPr>
                      <w:color w:val="auto"/>
                      <w:szCs w:val="21"/>
                      <w:u w:val="single"/>
                    </w:rPr>
                  </w:pPr>
                  <w:r>
                    <w:rPr>
                      <w:color w:val="auto"/>
                      <w:szCs w:val="21"/>
                      <w:u w:val="single"/>
                    </w:rPr>
                    <w:t>氮氧化物</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027F7C9C">
                  <w:pPr>
                    <w:adjustRightInd w:val="0"/>
                    <w:snapToGrid w:val="0"/>
                    <w:jc w:val="center"/>
                    <w:textAlignment w:val="center"/>
                    <w:rPr>
                      <w:color w:val="auto"/>
                      <w:szCs w:val="21"/>
                      <w:u w:val="single"/>
                    </w:rPr>
                  </w:pPr>
                  <w:r>
                    <w:rPr>
                      <w:color w:val="auto"/>
                      <w:szCs w:val="21"/>
                      <w:u w:val="single"/>
                    </w:rPr>
                    <w:t>实测浓度</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6FDC15E1">
                  <w:pPr>
                    <w:adjustRightInd w:val="0"/>
                    <w:snapToGrid w:val="0"/>
                    <w:jc w:val="center"/>
                    <w:textAlignment w:val="center"/>
                    <w:rPr>
                      <w:color w:val="auto"/>
                      <w:szCs w:val="21"/>
                      <w:u w:val="single"/>
                    </w:rPr>
                  </w:pPr>
                  <w:r>
                    <w:rPr>
                      <w:color w:val="auto"/>
                      <w:szCs w:val="21"/>
                      <w:u w:val="single"/>
                    </w:rPr>
                    <w:t>mg/m</w:t>
                  </w:r>
                  <w:r>
                    <w:rPr>
                      <w:color w:val="auto"/>
                      <w:szCs w:val="21"/>
                      <w:u w:val="single"/>
                      <w:vertAlign w:val="superscript"/>
                    </w:rPr>
                    <w:t>3</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69405532">
                  <w:pPr>
                    <w:widowControl/>
                    <w:jc w:val="center"/>
                    <w:textAlignment w:val="center"/>
                    <w:rPr>
                      <w:color w:val="auto"/>
                      <w:szCs w:val="21"/>
                      <w:u w:val="single"/>
                    </w:rPr>
                  </w:pPr>
                  <w:r>
                    <w:rPr>
                      <w:color w:val="auto"/>
                      <w:kern w:val="0"/>
                      <w:szCs w:val="21"/>
                      <w:u w:val="single"/>
                      <w:lang w:bidi="ar"/>
                    </w:rPr>
                    <w:t>66</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641144B1">
                  <w:pPr>
                    <w:widowControl/>
                    <w:jc w:val="center"/>
                    <w:textAlignment w:val="center"/>
                    <w:rPr>
                      <w:color w:val="auto"/>
                      <w:szCs w:val="21"/>
                      <w:u w:val="single"/>
                    </w:rPr>
                  </w:pPr>
                  <w:r>
                    <w:rPr>
                      <w:color w:val="auto"/>
                      <w:kern w:val="0"/>
                      <w:szCs w:val="21"/>
                      <w:u w:val="single"/>
                      <w:lang w:bidi="ar"/>
                    </w:rPr>
                    <w:t>67</w:t>
                  </w:r>
                </w:p>
              </w:tc>
              <w:tc>
                <w:tcPr>
                  <w:tcW w:w="848"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058518DD">
                  <w:pPr>
                    <w:widowControl/>
                    <w:jc w:val="center"/>
                    <w:textAlignment w:val="center"/>
                    <w:rPr>
                      <w:color w:val="auto"/>
                      <w:szCs w:val="21"/>
                      <w:u w:val="single"/>
                    </w:rPr>
                  </w:pPr>
                  <w:r>
                    <w:rPr>
                      <w:color w:val="auto"/>
                      <w:kern w:val="0"/>
                      <w:szCs w:val="21"/>
                      <w:u w:val="single"/>
                      <w:lang w:bidi="ar"/>
                    </w:rPr>
                    <w:t>55</w:t>
                  </w:r>
                </w:p>
              </w:tc>
              <w:tc>
                <w:tcPr>
                  <w:tcW w:w="849"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5E17929A">
                  <w:pPr>
                    <w:widowControl/>
                    <w:jc w:val="center"/>
                    <w:textAlignment w:val="center"/>
                    <w:rPr>
                      <w:color w:val="auto"/>
                      <w:szCs w:val="21"/>
                      <w:u w:val="single"/>
                    </w:rPr>
                  </w:pPr>
                  <w:r>
                    <w:rPr>
                      <w:color w:val="auto"/>
                      <w:kern w:val="0"/>
                      <w:szCs w:val="21"/>
                      <w:u w:val="single"/>
                      <w:lang w:bidi="ar"/>
                    </w:rPr>
                    <w:t>63</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49600040">
                  <w:pPr>
                    <w:adjustRightInd w:val="0"/>
                    <w:snapToGrid w:val="0"/>
                    <w:jc w:val="center"/>
                    <w:textAlignment w:val="center"/>
                    <w:rPr>
                      <w:color w:val="auto"/>
                      <w:szCs w:val="21"/>
                      <w:u w:val="single"/>
                    </w:rPr>
                  </w:pPr>
                  <w:r>
                    <w:rPr>
                      <w:color w:val="auto"/>
                      <w:szCs w:val="21"/>
                      <w:u w:val="single"/>
                    </w:rPr>
                    <w:t>/</w:t>
                  </w:r>
                </w:p>
              </w:tc>
            </w:tr>
            <w:tr w14:paraId="5E4CD7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45293C56">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59FC8171">
                  <w:pPr>
                    <w:pStyle w:val="33"/>
                    <w:jc w:val="center"/>
                    <w:rPr>
                      <w:rFonts w:ascii="Times New Roman" w:cs="Times New Roman"/>
                      <w:color w:val="auto"/>
                      <w:sz w:val="21"/>
                      <w:szCs w:val="21"/>
                      <w:u w:val="single"/>
                    </w:rPr>
                  </w:pPr>
                </w:p>
              </w:tc>
              <w:tc>
                <w:tcPr>
                  <w:tcW w:w="0" w:type="auto"/>
                  <w:vMerge w:val="continue"/>
                  <w:tcBorders>
                    <w:top w:val="single" w:color="auto" w:sz="6" w:space="0"/>
                    <w:left w:val="single" w:color="auto" w:sz="6" w:space="0"/>
                    <w:bottom w:val="single" w:color="auto" w:sz="6" w:space="0"/>
                    <w:right w:val="single" w:color="auto" w:sz="6" w:space="0"/>
                    <w:tl2br w:val="nil"/>
                    <w:tr2bl w:val="nil"/>
                  </w:tcBorders>
                  <w:vAlign w:val="center"/>
                </w:tcPr>
                <w:p w14:paraId="46FEA07F">
                  <w:pPr>
                    <w:adjustRightInd w:val="0"/>
                    <w:snapToGrid w:val="0"/>
                    <w:jc w:val="center"/>
                    <w:rPr>
                      <w:color w:val="auto"/>
                      <w:szCs w:val="21"/>
                      <w:u w:val="single"/>
                    </w:rPr>
                  </w:pP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315FF6D0">
                  <w:pPr>
                    <w:adjustRightInd w:val="0"/>
                    <w:snapToGrid w:val="0"/>
                    <w:jc w:val="center"/>
                    <w:textAlignment w:val="center"/>
                    <w:rPr>
                      <w:color w:val="auto"/>
                      <w:szCs w:val="21"/>
                      <w:u w:val="single"/>
                    </w:rPr>
                  </w:pPr>
                  <w:r>
                    <w:rPr>
                      <w:color w:val="auto"/>
                      <w:szCs w:val="21"/>
                      <w:u w:val="single"/>
                    </w:rPr>
                    <w:t>折算浓度</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498C58C3">
                  <w:pPr>
                    <w:adjustRightInd w:val="0"/>
                    <w:snapToGrid w:val="0"/>
                    <w:jc w:val="center"/>
                    <w:textAlignment w:val="center"/>
                    <w:rPr>
                      <w:color w:val="auto"/>
                      <w:szCs w:val="21"/>
                      <w:u w:val="single"/>
                    </w:rPr>
                  </w:pPr>
                  <w:r>
                    <w:rPr>
                      <w:color w:val="auto"/>
                      <w:szCs w:val="21"/>
                      <w:u w:val="single"/>
                    </w:rPr>
                    <w:t>mg/m</w:t>
                  </w:r>
                  <w:r>
                    <w:rPr>
                      <w:color w:val="auto"/>
                      <w:szCs w:val="21"/>
                      <w:u w:val="single"/>
                      <w:vertAlign w:val="superscript"/>
                    </w:rPr>
                    <w:t>3</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28360A75">
                  <w:pPr>
                    <w:widowControl/>
                    <w:jc w:val="center"/>
                    <w:textAlignment w:val="center"/>
                    <w:rPr>
                      <w:color w:val="auto"/>
                      <w:szCs w:val="21"/>
                      <w:u w:val="single"/>
                    </w:rPr>
                  </w:pPr>
                  <w:r>
                    <w:rPr>
                      <w:color w:val="auto"/>
                      <w:kern w:val="0"/>
                      <w:szCs w:val="21"/>
                      <w:u w:val="single"/>
                      <w:lang w:bidi="ar"/>
                    </w:rPr>
                    <w:t>137</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3C3BE745">
                  <w:pPr>
                    <w:widowControl/>
                    <w:jc w:val="center"/>
                    <w:textAlignment w:val="center"/>
                    <w:rPr>
                      <w:color w:val="auto"/>
                      <w:szCs w:val="21"/>
                      <w:u w:val="single"/>
                    </w:rPr>
                  </w:pPr>
                  <w:r>
                    <w:rPr>
                      <w:color w:val="auto"/>
                      <w:kern w:val="0"/>
                      <w:szCs w:val="21"/>
                      <w:u w:val="single"/>
                      <w:lang w:bidi="ar"/>
                    </w:rPr>
                    <w:t>141</w:t>
                  </w:r>
                </w:p>
              </w:tc>
              <w:tc>
                <w:tcPr>
                  <w:tcW w:w="848"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612427D1">
                  <w:pPr>
                    <w:widowControl/>
                    <w:jc w:val="center"/>
                    <w:textAlignment w:val="center"/>
                    <w:rPr>
                      <w:color w:val="auto"/>
                      <w:szCs w:val="21"/>
                      <w:u w:val="single"/>
                    </w:rPr>
                  </w:pPr>
                  <w:r>
                    <w:rPr>
                      <w:color w:val="auto"/>
                      <w:kern w:val="0"/>
                      <w:szCs w:val="21"/>
                      <w:u w:val="single"/>
                      <w:lang w:bidi="ar"/>
                    </w:rPr>
                    <w:t>120</w:t>
                  </w:r>
                </w:p>
              </w:tc>
              <w:tc>
                <w:tcPr>
                  <w:tcW w:w="849"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43187064">
                  <w:pPr>
                    <w:widowControl/>
                    <w:jc w:val="center"/>
                    <w:textAlignment w:val="center"/>
                    <w:rPr>
                      <w:color w:val="auto"/>
                      <w:szCs w:val="21"/>
                      <w:u w:val="single"/>
                    </w:rPr>
                  </w:pPr>
                  <w:r>
                    <w:rPr>
                      <w:color w:val="auto"/>
                      <w:kern w:val="0"/>
                      <w:szCs w:val="21"/>
                      <w:u w:val="single"/>
                      <w:lang w:bidi="ar"/>
                    </w:rPr>
                    <w:t>133</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1B9C82A6">
                  <w:pPr>
                    <w:adjustRightInd w:val="0"/>
                    <w:snapToGrid w:val="0"/>
                    <w:jc w:val="center"/>
                    <w:textAlignment w:val="center"/>
                    <w:rPr>
                      <w:color w:val="auto"/>
                      <w:szCs w:val="21"/>
                      <w:u w:val="single"/>
                    </w:rPr>
                  </w:pPr>
                  <w:r>
                    <w:rPr>
                      <w:color w:val="auto"/>
                      <w:szCs w:val="21"/>
                      <w:u w:val="single"/>
                    </w:rPr>
                    <w:t>300</w:t>
                  </w:r>
                </w:p>
              </w:tc>
            </w:tr>
            <w:tr w14:paraId="3ADC51A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44EF32C6">
                  <w:pPr>
                    <w:pStyle w:val="33"/>
                    <w:jc w:val="center"/>
                    <w:rPr>
                      <w:rFonts w:ascii="Times New Roman" w:cs="Times New Roman"/>
                      <w:color w:val="auto"/>
                      <w:sz w:val="21"/>
                      <w:szCs w:val="21"/>
                      <w:u w:val="single"/>
                    </w:rPr>
                  </w:pPr>
                </w:p>
              </w:tc>
              <w:tc>
                <w:tcPr>
                  <w:tcW w:w="1056" w:type="dxa"/>
                  <w:vMerge w:val="continue"/>
                  <w:tcBorders>
                    <w:left w:val="single" w:color="auto" w:sz="6" w:space="0"/>
                    <w:right w:val="single" w:color="auto" w:sz="6" w:space="0"/>
                    <w:tl2br w:val="nil"/>
                    <w:tr2bl w:val="nil"/>
                  </w:tcBorders>
                  <w:vAlign w:val="center"/>
                </w:tcPr>
                <w:p w14:paraId="277BB8E9">
                  <w:pPr>
                    <w:pStyle w:val="33"/>
                    <w:jc w:val="center"/>
                    <w:rPr>
                      <w:rFonts w:ascii="Times New Roman" w:cs="Times New Roman"/>
                      <w:color w:val="auto"/>
                      <w:sz w:val="21"/>
                      <w:szCs w:val="21"/>
                      <w:u w:val="single"/>
                    </w:rPr>
                  </w:pPr>
                </w:p>
              </w:tc>
              <w:tc>
                <w:tcPr>
                  <w:tcW w:w="0" w:type="auto"/>
                  <w:vMerge w:val="restart"/>
                  <w:tcBorders>
                    <w:top w:val="single" w:color="auto" w:sz="6" w:space="0"/>
                    <w:left w:val="single" w:color="auto" w:sz="6" w:space="0"/>
                    <w:bottom w:val="single" w:color="auto" w:sz="6" w:space="0"/>
                    <w:right w:val="single" w:color="auto" w:sz="6" w:space="0"/>
                    <w:tl2br w:val="nil"/>
                    <w:tr2bl w:val="nil"/>
                  </w:tcBorders>
                  <w:vAlign w:val="center"/>
                </w:tcPr>
                <w:p w14:paraId="50719A76">
                  <w:pPr>
                    <w:adjustRightInd w:val="0"/>
                    <w:snapToGrid w:val="0"/>
                    <w:jc w:val="center"/>
                    <w:rPr>
                      <w:color w:val="auto"/>
                      <w:szCs w:val="21"/>
                      <w:u w:val="single"/>
                    </w:rPr>
                  </w:pPr>
                  <w:r>
                    <w:rPr>
                      <w:color w:val="auto"/>
                      <w:szCs w:val="21"/>
                      <w:u w:val="single"/>
                    </w:rPr>
                    <w:t>二氧化硫</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313F7636">
                  <w:pPr>
                    <w:adjustRightInd w:val="0"/>
                    <w:snapToGrid w:val="0"/>
                    <w:jc w:val="center"/>
                    <w:textAlignment w:val="center"/>
                    <w:rPr>
                      <w:color w:val="auto"/>
                      <w:szCs w:val="21"/>
                      <w:u w:val="single"/>
                    </w:rPr>
                  </w:pPr>
                  <w:r>
                    <w:rPr>
                      <w:color w:val="auto"/>
                      <w:szCs w:val="21"/>
                      <w:u w:val="single"/>
                    </w:rPr>
                    <w:t>实测浓度</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6AA6CB2F">
                  <w:pPr>
                    <w:adjustRightInd w:val="0"/>
                    <w:snapToGrid w:val="0"/>
                    <w:jc w:val="center"/>
                    <w:textAlignment w:val="center"/>
                    <w:rPr>
                      <w:color w:val="auto"/>
                      <w:szCs w:val="21"/>
                      <w:u w:val="single"/>
                    </w:rPr>
                  </w:pPr>
                  <w:r>
                    <w:rPr>
                      <w:color w:val="auto"/>
                      <w:szCs w:val="21"/>
                      <w:u w:val="single"/>
                    </w:rPr>
                    <w:t>mg/m</w:t>
                  </w:r>
                  <w:r>
                    <w:rPr>
                      <w:color w:val="auto"/>
                      <w:szCs w:val="21"/>
                      <w:u w:val="single"/>
                      <w:vertAlign w:val="superscript"/>
                    </w:rPr>
                    <w:t>3</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1BCDB48D">
                  <w:pPr>
                    <w:widowControl/>
                    <w:jc w:val="center"/>
                    <w:textAlignment w:val="center"/>
                    <w:rPr>
                      <w:color w:val="auto"/>
                      <w:szCs w:val="21"/>
                      <w:u w:val="single"/>
                    </w:rPr>
                  </w:pPr>
                  <w:r>
                    <w:rPr>
                      <w:color w:val="auto"/>
                      <w:kern w:val="0"/>
                      <w:szCs w:val="21"/>
                      <w:u w:val="single"/>
                      <w:lang w:bidi="ar"/>
                    </w:rPr>
                    <w:t>28</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3D943CF8">
                  <w:pPr>
                    <w:widowControl/>
                    <w:jc w:val="center"/>
                    <w:textAlignment w:val="center"/>
                    <w:rPr>
                      <w:color w:val="auto"/>
                      <w:szCs w:val="21"/>
                      <w:u w:val="single"/>
                    </w:rPr>
                  </w:pPr>
                  <w:r>
                    <w:rPr>
                      <w:color w:val="auto"/>
                      <w:kern w:val="0"/>
                      <w:szCs w:val="21"/>
                      <w:u w:val="single"/>
                      <w:lang w:bidi="ar"/>
                    </w:rPr>
                    <w:t>21</w:t>
                  </w:r>
                </w:p>
              </w:tc>
              <w:tc>
                <w:tcPr>
                  <w:tcW w:w="848"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7AF3D553">
                  <w:pPr>
                    <w:widowControl/>
                    <w:jc w:val="center"/>
                    <w:textAlignment w:val="center"/>
                    <w:rPr>
                      <w:color w:val="auto"/>
                      <w:szCs w:val="21"/>
                      <w:u w:val="single"/>
                    </w:rPr>
                  </w:pPr>
                  <w:r>
                    <w:rPr>
                      <w:color w:val="auto"/>
                      <w:kern w:val="0"/>
                      <w:szCs w:val="21"/>
                      <w:u w:val="single"/>
                      <w:lang w:bidi="ar"/>
                    </w:rPr>
                    <w:t>18</w:t>
                  </w:r>
                </w:p>
              </w:tc>
              <w:tc>
                <w:tcPr>
                  <w:tcW w:w="849"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774BCC2E">
                  <w:pPr>
                    <w:widowControl/>
                    <w:jc w:val="center"/>
                    <w:textAlignment w:val="center"/>
                    <w:rPr>
                      <w:color w:val="auto"/>
                      <w:szCs w:val="21"/>
                      <w:u w:val="single"/>
                    </w:rPr>
                  </w:pPr>
                  <w:r>
                    <w:rPr>
                      <w:color w:val="auto"/>
                      <w:kern w:val="0"/>
                      <w:szCs w:val="21"/>
                      <w:u w:val="single"/>
                      <w:lang w:bidi="ar"/>
                    </w:rPr>
                    <w:t>22</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31E50ACE">
                  <w:pPr>
                    <w:adjustRightInd w:val="0"/>
                    <w:snapToGrid w:val="0"/>
                    <w:jc w:val="center"/>
                    <w:textAlignment w:val="center"/>
                    <w:rPr>
                      <w:color w:val="auto"/>
                      <w:szCs w:val="21"/>
                      <w:u w:val="single"/>
                    </w:rPr>
                  </w:pPr>
                  <w:r>
                    <w:rPr>
                      <w:color w:val="auto"/>
                      <w:szCs w:val="21"/>
                      <w:u w:val="single"/>
                    </w:rPr>
                    <w:t>/</w:t>
                  </w:r>
                </w:p>
              </w:tc>
            </w:tr>
            <w:tr w14:paraId="03E977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0" w:type="auto"/>
                  <w:vMerge w:val="continue"/>
                  <w:tcBorders>
                    <w:top w:val="single" w:color="auto" w:sz="6" w:space="0"/>
                    <w:left w:val="single" w:color="auto" w:sz="12" w:space="0"/>
                    <w:bottom w:val="single" w:color="auto" w:sz="6" w:space="0"/>
                    <w:right w:val="single" w:color="auto" w:sz="6" w:space="0"/>
                    <w:tl2br w:val="nil"/>
                    <w:tr2bl w:val="nil"/>
                  </w:tcBorders>
                  <w:vAlign w:val="center"/>
                </w:tcPr>
                <w:p w14:paraId="3136800A">
                  <w:pPr>
                    <w:pStyle w:val="33"/>
                    <w:jc w:val="center"/>
                    <w:rPr>
                      <w:rFonts w:ascii="Times New Roman" w:cs="Times New Roman"/>
                      <w:color w:val="auto"/>
                      <w:sz w:val="21"/>
                      <w:szCs w:val="21"/>
                      <w:u w:val="single"/>
                    </w:rPr>
                  </w:pPr>
                </w:p>
              </w:tc>
              <w:tc>
                <w:tcPr>
                  <w:tcW w:w="1056" w:type="dxa"/>
                  <w:vMerge w:val="continue"/>
                  <w:tcBorders>
                    <w:left w:val="single" w:color="auto" w:sz="6" w:space="0"/>
                    <w:bottom w:val="single" w:color="auto" w:sz="6" w:space="0"/>
                    <w:right w:val="single" w:color="auto" w:sz="6" w:space="0"/>
                    <w:tl2br w:val="nil"/>
                    <w:tr2bl w:val="nil"/>
                  </w:tcBorders>
                  <w:vAlign w:val="center"/>
                </w:tcPr>
                <w:p w14:paraId="12DAD4D4">
                  <w:pPr>
                    <w:pStyle w:val="33"/>
                    <w:jc w:val="center"/>
                    <w:rPr>
                      <w:rFonts w:ascii="Times New Roman" w:cs="Times New Roman"/>
                      <w:color w:val="auto"/>
                      <w:sz w:val="21"/>
                      <w:szCs w:val="21"/>
                      <w:u w:val="single"/>
                    </w:rPr>
                  </w:pPr>
                </w:p>
              </w:tc>
              <w:tc>
                <w:tcPr>
                  <w:tcW w:w="0" w:type="auto"/>
                  <w:vMerge w:val="continue"/>
                  <w:tcBorders>
                    <w:top w:val="single" w:color="auto" w:sz="6" w:space="0"/>
                    <w:left w:val="single" w:color="auto" w:sz="6" w:space="0"/>
                    <w:bottom w:val="single" w:color="auto" w:sz="6" w:space="0"/>
                    <w:right w:val="single" w:color="auto" w:sz="6" w:space="0"/>
                    <w:tl2br w:val="nil"/>
                    <w:tr2bl w:val="nil"/>
                  </w:tcBorders>
                  <w:vAlign w:val="center"/>
                </w:tcPr>
                <w:p w14:paraId="702390A5">
                  <w:pPr>
                    <w:adjustRightInd w:val="0"/>
                    <w:snapToGrid w:val="0"/>
                    <w:jc w:val="center"/>
                    <w:rPr>
                      <w:color w:val="auto"/>
                      <w:szCs w:val="21"/>
                      <w:u w:val="single"/>
                    </w:rPr>
                  </w:pP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1F70FCA9">
                  <w:pPr>
                    <w:adjustRightInd w:val="0"/>
                    <w:snapToGrid w:val="0"/>
                    <w:jc w:val="center"/>
                    <w:textAlignment w:val="center"/>
                    <w:rPr>
                      <w:color w:val="auto"/>
                      <w:szCs w:val="21"/>
                      <w:u w:val="single"/>
                    </w:rPr>
                  </w:pPr>
                  <w:r>
                    <w:rPr>
                      <w:color w:val="auto"/>
                      <w:szCs w:val="21"/>
                      <w:u w:val="single"/>
                    </w:rPr>
                    <w:t>折算浓度</w:t>
                  </w:r>
                </w:p>
              </w:tc>
              <w:tc>
                <w:tcPr>
                  <w:tcW w:w="0" w:type="auto"/>
                  <w:tcBorders>
                    <w:top w:val="single" w:color="auto" w:sz="6" w:space="0"/>
                    <w:left w:val="single" w:color="auto" w:sz="6" w:space="0"/>
                    <w:bottom w:val="single" w:color="auto" w:sz="6" w:space="0"/>
                    <w:right w:val="single" w:color="auto" w:sz="6" w:space="0"/>
                    <w:tl2br w:val="nil"/>
                    <w:tr2bl w:val="nil"/>
                  </w:tcBorders>
                  <w:vAlign w:val="center"/>
                </w:tcPr>
                <w:p w14:paraId="4C999677">
                  <w:pPr>
                    <w:adjustRightInd w:val="0"/>
                    <w:snapToGrid w:val="0"/>
                    <w:jc w:val="center"/>
                    <w:textAlignment w:val="center"/>
                    <w:rPr>
                      <w:color w:val="auto"/>
                      <w:szCs w:val="21"/>
                      <w:u w:val="single"/>
                    </w:rPr>
                  </w:pPr>
                  <w:r>
                    <w:rPr>
                      <w:color w:val="auto"/>
                      <w:szCs w:val="21"/>
                      <w:u w:val="single"/>
                    </w:rPr>
                    <w:t>mg/m</w:t>
                  </w:r>
                  <w:r>
                    <w:rPr>
                      <w:color w:val="auto"/>
                      <w:szCs w:val="21"/>
                      <w:u w:val="single"/>
                      <w:vertAlign w:val="superscript"/>
                    </w:rPr>
                    <w:t>3</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3B2E407A">
                  <w:pPr>
                    <w:widowControl/>
                    <w:jc w:val="center"/>
                    <w:textAlignment w:val="center"/>
                    <w:rPr>
                      <w:color w:val="auto"/>
                      <w:szCs w:val="21"/>
                      <w:u w:val="single"/>
                    </w:rPr>
                  </w:pPr>
                  <w:r>
                    <w:rPr>
                      <w:color w:val="auto"/>
                      <w:kern w:val="0"/>
                      <w:szCs w:val="21"/>
                      <w:u w:val="single"/>
                      <w:lang w:bidi="ar"/>
                    </w:rPr>
                    <w:t>58</w:t>
                  </w:r>
                </w:p>
              </w:tc>
              <w:tc>
                <w:tcPr>
                  <w:tcW w:w="0" w:type="auto"/>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786C5BB6">
                  <w:pPr>
                    <w:widowControl/>
                    <w:jc w:val="center"/>
                    <w:textAlignment w:val="center"/>
                    <w:rPr>
                      <w:color w:val="auto"/>
                      <w:szCs w:val="21"/>
                      <w:u w:val="single"/>
                    </w:rPr>
                  </w:pPr>
                  <w:r>
                    <w:rPr>
                      <w:color w:val="auto"/>
                      <w:kern w:val="0"/>
                      <w:szCs w:val="21"/>
                      <w:u w:val="single"/>
                      <w:lang w:bidi="ar"/>
                    </w:rPr>
                    <w:t>44</w:t>
                  </w:r>
                </w:p>
              </w:tc>
              <w:tc>
                <w:tcPr>
                  <w:tcW w:w="848"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70075BB0">
                  <w:pPr>
                    <w:widowControl/>
                    <w:jc w:val="center"/>
                    <w:textAlignment w:val="center"/>
                    <w:rPr>
                      <w:color w:val="auto"/>
                      <w:szCs w:val="21"/>
                      <w:u w:val="single"/>
                    </w:rPr>
                  </w:pPr>
                  <w:r>
                    <w:rPr>
                      <w:color w:val="auto"/>
                      <w:kern w:val="0"/>
                      <w:szCs w:val="21"/>
                      <w:u w:val="single"/>
                      <w:lang w:bidi="ar"/>
                    </w:rPr>
                    <w:t>39</w:t>
                  </w:r>
                </w:p>
              </w:tc>
              <w:tc>
                <w:tcPr>
                  <w:tcW w:w="849" w:type="dxa"/>
                  <w:tcBorders>
                    <w:top w:val="single" w:color="auto" w:sz="6" w:space="0"/>
                    <w:left w:val="single" w:color="auto" w:sz="6" w:space="0"/>
                    <w:bottom w:val="single" w:color="auto" w:sz="6" w:space="0"/>
                    <w:right w:val="single" w:color="auto" w:sz="6" w:space="0"/>
                    <w:tl2br w:val="nil"/>
                    <w:tr2bl w:val="nil"/>
                  </w:tcBorders>
                  <w:shd w:val="clear" w:color="auto" w:fill="auto"/>
                  <w:vAlign w:val="center"/>
                </w:tcPr>
                <w:p w14:paraId="65555177">
                  <w:pPr>
                    <w:widowControl/>
                    <w:jc w:val="center"/>
                    <w:textAlignment w:val="center"/>
                    <w:rPr>
                      <w:color w:val="auto"/>
                      <w:szCs w:val="21"/>
                      <w:u w:val="single"/>
                    </w:rPr>
                  </w:pPr>
                  <w:r>
                    <w:rPr>
                      <w:color w:val="auto"/>
                      <w:kern w:val="0"/>
                      <w:szCs w:val="21"/>
                      <w:u w:val="single"/>
                      <w:lang w:bidi="ar"/>
                    </w:rPr>
                    <w:t>46</w:t>
                  </w:r>
                </w:p>
              </w:tc>
              <w:tc>
                <w:tcPr>
                  <w:tcW w:w="0" w:type="auto"/>
                  <w:tcBorders>
                    <w:top w:val="single" w:color="auto" w:sz="6" w:space="0"/>
                    <w:left w:val="single" w:color="auto" w:sz="6" w:space="0"/>
                    <w:bottom w:val="single" w:color="auto" w:sz="6" w:space="0"/>
                    <w:right w:val="single" w:color="auto" w:sz="12" w:space="0"/>
                    <w:tl2br w:val="nil"/>
                    <w:tr2bl w:val="nil"/>
                  </w:tcBorders>
                  <w:vAlign w:val="center"/>
                </w:tcPr>
                <w:p w14:paraId="15233D0A">
                  <w:pPr>
                    <w:adjustRightInd w:val="0"/>
                    <w:snapToGrid w:val="0"/>
                    <w:jc w:val="center"/>
                    <w:textAlignment w:val="center"/>
                    <w:rPr>
                      <w:color w:val="auto"/>
                      <w:szCs w:val="21"/>
                      <w:u w:val="single"/>
                    </w:rPr>
                  </w:pPr>
                  <w:r>
                    <w:rPr>
                      <w:color w:val="auto"/>
                      <w:szCs w:val="21"/>
                      <w:u w:val="single"/>
                    </w:rPr>
                    <w:t>300</w:t>
                  </w:r>
                </w:p>
              </w:tc>
            </w:tr>
          </w:tbl>
          <w:p w14:paraId="2E92E0E6">
            <w:pPr>
              <w:pStyle w:val="33"/>
              <w:spacing w:line="360" w:lineRule="auto"/>
              <w:ind w:firstLine="480" w:firstLineChars="200"/>
              <w:rPr>
                <w:rFonts w:hint="default" w:ascii="Times New Roman" w:hAnsi="Times New Roman" w:cs="Times New Roman"/>
                <w:color w:val="FF0000"/>
                <w:sz w:val="24"/>
                <w:szCs w:val="24"/>
                <w:u w:val="single"/>
              </w:rPr>
            </w:pPr>
            <w:r>
              <w:rPr>
                <w:rFonts w:hint="default" w:ascii="Times New Roman" w:hAnsi="Times New Roman" w:cs="Times New Roman"/>
                <w:color w:val="auto"/>
                <w:sz w:val="24"/>
                <w:szCs w:val="24"/>
                <w:u w:val="single"/>
              </w:rPr>
              <w:t>锅炉烟气经布袋除尘处理后经25m高烟囱达到《锅炉大气污染物排放标准》</w:t>
            </w:r>
            <w:r>
              <w:rPr>
                <w:rFonts w:hint="default" w:ascii="Times New Roman" w:hAnsi="Times New Roman" w:cs="Times New Roman"/>
                <w:color w:val="auto"/>
                <w:sz w:val="24"/>
                <w:szCs w:val="24"/>
                <w:u w:val="single"/>
                <w:lang w:eastAsia="zh-CN"/>
              </w:rPr>
              <w:t>（</w:t>
            </w:r>
            <w:r>
              <w:rPr>
                <w:rFonts w:hint="default" w:ascii="Times New Roman" w:hAnsi="Times New Roman" w:cs="Times New Roman"/>
                <w:color w:val="auto"/>
                <w:sz w:val="24"/>
                <w:szCs w:val="24"/>
                <w:u w:val="single"/>
              </w:rPr>
              <w:t>GB13271-2014</w:t>
            </w:r>
            <w:r>
              <w:rPr>
                <w:rFonts w:hint="default" w:ascii="Times New Roman" w:hAnsi="Times New Roman" w:cs="Times New Roman"/>
                <w:color w:val="auto"/>
                <w:sz w:val="24"/>
                <w:szCs w:val="24"/>
                <w:u w:val="single"/>
                <w:lang w:eastAsia="zh-CN"/>
              </w:rPr>
              <w:t>）</w:t>
            </w:r>
            <w:r>
              <w:rPr>
                <w:rFonts w:hint="default" w:ascii="Times New Roman" w:hAnsi="Times New Roman" w:cs="Times New Roman"/>
                <w:color w:val="auto"/>
                <w:sz w:val="24"/>
                <w:szCs w:val="24"/>
                <w:u w:val="single"/>
              </w:rPr>
              <w:t>表2中浓度限值排放，</w:t>
            </w:r>
            <w:r>
              <w:rPr>
                <w:rFonts w:hint="eastAsia" w:ascii="Times New Roman" w:cs="Times New Roman"/>
                <w:color w:val="auto"/>
                <w:sz w:val="24"/>
                <w:szCs w:val="24"/>
                <w:u w:val="single"/>
                <w:lang w:eastAsia="zh-CN"/>
              </w:rPr>
              <w:t>监测期间，锅炉实际运行时间为</w:t>
            </w:r>
            <w:r>
              <w:rPr>
                <w:rFonts w:hint="eastAsia" w:ascii="Times New Roman" w:cs="Times New Roman"/>
                <w:color w:val="auto"/>
                <w:sz w:val="24"/>
                <w:szCs w:val="24"/>
                <w:u w:val="single"/>
                <w:lang w:val="en-US" w:eastAsia="zh-CN"/>
              </w:rPr>
              <w:t>5小时，</w:t>
            </w:r>
            <w:r>
              <w:rPr>
                <w:rFonts w:hint="default" w:ascii="Times New Roman" w:hAnsi="Times New Roman" w:cs="Times New Roman"/>
                <w:color w:val="auto"/>
                <w:sz w:val="24"/>
                <w:szCs w:val="24"/>
                <w:u w:val="single"/>
              </w:rPr>
              <w:t>根据检测结果核算，项目颗粒物</w:t>
            </w:r>
            <w:r>
              <w:rPr>
                <w:rFonts w:hint="eastAsia" w:ascii="Times New Roman" w:hAnsi="Times New Roman" w:cs="Times New Roman"/>
                <w:color w:val="auto"/>
                <w:sz w:val="24"/>
                <w:szCs w:val="24"/>
                <w:u w:val="single"/>
                <w:lang w:eastAsia="zh-CN"/>
              </w:rPr>
              <w:t>、</w:t>
            </w:r>
            <w:r>
              <w:rPr>
                <w:rFonts w:hint="default" w:ascii="Times New Roman" w:hAnsi="Times New Roman" w:cs="Times New Roman"/>
                <w:color w:val="auto"/>
                <w:sz w:val="24"/>
                <w:szCs w:val="24"/>
                <w:u w:val="single"/>
              </w:rPr>
              <w:t>氮氧化物、二氧化硫排放量分别为</w:t>
            </w:r>
            <w:r>
              <w:rPr>
                <w:rFonts w:hint="eastAsia" w:ascii="Times New Roman" w:cs="Times New Roman"/>
                <w:color w:val="auto"/>
                <w:sz w:val="24"/>
                <w:szCs w:val="24"/>
                <w:u w:val="single"/>
                <w:lang w:val="en-US" w:eastAsia="zh-CN"/>
              </w:rPr>
              <w:t>0.2211768</w:t>
            </w:r>
            <w:r>
              <w:rPr>
                <w:rFonts w:hint="default" w:ascii="Times New Roman" w:hAnsi="Times New Roman" w:cs="Times New Roman"/>
                <w:color w:val="auto"/>
                <w:sz w:val="24"/>
                <w:szCs w:val="24"/>
                <w:u w:val="single"/>
              </w:rPr>
              <w:t>4t/a、</w:t>
            </w:r>
            <w:r>
              <w:rPr>
                <w:rFonts w:hint="eastAsia" w:ascii="Times New Roman" w:cs="Times New Roman"/>
                <w:color w:val="auto"/>
                <w:sz w:val="24"/>
                <w:szCs w:val="24"/>
                <w:u w:val="single"/>
                <w:lang w:val="en-US" w:eastAsia="zh-CN"/>
              </w:rPr>
              <w:t>1.331064</w:t>
            </w:r>
            <w:r>
              <w:rPr>
                <w:rFonts w:hint="default" w:ascii="Times New Roman" w:hAnsi="Times New Roman" w:cs="Times New Roman"/>
                <w:color w:val="auto"/>
                <w:sz w:val="24"/>
                <w:szCs w:val="24"/>
                <w:u w:val="single"/>
              </w:rPr>
              <w:t>t/a、</w:t>
            </w:r>
            <w:r>
              <w:rPr>
                <w:rFonts w:hint="eastAsia" w:ascii="Times New Roman" w:cs="Times New Roman"/>
                <w:color w:val="auto"/>
                <w:sz w:val="24"/>
                <w:szCs w:val="24"/>
                <w:u w:val="single"/>
                <w:lang w:val="en-US" w:eastAsia="zh-CN"/>
              </w:rPr>
              <w:t>0.4603648</w:t>
            </w:r>
            <w:r>
              <w:rPr>
                <w:rFonts w:hint="default" w:ascii="Times New Roman" w:hAnsi="Times New Roman" w:cs="Times New Roman"/>
                <w:color w:val="auto"/>
                <w:sz w:val="24"/>
                <w:szCs w:val="24"/>
                <w:u w:val="single"/>
              </w:rPr>
              <w:t>t/a。</w:t>
            </w:r>
          </w:p>
          <w:p w14:paraId="53CAB12B">
            <w:pPr>
              <w:pStyle w:val="33"/>
              <w:spacing w:line="360" w:lineRule="auto"/>
              <w:ind w:firstLine="480" w:firstLineChars="200"/>
              <w:rPr>
                <w:rFonts w:ascii="Times New Roman" w:cs="Times New Roman"/>
              </w:rPr>
            </w:pPr>
            <w:r>
              <w:rPr>
                <w:rFonts w:hint="eastAsia" w:ascii="Times New Roman" w:cs="Times New Roman"/>
                <w:lang w:eastAsia="zh-CN"/>
              </w:rPr>
              <w:t>（</w:t>
            </w:r>
            <w:r>
              <w:rPr>
                <w:rFonts w:ascii="Times New Roman" w:cs="Times New Roman"/>
              </w:rPr>
              <w:t>2</w:t>
            </w:r>
            <w:r>
              <w:rPr>
                <w:rFonts w:hint="eastAsia" w:ascii="Times New Roman" w:cs="Times New Roman"/>
                <w:lang w:eastAsia="zh-CN"/>
              </w:rPr>
              <w:t>）</w:t>
            </w:r>
            <w:r>
              <w:rPr>
                <w:rFonts w:ascii="Times New Roman" w:cs="Times New Roman"/>
              </w:rPr>
              <w:t>餐具自动打包过程产生的微量有机废气</w:t>
            </w:r>
          </w:p>
          <w:p w14:paraId="21FBA1C1">
            <w:pPr>
              <w:pStyle w:val="33"/>
              <w:spacing w:line="360" w:lineRule="auto"/>
              <w:ind w:firstLine="480" w:firstLineChars="200"/>
              <w:rPr>
                <w:rFonts w:ascii="Times New Roman" w:cs="Times New Roman"/>
              </w:rPr>
            </w:pPr>
            <w:r>
              <w:rPr>
                <w:rFonts w:ascii="Times New Roman" w:cs="Times New Roman"/>
              </w:rPr>
              <w:t>餐具自动打包过程产生的微量有机废气按板料6.6t/a的万分之一算</w:t>
            </w:r>
            <w:r>
              <w:rPr>
                <w:rFonts w:hint="eastAsia" w:ascii="Times New Roman" w:cs="Times New Roman"/>
                <w:lang w:eastAsia="zh-CN"/>
              </w:rPr>
              <w:t>，</w:t>
            </w:r>
            <w:r>
              <w:rPr>
                <w:rFonts w:ascii="Times New Roman" w:cs="Times New Roman"/>
              </w:rPr>
              <w:t>年排放有机废气全部按非甲烷总烃计则为0.66kg，车间内无组织排放。项目有机废气无组织排放能满足《大气污染物综合排放标准》</w:t>
            </w:r>
            <w:r>
              <w:rPr>
                <w:rFonts w:hint="eastAsia" w:ascii="Times New Roman" w:cs="Times New Roman"/>
                <w:lang w:eastAsia="zh-CN"/>
              </w:rPr>
              <w:t>（</w:t>
            </w:r>
            <w:r>
              <w:rPr>
                <w:rFonts w:ascii="Times New Roman" w:cs="Times New Roman"/>
              </w:rPr>
              <w:t>GBI6297-1996</w:t>
            </w:r>
            <w:r>
              <w:rPr>
                <w:rFonts w:hint="eastAsia" w:ascii="Times New Roman" w:cs="Times New Roman"/>
                <w:lang w:eastAsia="zh-CN"/>
              </w:rPr>
              <w:t>）</w:t>
            </w:r>
            <w:r>
              <w:rPr>
                <w:rFonts w:ascii="Times New Roman" w:cs="Times New Roman"/>
              </w:rPr>
              <w:t>中的无组织排放标准要求及无需设置大气防护距离。根据环评需设置50m卫生防护距离，项目生产车间们于厂区中部偏西，周边距厂界最近的居民点为项目南侧13m和豆陂村居民点，生产车间有机废气产生点离其距离约140m，能满足卫生防护距离要求。</w:t>
            </w:r>
          </w:p>
          <w:p w14:paraId="4D792881">
            <w:pPr>
              <w:spacing w:line="360" w:lineRule="auto"/>
              <w:ind w:left="368" w:leftChars="175"/>
              <w:rPr>
                <w:b/>
                <w:bCs/>
                <w:sz w:val="24"/>
              </w:rPr>
            </w:pPr>
            <w:r>
              <w:rPr>
                <w:rFonts w:hint="eastAsia"/>
                <w:b/>
                <w:bCs/>
                <w:sz w:val="24"/>
              </w:rPr>
              <w:t>3、固体废物</w:t>
            </w:r>
          </w:p>
          <w:p w14:paraId="3C13A9F7">
            <w:pPr>
              <w:adjustRightInd w:val="0"/>
              <w:snapToGrid w:val="0"/>
              <w:spacing w:line="360" w:lineRule="auto"/>
              <w:ind w:firstLine="480" w:firstLineChars="200"/>
              <w:rPr>
                <w:rFonts w:hint="eastAsia" w:ascii="宋体" w:hAnsi="宋体" w:cs="宋体"/>
                <w:sz w:val="24"/>
              </w:rPr>
            </w:pPr>
            <w:r>
              <w:rPr>
                <w:rFonts w:hint="eastAsia" w:ascii="宋体" w:hAnsi="宋体" w:cs="宋体"/>
                <w:sz w:val="24"/>
              </w:rPr>
              <w:t>破损的周转箱、洗洁精等废包装外卖综合利用；84消毒液包装存放于危废暂存间定期交由有资质单位处置；破损的碗碟、生化处理设施处理产生的的渣委托环卫部门定期清运至垃圾填埋场进行卫生填埋处置；餐具清洗除渣处除得的渣送养殖场做饲料喂猪；生物质锅炉生物质燃烧灰渣、生物质锅炉布袋除尘渣用于农肥。员工生活垃圾委托环卫部门定期清运至垃圾填埋场进行卫生填埋处置。</w:t>
            </w:r>
          </w:p>
          <w:p w14:paraId="596C3F0C">
            <w:pPr>
              <w:adjustRightInd w:val="0"/>
              <w:snapToGrid w:val="0"/>
              <w:spacing w:line="360" w:lineRule="auto"/>
              <w:ind w:left="368" w:leftChars="175"/>
              <w:rPr>
                <w:b/>
                <w:bCs/>
                <w:sz w:val="24"/>
              </w:rPr>
            </w:pPr>
            <w:r>
              <w:rPr>
                <w:rFonts w:hint="eastAsia"/>
                <w:b/>
                <w:bCs/>
                <w:sz w:val="24"/>
              </w:rPr>
              <w:t>4、噪声</w:t>
            </w:r>
          </w:p>
          <w:p w14:paraId="28BB92CA">
            <w:pPr>
              <w:pStyle w:val="33"/>
              <w:snapToGrid w:val="0"/>
              <w:spacing w:line="360" w:lineRule="auto"/>
              <w:ind w:firstLine="480" w:firstLineChars="200"/>
              <w:rPr>
                <w:rFonts w:ascii="Times New Roman" w:cs="Times New Roman"/>
                <w:color w:val="auto"/>
                <w:szCs w:val="21"/>
              </w:rPr>
            </w:pPr>
            <w:r>
              <w:rPr>
                <w:rFonts w:hint="eastAsia" w:hAnsi="宋体"/>
                <w:color w:val="auto"/>
              </w:rPr>
              <w:t>现有工程通过合理厂房布局、设各设计和选型严格控制噪声污染；合理布局高噪声设备，对高噪声设备采取消声、减震、隔声措施，确保厂界噪声达到功能区标准。</w:t>
            </w:r>
            <w:r>
              <w:rPr>
                <w:rFonts w:hint="eastAsia"/>
                <w:bCs/>
                <w:color w:val="auto"/>
                <w:sz w:val="24"/>
              </w:rPr>
              <w:t>根据</w:t>
            </w:r>
            <w:r>
              <w:rPr>
                <w:rFonts w:hint="eastAsia"/>
                <w:bCs/>
                <w:color w:val="auto"/>
                <w:sz w:val="24"/>
                <w:lang w:eastAsia="zh-CN"/>
              </w:rPr>
              <w:t>公司环保竣工验收资料</w:t>
            </w:r>
            <w:r>
              <w:rPr>
                <w:rFonts w:hint="eastAsia" w:ascii="Times New Roman" w:cs="Times New Roman"/>
                <w:color w:val="auto"/>
                <w:szCs w:val="21"/>
              </w:rPr>
              <w:t>，项目厂界噪声监测分析结果如表2-</w:t>
            </w:r>
            <w:r>
              <w:rPr>
                <w:rFonts w:hint="eastAsia" w:ascii="Times New Roman" w:cs="Times New Roman"/>
                <w:color w:val="auto"/>
                <w:szCs w:val="21"/>
                <w:lang w:val="en-US" w:eastAsia="zh-CN"/>
              </w:rPr>
              <w:t>11</w:t>
            </w:r>
            <w:r>
              <w:rPr>
                <w:rFonts w:hint="eastAsia" w:ascii="Times New Roman" w:cs="Times New Roman"/>
                <w:color w:val="auto"/>
                <w:szCs w:val="21"/>
              </w:rPr>
              <w:t>：</w:t>
            </w:r>
          </w:p>
          <w:p w14:paraId="3EFB2AA5">
            <w:pPr>
              <w:spacing w:before="120" w:beforeLines="50" w:after="120" w:afterLines="50"/>
              <w:jc w:val="center"/>
              <w:rPr>
                <w:b/>
                <w:bCs/>
                <w:szCs w:val="21"/>
              </w:rPr>
            </w:pPr>
            <w:r>
              <w:rPr>
                <w:b/>
                <w:bCs/>
                <w:szCs w:val="21"/>
              </w:rPr>
              <w:t>表</w:t>
            </w:r>
            <w:r>
              <w:rPr>
                <w:rFonts w:hint="eastAsia"/>
                <w:b/>
                <w:bCs/>
                <w:szCs w:val="21"/>
              </w:rPr>
              <w:t>2-</w:t>
            </w:r>
            <w:r>
              <w:rPr>
                <w:rFonts w:hint="eastAsia"/>
                <w:b/>
                <w:bCs/>
                <w:szCs w:val="21"/>
                <w:lang w:val="en-US" w:eastAsia="zh-CN"/>
              </w:rPr>
              <w:t>11</w:t>
            </w:r>
            <w:r>
              <w:rPr>
                <w:b/>
                <w:bCs/>
                <w:szCs w:val="21"/>
              </w:rPr>
              <w:t xml:space="preserve">   厂界噪声监测分析结果</w:t>
            </w:r>
          </w:p>
          <w:tbl>
            <w:tblPr>
              <w:tblStyle w:val="20"/>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3" w:type="dxa"/>
                <w:bottom w:w="0" w:type="dxa"/>
                <w:right w:w="23" w:type="dxa"/>
              </w:tblCellMar>
            </w:tblPr>
            <w:tblGrid>
              <w:gridCol w:w="529"/>
              <w:gridCol w:w="1918"/>
              <w:gridCol w:w="2413"/>
              <w:gridCol w:w="2532"/>
              <w:gridCol w:w="1883"/>
            </w:tblGrid>
            <w:tr w14:paraId="5CFFA1B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319" w:type="pct"/>
                  <w:gridSpan w:val="2"/>
                  <w:vMerge w:val="restart"/>
                  <w:tcBorders>
                    <w:top w:val="single" w:color="auto" w:sz="12" w:space="0"/>
                    <w:left w:val="single" w:color="auto" w:sz="12" w:space="0"/>
                    <w:right w:val="single" w:color="auto" w:sz="4" w:space="0"/>
                  </w:tcBorders>
                  <w:vAlign w:val="center"/>
                </w:tcPr>
                <w:p w14:paraId="449FDEEC">
                  <w:pPr>
                    <w:widowControl/>
                    <w:spacing w:line="360" w:lineRule="auto"/>
                    <w:jc w:val="center"/>
                    <w:rPr>
                      <w:b/>
                      <w:bCs/>
                      <w:kern w:val="0"/>
                      <w:szCs w:val="21"/>
                    </w:rPr>
                  </w:pPr>
                  <w:r>
                    <w:rPr>
                      <w:rFonts w:hint="eastAsia" w:ascii="宋体" w:hAnsi="宋体" w:cs="宋体"/>
                      <w:b/>
                      <w:bCs/>
                      <w:kern w:val="0"/>
                      <w:szCs w:val="21"/>
                      <w:lang w:bidi="ar"/>
                    </w:rPr>
                    <w:t>采样点位</w:t>
                  </w:r>
                </w:p>
              </w:tc>
              <w:tc>
                <w:tcPr>
                  <w:tcW w:w="1301" w:type="pct"/>
                  <w:vMerge w:val="restart"/>
                  <w:tcBorders>
                    <w:top w:val="single" w:color="auto" w:sz="12" w:space="0"/>
                    <w:left w:val="single" w:color="auto" w:sz="4" w:space="0"/>
                    <w:right w:val="single" w:color="auto" w:sz="4" w:space="0"/>
                  </w:tcBorders>
                  <w:vAlign w:val="center"/>
                </w:tcPr>
                <w:p w14:paraId="4437DB8D">
                  <w:pPr>
                    <w:widowControl/>
                    <w:spacing w:line="360" w:lineRule="auto"/>
                    <w:jc w:val="center"/>
                    <w:rPr>
                      <w:rFonts w:hint="eastAsia" w:ascii="宋体" w:hAnsi="宋体" w:cs="宋体"/>
                      <w:b/>
                      <w:bCs/>
                      <w:kern w:val="0"/>
                      <w:szCs w:val="21"/>
                      <w:lang w:bidi="ar"/>
                    </w:rPr>
                  </w:pPr>
                  <w:r>
                    <w:rPr>
                      <w:rFonts w:hint="eastAsia" w:ascii="宋体" w:hAnsi="宋体" w:cs="宋体"/>
                      <w:b/>
                      <w:bCs/>
                      <w:kern w:val="0"/>
                      <w:szCs w:val="21"/>
                      <w:lang w:bidi="ar"/>
                    </w:rPr>
                    <w:t>监测结果</w:t>
                  </w:r>
                </w:p>
                <w:p w14:paraId="2DEE8591">
                  <w:pPr>
                    <w:widowControl/>
                    <w:spacing w:line="360" w:lineRule="auto"/>
                    <w:jc w:val="center"/>
                    <w:rPr>
                      <w:rFonts w:hint="eastAsia" w:ascii="宋体" w:hAnsi="宋体" w:cs="宋体"/>
                      <w:b/>
                      <w:bCs/>
                      <w:kern w:val="0"/>
                      <w:szCs w:val="21"/>
                      <w:lang w:bidi="ar"/>
                    </w:rPr>
                  </w:pPr>
                  <w:r>
                    <w:rPr>
                      <w:rFonts w:hint="eastAsia" w:ascii="宋体" w:hAnsi="宋体" w:cs="宋体"/>
                      <w:b/>
                      <w:bCs/>
                      <w:kern w:val="0"/>
                      <w:szCs w:val="21"/>
                      <w:lang w:bidi="ar"/>
                    </w:rPr>
                    <w:t>昼间</w:t>
                  </w:r>
                </w:p>
              </w:tc>
              <w:tc>
                <w:tcPr>
                  <w:tcW w:w="1365" w:type="pct"/>
                  <w:tcBorders>
                    <w:top w:val="single" w:color="auto" w:sz="12" w:space="0"/>
                    <w:left w:val="single" w:color="auto" w:sz="4" w:space="0"/>
                    <w:bottom w:val="single" w:color="auto" w:sz="4" w:space="0"/>
                    <w:right w:val="single" w:color="auto" w:sz="4" w:space="0"/>
                  </w:tcBorders>
                  <w:shd w:val="clear" w:color="auto" w:fill="auto"/>
                  <w:vAlign w:val="center"/>
                </w:tcPr>
                <w:p w14:paraId="3286E13F">
                  <w:pPr>
                    <w:jc w:val="center"/>
                    <w:rPr>
                      <w:b/>
                      <w:bCs/>
                      <w:sz w:val="20"/>
                      <w:szCs w:val="20"/>
                    </w:rPr>
                  </w:pPr>
                  <w:r>
                    <w:rPr>
                      <w:rFonts w:hint="eastAsia" w:ascii="宋体" w:hAnsi="宋体" w:cs="宋体"/>
                      <w:b/>
                      <w:bCs/>
                      <w:kern w:val="0"/>
                      <w:szCs w:val="21"/>
                      <w:lang w:bidi="ar"/>
                    </w:rPr>
                    <w:t>标准限值</w:t>
                  </w:r>
                </w:p>
              </w:tc>
              <w:tc>
                <w:tcPr>
                  <w:tcW w:w="1013" w:type="pct"/>
                  <w:vMerge w:val="restart"/>
                  <w:tcBorders>
                    <w:top w:val="single" w:color="auto" w:sz="12" w:space="0"/>
                    <w:left w:val="single" w:color="auto" w:sz="4" w:space="0"/>
                    <w:right w:val="single" w:color="auto" w:sz="4" w:space="0"/>
                  </w:tcBorders>
                  <w:shd w:val="clear" w:color="auto" w:fill="auto"/>
                  <w:vAlign w:val="center"/>
                </w:tcPr>
                <w:p w14:paraId="7B7BF1FE">
                  <w:pPr>
                    <w:jc w:val="center"/>
                    <w:rPr>
                      <w:b/>
                      <w:bCs/>
                      <w:sz w:val="20"/>
                      <w:szCs w:val="20"/>
                    </w:rPr>
                  </w:pPr>
                  <w:r>
                    <w:rPr>
                      <w:rFonts w:hint="eastAsia" w:ascii="宋体" w:hAnsi="宋体" w:cs="宋体"/>
                      <w:b/>
                      <w:bCs/>
                      <w:kern w:val="0"/>
                      <w:szCs w:val="21"/>
                      <w:lang w:bidi="ar"/>
                    </w:rPr>
                    <w:t>是否达标</w:t>
                  </w:r>
                </w:p>
              </w:tc>
            </w:tr>
            <w:tr w14:paraId="4F5A1C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319" w:type="pct"/>
                  <w:gridSpan w:val="2"/>
                  <w:vMerge w:val="continue"/>
                  <w:tcBorders>
                    <w:left w:val="single" w:color="auto" w:sz="12" w:space="0"/>
                    <w:bottom w:val="single" w:color="auto" w:sz="4" w:space="0"/>
                    <w:right w:val="single" w:color="auto" w:sz="4" w:space="0"/>
                  </w:tcBorders>
                  <w:vAlign w:val="center"/>
                </w:tcPr>
                <w:p w14:paraId="55ECFB9F">
                  <w:pPr>
                    <w:widowControl/>
                    <w:spacing w:line="360" w:lineRule="auto"/>
                    <w:jc w:val="center"/>
                    <w:rPr>
                      <w:rFonts w:hint="eastAsia" w:ascii="宋体" w:hAnsi="宋体" w:cs="宋体"/>
                      <w:kern w:val="0"/>
                      <w:szCs w:val="21"/>
                      <w:lang w:bidi="ar"/>
                    </w:rPr>
                  </w:pPr>
                </w:p>
              </w:tc>
              <w:tc>
                <w:tcPr>
                  <w:tcW w:w="1301" w:type="pct"/>
                  <w:vMerge w:val="continue"/>
                  <w:tcBorders>
                    <w:left w:val="single" w:color="auto" w:sz="4" w:space="0"/>
                    <w:bottom w:val="single" w:color="auto" w:sz="4" w:space="0"/>
                    <w:right w:val="single" w:color="auto" w:sz="4" w:space="0"/>
                  </w:tcBorders>
                  <w:vAlign w:val="center"/>
                </w:tcPr>
                <w:p w14:paraId="7F7DD76D">
                  <w:pPr>
                    <w:widowControl/>
                    <w:spacing w:line="360" w:lineRule="auto"/>
                    <w:jc w:val="center"/>
                    <w:rPr>
                      <w:rFonts w:hint="eastAsia" w:ascii="宋体" w:hAnsi="宋体" w:cs="宋体"/>
                      <w:kern w:val="0"/>
                      <w:szCs w:val="21"/>
                      <w:lang w:bidi="ar"/>
                    </w:rPr>
                  </w:pPr>
                </w:p>
              </w:tc>
              <w:tc>
                <w:tcPr>
                  <w:tcW w:w="1365" w:type="pct"/>
                  <w:tcBorders>
                    <w:top w:val="single" w:color="auto" w:sz="12" w:space="0"/>
                    <w:left w:val="single" w:color="auto" w:sz="4" w:space="0"/>
                    <w:bottom w:val="single" w:color="auto" w:sz="4" w:space="0"/>
                    <w:right w:val="single" w:color="auto" w:sz="4" w:space="0"/>
                  </w:tcBorders>
                  <w:shd w:val="clear" w:color="auto" w:fill="auto"/>
                  <w:vAlign w:val="center"/>
                </w:tcPr>
                <w:p w14:paraId="19BE7A8B">
                  <w:pPr>
                    <w:jc w:val="center"/>
                    <w:rPr>
                      <w:rFonts w:hint="eastAsia" w:ascii="宋体" w:hAnsi="宋体" w:cs="宋体"/>
                      <w:kern w:val="0"/>
                      <w:szCs w:val="21"/>
                      <w:lang w:bidi="ar"/>
                    </w:rPr>
                  </w:pPr>
                  <w:r>
                    <w:rPr>
                      <w:rFonts w:hint="eastAsia" w:ascii="宋体" w:hAnsi="宋体" w:cs="宋体"/>
                      <w:b/>
                      <w:bCs/>
                      <w:kern w:val="0"/>
                      <w:szCs w:val="21"/>
                      <w:lang w:bidi="ar"/>
                    </w:rPr>
                    <w:t>昼间</w:t>
                  </w:r>
                </w:p>
              </w:tc>
              <w:tc>
                <w:tcPr>
                  <w:tcW w:w="1013" w:type="pct"/>
                  <w:vMerge w:val="continue"/>
                  <w:tcBorders>
                    <w:left w:val="single" w:color="auto" w:sz="4" w:space="0"/>
                    <w:bottom w:val="single" w:color="auto" w:sz="4" w:space="0"/>
                    <w:right w:val="single" w:color="auto" w:sz="4" w:space="0"/>
                  </w:tcBorders>
                  <w:shd w:val="clear" w:color="auto" w:fill="auto"/>
                  <w:vAlign w:val="center"/>
                </w:tcPr>
                <w:p w14:paraId="3B6FE968">
                  <w:pPr>
                    <w:jc w:val="center"/>
                    <w:rPr>
                      <w:rFonts w:hint="eastAsia" w:ascii="宋体" w:hAnsi="宋体" w:cs="宋体"/>
                      <w:kern w:val="0"/>
                      <w:szCs w:val="21"/>
                      <w:lang w:bidi="ar"/>
                    </w:rPr>
                  </w:pPr>
                </w:p>
              </w:tc>
            </w:tr>
            <w:tr w14:paraId="027E0B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85" w:type="pct"/>
                  <w:tcBorders>
                    <w:top w:val="single" w:color="auto" w:sz="4" w:space="0"/>
                    <w:left w:val="single" w:color="auto" w:sz="12" w:space="0"/>
                    <w:bottom w:val="single" w:color="auto" w:sz="4" w:space="0"/>
                    <w:right w:val="single" w:color="auto" w:sz="4" w:space="0"/>
                  </w:tcBorders>
                  <w:vAlign w:val="center"/>
                </w:tcPr>
                <w:p w14:paraId="4F03BBDB">
                  <w:pPr>
                    <w:spacing w:line="360" w:lineRule="auto"/>
                    <w:jc w:val="center"/>
                    <w:rPr>
                      <w:kern w:val="0"/>
                      <w:szCs w:val="21"/>
                    </w:rPr>
                  </w:pPr>
                  <w:r>
                    <w:rPr>
                      <w:szCs w:val="21"/>
                      <w:lang w:bidi="ar"/>
                    </w:rPr>
                    <w:t>N1</w:t>
                  </w:r>
                </w:p>
              </w:tc>
              <w:tc>
                <w:tcPr>
                  <w:tcW w:w="1033" w:type="pct"/>
                  <w:tcBorders>
                    <w:top w:val="single" w:color="auto" w:sz="4" w:space="0"/>
                    <w:left w:val="single" w:color="auto" w:sz="4" w:space="0"/>
                    <w:bottom w:val="single" w:color="auto" w:sz="4" w:space="0"/>
                    <w:right w:val="single" w:color="auto" w:sz="4" w:space="0"/>
                  </w:tcBorders>
                  <w:vAlign w:val="center"/>
                </w:tcPr>
                <w:p w14:paraId="5D4A8F3B">
                  <w:pPr>
                    <w:spacing w:line="360" w:lineRule="auto"/>
                    <w:jc w:val="center"/>
                    <w:rPr>
                      <w:kern w:val="0"/>
                      <w:szCs w:val="21"/>
                    </w:rPr>
                  </w:pPr>
                  <w:r>
                    <w:rPr>
                      <w:rFonts w:hint="eastAsia" w:ascii="宋体" w:hAnsi="宋体" w:cs="宋体"/>
                      <w:szCs w:val="21"/>
                      <w:lang w:bidi="ar"/>
                    </w:rPr>
                    <w:t>项目东厂界外</w:t>
                  </w:r>
                  <w:r>
                    <w:rPr>
                      <w:szCs w:val="21"/>
                      <w:lang w:bidi="ar"/>
                    </w:rPr>
                    <w:t>1m</w:t>
                  </w:r>
                </w:p>
              </w:tc>
              <w:tc>
                <w:tcPr>
                  <w:tcW w:w="1301" w:type="pct"/>
                  <w:tcBorders>
                    <w:top w:val="single" w:color="auto" w:sz="4" w:space="0"/>
                    <w:left w:val="single" w:color="auto" w:sz="4" w:space="0"/>
                    <w:bottom w:val="single" w:color="auto" w:sz="4" w:space="0"/>
                    <w:right w:val="single" w:color="auto" w:sz="4" w:space="0"/>
                  </w:tcBorders>
                  <w:vAlign w:val="center"/>
                </w:tcPr>
                <w:p w14:paraId="1065C000">
                  <w:pPr>
                    <w:spacing w:line="360" w:lineRule="auto"/>
                    <w:jc w:val="center"/>
                    <w:rPr>
                      <w:rFonts w:hint="eastAsia" w:ascii="宋体" w:hAnsi="宋体" w:cs="宋体"/>
                      <w:szCs w:val="21"/>
                      <w:lang w:bidi="ar"/>
                    </w:rPr>
                  </w:pPr>
                  <w:r>
                    <w:rPr>
                      <w:rFonts w:hint="eastAsia"/>
                      <w:szCs w:val="21"/>
                      <w:lang w:bidi="ar"/>
                    </w:rPr>
                    <w:t>64</w:t>
                  </w:r>
                </w:p>
              </w:tc>
              <w:tc>
                <w:tcPr>
                  <w:tcW w:w="1365" w:type="pct"/>
                  <w:tcBorders>
                    <w:top w:val="single" w:color="auto" w:sz="4" w:space="0"/>
                    <w:left w:val="single" w:color="auto" w:sz="4" w:space="0"/>
                    <w:bottom w:val="single" w:color="auto" w:sz="4" w:space="0"/>
                    <w:right w:val="single" w:color="auto" w:sz="4" w:space="0"/>
                  </w:tcBorders>
                  <w:vAlign w:val="center"/>
                </w:tcPr>
                <w:p w14:paraId="2A837341">
                  <w:pPr>
                    <w:spacing w:line="360" w:lineRule="auto"/>
                    <w:jc w:val="center"/>
                    <w:rPr>
                      <w:szCs w:val="21"/>
                      <w:lang w:bidi="ar"/>
                    </w:rPr>
                  </w:pPr>
                  <w:r>
                    <w:rPr>
                      <w:rFonts w:hint="eastAsia"/>
                      <w:szCs w:val="21"/>
                      <w:lang w:bidi="ar"/>
                    </w:rPr>
                    <w:t>70</w:t>
                  </w:r>
                </w:p>
              </w:tc>
              <w:tc>
                <w:tcPr>
                  <w:tcW w:w="1013" w:type="pct"/>
                  <w:tcBorders>
                    <w:top w:val="single" w:color="auto" w:sz="4" w:space="0"/>
                    <w:left w:val="single" w:color="auto" w:sz="4" w:space="0"/>
                    <w:bottom w:val="single" w:color="auto" w:sz="4" w:space="0"/>
                    <w:right w:val="single" w:color="auto" w:sz="4" w:space="0"/>
                  </w:tcBorders>
                  <w:vAlign w:val="center"/>
                </w:tcPr>
                <w:p w14:paraId="0FE94162">
                  <w:pPr>
                    <w:spacing w:line="360" w:lineRule="auto"/>
                    <w:jc w:val="center"/>
                    <w:rPr>
                      <w:szCs w:val="21"/>
                      <w:lang w:bidi="ar"/>
                    </w:rPr>
                  </w:pPr>
                  <w:r>
                    <w:rPr>
                      <w:rFonts w:hint="eastAsia"/>
                      <w:szCs w:val="21"/>
                      <w:lang w:bidi="ar"/>
                    </w:rPr>
                    <w:t>是</w:t>
                  </w:r>
                </w:p>
              </w:tc>
            </w:tr>
            <w:tr w14:paraId="2AFCD1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85" w:type="pct"/>
                  <w:tcBorders>
                    <w:top w:val="single" w:color="auto" w:sz="4" w:space="0"/>
                    <w:left w:val="single" w:color="auto" w:sz="12" w:space="0"/>
                    <w:bottom w:val="single" w:color="auto" w:sz="4" w:space="0"/>
                    <w:right w:val="single" w:color="auto" w:sz="4" w:space="0"/>
                  </w:tcBorders>
                  <w:vAlign w:val="center"/>
                </w:tcPr>
                <w:p w14:paraId="389EDC60">
                  <w:pPr>
                    <w:spacing w:line="360" w:lineRule="auto"/>
                    <w:jc w:val="center"/>
                    <w:rPr>
                      <w:kern w:val="0"/>
                      <w:szCs w:val="21"/>
                    </w:rPr>
                  </w:pPr>
                  <w:r>
                    <w:rPr>
                      <w:szCs w:val="21"/>
                      <w:lang w:bidi="ar"/>
                    </w:rPr>
                    <w:t>N2</w:t>
                  </w:r>
                </w:p>
              </w:tc>
              <w:tc>
                <w:tcPr>
                  <w:tcW w:w="1033" w:type="pct"/>
                  <w:tcBorders>
                    <w:top w:val="single" w:color="auto" w:sz="4" w:space="0"/>
                    <w:left w:val="single" w:color="auto" w:sz="4" w:space="0"/>
                    <w:bottom w:val="single" w:color="auto" w:sz="4" w:space="0"/>
                    <w:right w:val="single" w:color="auto" w:sz="4" w:space="0"/>
                  </w:tcBorders>
                  <w:vAlign w:val="center"/>
                </w:tcPr>
                <w:p w14:paraId="41792532">
                  <w:pPr>
                    <w:spacing w:line="360" w:lineRule="auto"/>
                    <w:jc w:val="center"/>
                    <w:rPr>
                      <w:kern w:val="0"/>
                      <w:szCs w:val="21"/>
                    </w:rPr>
                  </w:pPr>
                  <w:r>
                    <w:rPr>
                      <w:rFonts w:hint="eastAsia" w:ascii="宋体" w:hAnsi="宋体" w:cs="宋体"/>
                      <w:szCs w:val="21"/>
                      <w:lang w:bidi="ar"/>
                    </w:rPr>
                    <w:t>项目南厂界外</w:t>
                  </w:r>
                  <w:r>
                    <w:rPr>
                      <w:szCs w:val="21"/>
                      <w:lang w:bidi="ar"/>
                    </w:rPr>
                    <w:t>1m</w:t>
                  </w:r>
                </w:p>
              </w:tc>
              <w:tc>
                <w:tcPr>
                  <w:tcW w:w="1301" w:type="pct"/>
                  <w:tcBorders>
                    <w:top w:val="single" w:color="auto" w:sz="4" w:space="0"/>
                    <w:left w:val="single" w:color="auto" w:sz="4" w:space="0"/>
                    <w:bottom w:val="single" w:color="auto" w:sz="4" w:space="0"/>
                    <w:right w:val="single" w:color="auto" w:sz="4" w:space="0"/>
                  </w:tcBorders>
                  <w:vAlign w:val="center"/>
                </w:tcPr>
                <w:p w14:paraId="5F94C33B">
                  <w:pPr>
                    <w:spacing w:line="360" w:lineRule="auto"/>
                    <w:jc w:val="center"/>
                    <w:rPr>
                      <w:rFonts w:hint="eastAsia" w:ascii="宋体" w:hAnsi="宋体" w:cs="宋体"/>
                      <w:szCs w:val="21"/>
                      <w:lang w:bidi="ar"/>
                    </w:rPr>
                  </w:pPr>
                  <w:r>
                    <w:rPr>
                      <w:rFonts w:hint="eastAsia"/>
                      <w:szCs w:val="21"/>
                      <w:lang w:bidi="ar"/>
                    </w:rPr>
                    <w:t>63</w:t>
                  </w:r>
                </w:p>
              </w:tc>
              <w:tc>
                <w:tcPr>
                  <w:tcW w:w="1365" w:type="pct"/>
                  <w:tcBorders>
                    <w:top w:val="single" w:color="auto" w:sz="4" w:space="0"/>
                    <w:left w:val="single" w:color="auto" w:sz="4" w:space="0"/>
                    <w:bottom w:val="single" w:color="auto" w:sz="4" w:space="0"/>
                    <w:right w:val="single" w:color="auto" w:sz="4" w:space="0"/>
                  </w:tcBorders>
                  <w:vAlign w:val="center"/>
                </w:tcPr>
                <w:p w14:paraId="6912A6FE">
                  <w:pPr>
                    <w:spacing w:line="360" w:lineRule="auto"/>
                    <w:jc w:val="center"/>
                    <w:rPr>
                      <w:szCs w:val="21"/>
                      <w:lang w:bidi="ar"/>
                    </w:rPr>
                  </w:pPr>
                  <w:r>
                    <w:rPr>
                      <w:rFonts w:hint="eastAsia"/>
                      <w:szCs w:val="21"/>
                      <w:lang w:bidi="ar"/>
                    </w:rPr>
                    <w:t>65</w:t>
                  </w:r>
                </w:p>
              </w:tc>
              <w:tc>
                <w:tcPr>
                  <w:tcW w:w="1013" w:type="pct"/>
                  <w:tcBorders>
                    <w:top w:val="single" w:color="auto" w:sz="4" w:space="0"/>
                    <w:left w:val="single" w:color="auto" w:sz="4" w:space="0"/>
                    <w:bottom w:val="single" w:color="auto" w:sz="4" w:space="0"/>
                    <w:right w:val="single" w:color="auto" w:sz="4" w:space="0"/>
                  </w:tcBorders>
                  <w:vAlign w:val="center"/>
                </w:tcPr>
                <w:p w14:paraId="0B9D4215">
                  <w:pPr>
                    <w:spacing w:line="360" w:lineRule="auto"/>
                    <w:jc w:val="center"/>
                    <w:rPr>
                      <w:szCs w:val="21"/>
                      <w:lang w:bidi="ar"/>
                    </w:rPr>
                  </w:pPr>
                  <w:r>
                    <w:rPr>
                      <w:rFonts w:hint="eastAsia"/>
                      <w:szCs w:val="21"/>
                      <w:lang w:bidi="ar"/>
                    </w:rPr>
                    <w:t>是</w:t>
                  </w:r>
                </w:p>
              </w:tc>
            </w:tr>
            <w:tr w14:paraId="04CB91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285" w:type="pct"/>
                  <w:tcBorders>
                    <w:top w:val="single" w:color="auto" w:sz="4" w:space="0"/>
                    <w:left w:val="single" w:color="auto" w:sz="12" w:space="0"/>
                    <w:bottom w:val="single" w:color="auto" w:sz="4" w:space="0"/>
                    <w:right w:val="single" w:color="auto" w:sz="4" w:space="0"/>
                  </w:tcBorders>
                  <w:vAlign w:val="center"/>
                </w:tcPr>
                <w:p w14:paraId="3FEB081A">
                  <w:pPr>
                    <w:spacing w:line="360" w:lineRule="auto"/>
                    <w:jc w:val="center"/>
                    <w:rPr>
                      <w:kern w:val="0"/>
                      <w:szCs w:val="21"/>
                    </w:rPr>
                  </w:pPr>
                  <w:r>
                    <w:rPr>
                      <w:szCs w:val="21"/>
                      <w:lang w:bidi="ar"/>
                    </w:rPr>
                    <w:t>N3</w:t>
                  </w:r>
                </w:p>
              </w:tc>
              <w:tc>
                <w:tcPr>
                  <w:tcW w:w="1033" w:type="pct"/>
                  <w:tcBorders>
                    <w:top w:val="single" w:color="auto" w:sz="4" w:space="0"/>
                    <w:left w:val="single" w:color="auto" w:sz="4" w:space="0"/>
                    <w:bottom w:val="single" w:color="auto" w:sz="4" w:space="0"/>
                    <w:right w:val="single" w:color="auto" w:sz="4" w:space="0"/>
                  </w:tcBorders>
                  <w:vAlign w:val="center"/>
                </w:tcPr>
                <w:p w14:paraId="36A2A723">
                  <w:pPr>
                    <w:spacing w:line="360" w:lineRule="auto"/>
                    <w:jc w:val="center"/>
                    <w:rPr>
                      <w:kern w:val="0"/>
                      <w:szCs w:val="21"/>
                    </w:rPr>
                  </w:pPr>
                  <w:r>
                    <w:rPr>
                      <w:rFonts w:hint="eastAsia" w:ascii="宋体" w:hAnsi="宋体" w:cs="宋体"/>
                      <w:szCs w:val="21"/>
                      <w:lang w:bidi="ar"/>
                    </w:rPr>
                    <w:t>项目西厂界外</w:t>
                  </w:r>
                  <w:r>
                    <w:rPr>
                      <w:szCs w:val="21"/>
                      <w:lang w:bidi="ar"/>
                    </w:rPr>
                    <w:t>1m</w:t>
                  </w:r>
                </w:p>
              </w:tc>
              <w:tc>
                <w:tcPr>
                  <w:tcW w:w="1301" w:type="pct"/>
                  <w:tcBorders>
                    <w:top w:val="single" w:color="auto" w:sz="4" w:space="0"/>
                    <w:left w:val="single" w:color="auto" w:sz="4" w:space="0"/>
                    <w:bottom w:val="single" w:color="auto" w:sz="4" w:space="0"/>
                    <w:right w:val="single" w:color="auto" w:sz="4" w:space="0"/>
                  </w:tcBorders>
                  <w:vAlign w:val="center"/>
                </w:tcPr>
                <w:p w14:paraId="18F2AD74">
                  <w:pPr>
                    <w:spacing w:line="360" w:lineRule="auto"/>
                    <w:jc w:val="center"/>
                    <w:rPr>
                      <w:rFonts w:hint="eastAsia" w:ascii="宋体" w:hAnsi="宋体" w:cs="宋体"/>
                      <w:szCs w:val="21"/>
                      <w:lang w:bidi="ar"/>
                    </w:rPr>
                  </w:pPr>
                  <w:r>
                    <w:rPr>
                      <w:rFonts w:hint="eastAsia"/>
                      <w:szCs w:val="21"/>
                      <w:lang w:bidi="ar"/>
                    </w:rPr>
                    <w:t>61</w:t>
                  </w:r>
                </w:p>
              </w:tc>
              <w:tc>
                <w:tcPr>
                  <w:tcW w:w="1365" w:type="pct"/>
                  <w:tcBorders>
                    <w:top w:val="single" w:color="auto" w:sz="4" w:space="0"/>
                    <w:left w:val="single" w:color="auto" w:sz="4" w:space="0"/>
                    <w:bottom w:val="single" w:color="auto" w:sz="4" w:space="0"/>
                    <w:right w:val="single" w:color="auto" w:sz="4" w:space="0"/>
                  </w:tcBorders>
                  <w:vAlign w:val="center"/>
                </w:tcPr>
                <w:p w14:paraId="30F4F669">
                  <w:pPr>
                    <w:spacing w:line="360" w:lineRule="auto"/>
                    <w:jc w:val="center"/>
                    <w:rPr>
                      <w:szCs w:val="21"/>
                      <w:lang w:bidi="ar"/>
                    </w:rPr>
                  </w:pPr>
                  <w:r>
                    <w:rPr>
                      <w:rFonts w:hint="eastAsia"/>
                      <w:szCs w:val="21"/>
                      <w:lang w:bidi="ar"/>
                    </w:rPr>
                    <w:t>65</w:t>
                  </w:r>
                </w:p>
              </w:tc>
              <w:tc>
                <w:tcPr>
                  <w:tcW w:w="1013" w:type="pct"/>
                  <w:tcBorders>
                    <w:top w:val="single" w:color="auto" w:sz="4" w:space="0"/>
                    <w:left w:val="single" w:color="auto" w:sz="4" w:space="0"/>
                    <w:bottom w:val="single" w:color="auto" w:sz="4" w:space="0"/>
                    <w:right w:val="single" w:color="auto" w:sz="4" w:space="0"/>
                  </w:tcBorders>
                  <w:vAlign w:val="center"/>
                </w:tcPr>
                <w:p w14:paraId="409DE79F">
                  <w:pPr>
                    <w:spacing w:line="360" w:lineRule="auto"/>
                    <w:jc w:val="center"/>
                    <w:rPr>
                      <w:szCs w:val="21"/>
                      <w:lang w:bidi="ar"/>
                    </w:rPr>
                  </w:pPr>
                  <w:r>
                    <w:rPr>
                      <w:rFonts w:hint="eastAsia"/>
                      <w:szCs w:val="21"/>
                      <w:lang w:bidi="ar"/>
                    </w:rPr>
                    <w:t>是</w:t>
                  </w:r>
                </w:p>
              </w:tc>
            </w:tr>
            <w:tr w14:paraId="464813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1319" w:type="pct"/>
                  <w:gridSpan w:val="2"/>
                  <w:tcBorders>
                    <w:top w:val="single" w:color="auto" w:sz="4" w:space="0"/>
                    <w:left w:val="single" w:color="auto" w:sz="12" w:space="0"/>
                    <w:bottom w:val="single" w:color="auto" w:sz="4" w:space="0"/>
                    <w:right w:val="single" w:color="auto" w:sz="4" w:space="0"/>
                  </w:tcBorders>
                  <w:vAlign w:val="center"/>
                </w:tcPr>
                <w:p w14:paraId="109BE9C7">
                  <w:pPr>
                    <w:jc w:val="center"/>
                    <w:rPr>
                      <w:b/>
                      <w:bCs/>
                      <w:szCs w:val="21"/>
                    </w:rPr>
                  </w:pPr>
                  <w:r>
                    <w:rPr>
                      <w:rFonts w:hint="eastAsia" w:ascii="宋体" w:hAnsi="宋体" w:cs="宋体"/>
                      <w:b/>
                      <w:bCs/>
                      <w:szCs w:val="21"/>
                      <w:lang w:bidi="ar"/>
                    </w:rPr>
                    <w:t>执行标准</w:t>
                  </w:r>
                </w:p>
              </w:tc>
              <w:tc>
                <w:tcPr>
                  <w:tcW w:w="3680" w:type="pct"/>
                  <w:gridSpan w:val="3"/>
                  <w:tcBorders>
                    <w:top w:val="single" w:color="auto" w:sz="4" w:space="0"/>
                    <w:left w:val="single" w:color="auto" w:sz="4" w:space="0"/>
                    <w:bottom w:val="single" w:color="auto" w:sz="4" w:space="0"/>
                    <w:right w:val="single" w:color="auto" w:sz="12" w:space="0"/>
                  </w:tcBorders>
                  <w:vAlign w:val="center"/>
                </w:tcPr>
                <w:p w14:paraId="48642E11">
                  <w:pPr>
                    <w:jc w:val="center"/>
                    <w:rPr>
                      <w:b/>
                      <w:bCs/>
                    </w:rPr>
                  </w:pPr>
                  <w:r>
                    <w:rPr>
                      <w:rFonts w:hint="eastAsia" w:ascii="宋体" w:hAnsi="宋体" w:cs="宋体"/>
                      <w:b/>
                      <w:bCs/>
                      <w:szCs w:val="21"/>
                      <w:lang w:bidi="ar"/>
                    </w:rPr>
                    <w:t>东侧厂界执行《工业企业厂界环境噪声排放标准》（</w:t>
                  </w:r>
                  <w:r>
                    <w:rPr>
                      <w:b/>
                      <w:bCs/>
                      <w:szCs w:val="21"/>
                      <w:lang w:bidi="ar"/>
                    </w:rPr>
                    <w:t>GB 12348-2008</w:t>
                  </w:r>
                  <w:r>
                    <w:rPr>
                      <w:rFonts w:hint="eastAsia" w:ascii="宋体" w:hAnsi="宋体" w:cs="宋体"/>
                      <w:b/>
                      <w:bCs/>
                      <w:szCs w:val="21"/>
                      <w:lang w:bidi="ar"/>
                    </w:rPr>
                    <w:t>）表</w:t>
                  </w:r>
                  <w:r>
                    <w:rPr>
                      <w:b/>
                      <w:bCs/>
                      <w:szCs w:val="21"/>
                      <w:lang w:bidi="ar"/>
                    </w:rPr>
                    <w:t>1</w:t>
                  </w:r>
                  <w:r>
                    <w:rPr>
                      <w:rFonts w:hint="eastAsia" w:ascii="宋体" w:hAnsi="宋体" w:cs="宋体"/>
                      <w:b/>
                      <w:bCs/>
                      <w:szCs w:val="21"/>
                      <w:lang w:bidi="ar"/>
                    </w:rPr>
                    <w:t>中</w:t>
                  </w:r>
                  <w:r>
                    <w:rPr>
                      <w:rFonts w:hint="eastAsia"/>
                      <w:b/>
                      <w:bCs/>
                      <w:szCs w:val="21"/>
                      <w:lang w:bidi="ar"/>
                    </w:rPr>
                    <w:t>4</w:t>
                  </w:r>
                  <w:r>
                    <w:rPr>
                      <w:rFonts w:hint="eastAsia" w:ascii="宋体" w:hAnsi="宋体" w:cs="宋体"/>
                      <w:b/>
                      <w:bCs/>
                      <w:szCs w:val="21"/>
                      <w:lang w:bidi="ar"/>
                    </w:rPr>
                    <w:t>类标准；西、南侧厂界执行《工业企业厂界环境噪声排放标准》（</w:t>
                  </w:r>
                  <w:r>
                    <w:rPr>
                      <w:b/>
                      <w:bCs/>
                      <w:szCs w:val="21"/>
                      <w:lang w:bidi="ar"/>
                    </w:rPr>
                    <w:t>GB 12348-2008</w:t>
                  </w:r>
                  <w:r>
                    <w:rPr>
                      <w:rFonts w:hint="eastAsia" w:ascii="宋体" w:hAnsi="宋体" w:cs="宋体"/>
                      <w:b/>
                      <w:bCs/>
                      <w:szCs w:val="21"/>
                      <w:lang w:bidi="ar"/>
                    </w:rPr>
                    <w:t>）表</w:t>
                  </w:r>
                  <w:r>
                    <w:rPr>
                      <w:b/>
                      <w:bCs/>
                      <w:szCs w:val="21"/>
                      <w:lang w:bidi="ar"/>
                    </w:rPr>
                    <w:t>1</w:t>
                  </w:r>
                  <w:r>
                    <w:rPr>
                      <w:rFonts w:hint="eastAsia" w:ascii="宋体" w:hAnsi="宋体" w:cs="宋体"/>
                      <w:b/>
                      <w:bCs/>
                      <w:szCs w:val="21"/>
                      <w:lang w:bidi="ar"/>
                    </w:rPr>
                    <w:t>中</w:t>
                  </w:r>
                  <w:r>
                    <w:rPr>
                      <w:rFonts w:hint="eastAsia"/>
                      <w:b/>
                      <w:bCs/>
                      <w:szCs w:val="21"/>
                      <w:lang w:bidi="ar"/>
                    </w:rPr>
                    <w:t>3</w:t>
                  </w:r>
                  <w:r>
                    <w:rPr>
                      <w:rFonts w:hint="eastAsia" w:ascii="宋体" w:hAnsi="宋体" w:cs="宋体"/>
                      <w:b/>
                      <w:bCs/>
                      <w:szCs w:val="21"/>
                      <w:lang w:bidi="ar"/>
                    </w:rPr>
                    <w:t>类标准。</w:t>
                  </w:r>
                </w:p>
              </w:tc>
            </w:tr>
            <w:tr w14:paraId="0F08C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3" w:type="dxa"/>
                  <w:bottom w:w="0" w:type="dxa"/>
                  <w:right w:w="23" w:type="dxa"/>
                </w:tblCellMar>
              </w:tblPrEx>
              <w:trPr>
                <w:trHeight w:val="454" w:hRule="atLeast"/>
                <w:jc w:val="center"/>
              </w:trPr>
              <w:tc>
                <w:tcPr>
                  <w:tcW w:w="5000" w:type="pct"/>
                  <w:gridSpan w:val="5"/>
                  <w:tcBorders>
                    <w:top w:val="single" w:color="auto" w:sz="4" w:space="0"/>
                    <w:left w:val="single" w:color="auto" w:sz="12" w:space="0"/>
                    <w:bottom w:val="single" w:color="auto" w:sz="12" w:space="0"/>
                    <w:right w:val="single" w:color="auto" w:sz="12" w:space="0"/>
                  </w:tcBorders>
                  <w:vAlign w:val="center"/>
                </w:tcPr>
                <w:p w14:paraId="5622C5BD">
                  <w:pPr>
                    <w:jc w:val="left"/>
                    <w:rPr>
                      <w:rFonts w:hint="eastAsia" w:ascii="宋体" w:hAnsi="宋体" w:cs="宋体"/>
                      <w:b/>
                      <w:bCs/>
                      <w:szCs w:val="21"/>
                      <w:lang w:bidi="ar"/>
                    </w:rPr>
                  </w:pPr>
                  <w:r>
                    <w:rPr>
                      <w:rFonts w:hint="eastAsia" w:ascii="宋体" w:hAnsi="宋体" w:cs="宋体"/>
                      <w:b/>
                      <w:bCs/>
                      <w:szCs w:val="21"/>
                      <w:lang w:bidi="ar"/>
                    </w:rPr>
                    <w:t>注：项目北侧与衡阳双雁运输机械有限公司共厂界围墙，故北侧未监测。</w:t>
                  </w:r>
                </w:p>
              </w:tc>
            </w:tr>
          </w:tbl>
          <w:p w14:paraId="5E1580C4">
            <w:pPr>
              <w:pStyle w:val="33"/>
              <w:spacing w:line="360" w:lineRule="auto"/>
              <w:ind w:firstLine="480" w:firstLineChars="200"/>
            </w:pPr>
            <w:r>
              <w:rPr>
                <w:rFonts w:hint="eastAsia"/>
              </w:rPr>
              <w:t>根据检测报告，项目</w:t>
            </w:r>
            <w:r>
              <w:t>东侧厂界</w:t>
            </w:r>
            <w:r>
              <w:rPr>
                <w:rFonts w:hint="eastAsia"/>
              </w:rPr>
              <w:t>满足</w:t>
            </w:r>
            <w:r>
              <w:t>《工业企业厂界环境噪声排放标准》（GB 12348-2008）表1中4类标准；西、南侧厂界</w:t>
            </w:r>
            <w:r>
              <w:rPr>
                <w:rFonts w:hint="eastAsia"/>
              </w:rPr>
              <w:t>满足</w:t>
            </w:r>
            <w:r>
              <w:t>《工业企业厂界环境噪声排放标准》（GB 12348-2008）表1中3类标准。</w:t>
            </w:r>
          </w:p>
          <w:p w14:paraId="79F9B944">
            <w:pPr>
              <w:numPr>
                <w:ilvl w:val="0"/>
                <w:numId w:val="5"/>
              </w:numPr>
              <w:autoSpaceDE w:val="0"/>
              <w:autoSpaceDN w:val="0"/>
              <w:adjustRightInd w:val="0"/>
              <w:spacing w:line="360" w:lineRule="auto"/>
              <w:ind w:firstLine="482" w:firstLineChars="200"/>
              <w:rPr>
                <w:b/>
                <w:sz w:val="24"/>
              </w:rPr>
            </w:pPr>
            <w:r>
              <w:rPr>
                <w:rFonts w:hint="eastAsia"/>
                <w:b/>
                <w:sz w:val="24"/>
              </w:rPr>
              <w:t>现有主要环境污染问题</w:t>
            </w:r>
          </w:p>
          <w:p w14:paraId="7C454C47">
            <w:pPr>
              <w:pStyle w:val="33"/>
              <w:spacing w:line="360" w:lineRule="auto"/>
              <w:ind w:firstLine="482" w:firstLineChars="200"/>
              <w:rPr>
                <w:rFonts w:ascii="Times New Roman"/>
                <w:b/>
                <w:color w:val="auto"/>
              </w:rPr>
            </w:pPr>
            <w:r>
              <w:rPr>
                <w:rFonts w:hint="eastAsia" w:ascii="Times New Roman"/>
                <w:b/>
                <w:color w:val="auto"/>
              </w:rPr>
              <w:t>1、存在的问题</w:t>
            </w:r>
          </w:p>
          <w:p w14:paraId="12E72132">
            <w:pPr>
              <w:pStyle w:val="33"/>
              <w:spacing w:line="360" w:lineRule="auto"/>
              <w:ind w:firstLine="480" w:firstLineChars="200"/>
              <w:rPr>
                <w:rFonts w:ascii="Times New Roman" w:cs="Times New Roman"/>
                <w:u w:val="single"/>
              </w:rPr>
            </w:pPr>
            <w:r>
              <w:rPr>
                <w:rFonts w:hint="eastAsia" w:ascii="Times New Roman" w:cs="Times New Roman"/>
                <w:u w:val="single"/>
                <w:lang w:val="en-US" w:eastAsia="zh-CN"/>
              </w:rPr>
              <w:t>1、</w:t>
            </w:r>
            <w:r>
              <w:rPr>
                <w:rFonts w:ascii="Times New Roman" w:cs="Times New Roman"/>
                <w:u w:val="single"/>
              </w:rPr>
              <w:t>公司2014年10月委托深圳市宗兴环保编制了《湖南康康生物科技有限公司年清洗消毒餐具450万套及洗涤消毒布草10万套建设项目环境影响报告表》未对食堂油烟做出要求，厂区食堂目前未设置油烟净化器。</w:t>
            </w:r>
          </w:p>
          <w:p w14:paraId="7AC52368">
            <w:pPr>
              <w:pStyle w:val="33"/>
              <w:spacing w:line="360" w:lineRule="auto"/>
              <w:ind w:firstLine="480" w:firstLineChars="200"/>
              <w:rPr>
                <w:rFonts w:ascii="Times New Roman" w:cs="Times New Roman"/>
                <w:u w:val="single"/>
              </w:rPr>
            </w:pPr>
            <w:r>
              <w:rPr>
                <w:rFonts w:hint="eastAsia" w:ascii="Times New Roman" w:cs="Times New Roman"/>
                <w:u w:val="single"/>
                <w:lang w:val="en-US" w:eastAsia="zh-CN"/>
              </w:rPr>
              <w:t>2、</w:t>
            </w:r>
            <w:r>
              <w:rPr>
                <w:rFonts w:ascii="Times New Roman" w:cs="Times New Roman"/>
                <w:u w:val="single"/>
              </w:rPr>
              <w:t>公司餐具洗涤车间侧设置有隔油沉淀池，布草洗涤车间侧设置有沉淀池，各洗涤车间废水分别预处理后进入厂区生化废水处理站，废水处理工艺详见图2-7。公司现新增医疗布草洗涤，洗涤工序有消毒工序，但废水处理站无消毒工艺，不能确保废水稳定达标，不能满足新增工艺变化。</w:t>
            </w:r>
          </w:p>
          <w:p w14:paraId="5CA8652D">
            <w:pPr>
              <w:pStyle w:val="33"/>
              <w:spacing w:line="360" w:lineRule="auto"/>
              <w:ind w:firstLine="480" w:firstLineChars="200"/>
              <w:rPr>
                <w:rFonts w:hint="default" w:ascii="Times New Roman" w:cs="Times New Roman"/>
                <w:u w:val="single"/>
                <w:lang w:val="en-US" w:eastAsia="zh-CN"/>
              </w:rPr>
            </w:pPr>
            <w:r>
              <w:rPr>
                <w:rFonts w:hint="eastAsia" w:ascii="Times New Roman" w:cs="Times New Roman"/>
                <w:u w:val="single"/>
                <w:lang w:val="en-US" w:eastAsia="zh-CN"/>
              </w:rPr>
              <w:t>3、</w:t>
            </w:r>
            <w:r>
              <w:rPr>
                <w:rFonts w:hint="eastAsia" w:ascii="Times New Roman" w:cs="Times New Roman"/>
                <w:u w:val="single"/>
                <w:lang w:eastAsia="zh-CN"/>
              </w:rPr>
              <w:t>公司原烘干工序纤维尘未进行收集处理，更新设备后，设备底部自带纤维尘收集设施，每</w:t>
            </w:r>
            <w:r>
              <w:rPr>
                <w:rFonts w:hint="eastAsia" w:ascii="Times New Roman" w:cs="Times New Roman"/>
                <w:u w:val="single"/>
                <w:lang w:val="en-US" w:eastAsia="zh-CN"/>
              </w:rPr>
              <w:t>2h进行一次清理，收集后同生活垃圾一并交环卫部门进行清运。</w:t>
            </w:r>
          </w:p>
          <w:p w14:paraId="5FB39D8C">
            <w:pPr>
              <w:pStyle w:val="33"/>
              <w:spacing w:line="360" w:lineRule="auto"/>
              <w:ind w:firstLine="480" w:firstLineChars="200"/>
              <w:rPr>
                <w:rFonts w:ascii="Times New Roman" w:cs="Times New Roman"/>
                <w:color w:val="auto"/>
                <w:u w:val="single"/>
              </w:rPr>
            </w:pPr>
            <w:r>
              <w:rPr>
                <w:rFonts w:hint="eastAsia" w:ascii="Times New Roman" w:cs="Times New Roman"/>
                <w:u w:val="single"/>
                <w:lang w:val="en-US" w:eastAsia="zh-CN"/>
              </w:rPr>
              <w:t>4、</w:t>
            </w:r>
            <w:r>
              <w:rPr>
                <w:rFonts w:ascii="Times New Roman" w:cs="Times New Roman"/>
                <w:u w:val="single"/>
              </w:rPr>
              <w:t>将</w:t>
            </w:r>
            <w:r>
              <w:rPr>
                <w:rFonts w:ascii="Times New Roman" w:cs="Times New Roman"/>
                <w:color w:val="auto"/>
                <w:u w:val="single"/>
              </w:rPr>
              <w:t>2t/h生物质锅炉锅炉调整为了4t/h生物质锅炉，锅炉烟气经布袋除尘处理后通过25m排气筒排放，不满足《锅炉大气污染物排放标准》（GB 13271-2014）中燃煤锅炉标准中4t/h锅炉3</w:t>
            </w:r>
            <w:r>
              <w:rPr>
                <w:rFonts w:hint="eastAsia" w:ascii="Times New Roman" w:cs="Times New Roman"/>
                <w:color w:val="auto"/>
                <w:u w:val="single"/>
                <w:lang w:val="en-US" w:eastAsia="zh-CN"/>
              </w:rPr>
              <w:t>5</w:t>
            </w:r>
            <w:r>
              <w:rPr>
                <w:rFonts w:ascii="Times New Roman" w:cs="Times New Roman"/>
                <w:color w:val="auto"/>
                <w:u w:val="single"/>
              </w:rPr>
              <w:t>m排气筒要求。</w:t>
            </w:r>
          </w:p>
          <w:p w14:paraId="08AFDB01">
            <w:pPr>
              <w:pStyle w:val="33"/>
              <w:spacing w:line="360" w:lineRule="auto"/>
              <w:ind w:firstLine="482" w:firstLineChars="200"/>
              <w:rPr>
                <w:rFonts w:ascii="Times New Roman" w:cs="Times New Roman"/>
                <w:b/>
                <w:color w:val="auto"/>
                <w:u w:val="single"/>
              </w:rPr>
            </w:pPr>
            <w:r>
              <w:rPr>
                <w:rFonts w:ascii="Times New Roman" w:cs="Times New Roman"/>
                <w:b/>
                <w:color w:val="auto"/>
                <w:u w:val="single"/>
              </w:rPr>
              <w:t>2、整改措施</w:t>
            </w:r>
          </w:p>
          <w:p w14:paraId="2A75019D">
            <w:pPr>
              <w:pStyle w:val="33"/>
              <w:spacing w:line="360" w:lineRule="auto"/>
              <w:ind w:firstLine="480" w:firstLineChars="200"/>
              <w:rPr>
                <w:rFonts w:hint="eastAsia" w:ascii="Times New Roman" w:cs="Times New Roman"/>
                <w:color w:val="auto"/>
                <w:u w:val="single"/>
                <w:lang w:eastAsia="zh-CN"/>
              </w:rPr>
            </w:pPr>
            <w:r>
              <w:rPr>
                <w:rFonts w:ascii="Times New Roman" w:cs="Times New Roman"/>
                <w:color w:val="auto"/>
                <w:u w:val="single"/>
              </w:rPr>
              <w:t>（1）新增食堂油烟净化器</w:t>
            </w:r>
            <w:r>
              <w:rPr>
                <w:rFonts w:hint="eastAsia" w:ascii="Times New Roman" w:cs="Times New Roman"/>
                <w:color w:val="auto"/>
                <w:u w:val="single"/>
                <w:lang w:eastAsia="zh-CN"/>
              </w:rPr>
              <w:t>；</w:t>
            </w:r>
          </w:p>
          <w:p w14:paraId="11FF12E4">
            <w:pPr>
              <w:pStyle w:val="33"/>
              <w:spacing w:line="360" w:lineRule="auto"/>
              <w:ind w:firstLine="480" w:firstLineChars="200"/>
              <w:rPr>
                <w:rFonts w:hint="eastAsia" w:ascii="Times New Roman" w:hAnsi="Times New Roman"/>
                <w:sz w:val="24"/>
                <w:u w:val="single"/>
                <w:lang w:eastAsia="zh-CN"/>
              </w:rPr>
            </w:pPr>
            <w:r>
              <w:rPr>
                <w:rFonts w:ascii="Times New Roman" w:hAnsi="Times New Roman"/>
                <w:sz w:val="24"/>
                <w:u w:val="single"/>
              </w:rPr>
              <w:t>（2）对厂区废水处理站末端新增消毒处理工艺</w:t>
            </w:r>
            <w:r>
              <w:rPr>
                <w:rFonts w:hint="eastAsia" w:ascii="Times New Roman" w:hAnsi="Times New Roman"/>
                <w:sz w:val="24"/>
                <w:u w:val="single"/>
                <w:lang w:eastAsia="zh-CN"/>
              </w:rPr>
              <w:t>；</w:t>
            </w:r>
          </w:p>
          <w:p w14:paraId="5CA620E2">
            <w:pPr>
              <w:pStyle w:val="33"/>
              <w:spacing w:line="360" w:lineRule="auto"/>
              <w:ind w:firstLine="480" w:firstLineChars="200"/>
              <w:rPr>
                <w:rFonts w:hint="eastAsia" w:ascii="Times New Roman" w:hAnsi="Times New Roman"/>
                <w:sz w:val="24"/>
                <w:u w:val="single"/>
                <w:lang w:eastAsia="zh-CN"/>
              </w:rPr>
            </w:pPr>
            <w:r>
              <w:rPr>
                <w:rFonts w:ascii="Times New Roman" w:hAnsi="Times New Roman"/>
                <w:sz w:val="24"/>
                <w:u w:val="single"/>
              </w:rPr>
              <w:t>（3）</w:t>
            </w:r>
            <w:r>
              <w:rPr>
                <w:rFonts w:hint="eastAsia" w:ascii="Times New Roman" w:hAnsi="Times New Roman"/>
                <w:sz w:val="24"/>
                <w:u w:val="single"/>
                <w:lang w:eastAsia="zh-CN"/>
              </w:rPr>
              <w:t>增加纤维尘收集、暂存处置；</w:t>
            </w:r>
          </w:p>
          <w:p w14:paraId="0E9E20CD">
            <w:pPr>
              <w:pStyle w:val="33"/>
              <w:spacing w:line="360" w:lineRule="auto"/>
              <w:ind w:firstLine="480" w:firstLineChars="200"/>
              <w:rPr>
                <w:rFonts w:hint="eastAsia" w:ascii="宋体" w:hAnsi="宋体"/>
                <w:bCs/>
                <w:sz w:val="24"/>
              </w:rPr>
            </w:pPr>
            <w:r>
              <w:rPr>
                <w:rFonts w:ascii="Times New Roman" w:hAnsi="Times New Roman"/>
                <w:sz w:val="24"/>
                <w:u w:val="single"/>
              </w:rPr>
              <w:t>（</w:t>
            </w:r>
            <w:r>
              <w:rPr>
                <w:rFonts w:hint="eastAsia" w:ascii="Times New Roman" w:hAnsi="Times New Roman"/>
                <w:sz w:val="24"/>
                <w:u w:val="single"/>
                <w:lang w:val="en-US" w:eastAsia="zh-CN"/>
              </w:rPr>
              <w:t>4</w:t>
            </w:r>
            <w:r>
              <w:rPr>
                <w:rFonts w:ascii="Times New Roman" w:hAnsi="Times New Roman"/>
                <w:sz w:val="24"/>
                <w:u w:val="single"/>
              </w:rPr>
              <w:t>）对锅炉烟气排气筒加高处理，增高至3</w:t>
            </w:r>
            <w:r>
              <w:rPr>
                <w:rFonts w:hint="eastAsia" w:ascii="Times New Roman" w:hAnsi="Times New Roman"/>
                <w:sz w:val="24"/>
                <w:u w:val="single"/>
                <w:lang w:val="en-US" w:eastAsia="zh-CN"/>
              </w:rPr>
              <w:t>5</w:t>
            </w:r>
            <w:r>
              <w:rPr>
                <w:rFonts w:ascii="Times New Roman" w:hAnsi="Times New Roman"/>
                <w:sz w:val="24"/>
                <w:u w:val="single"/>
              </w:rPr>
              <w:t>m。</w:t>
            </w:r>
          </w:p>
        </w:tc>
      </w:tr>
    </w:tbl>
    <w:p w14:paraId="7755AD67">
      <w:pPr>
        <w:pStyle w:val="16"/>
        <w:jc w:val="center"/>
        <w:rPr>
          <w:rFonts w:hint="eastAsia" w:ascii="黑体" w:hAnsi="黑体" w:eastAsia="黑体"/>
          <w:snapToGrid w:val="0"/>
          <w:sz w:val="36"/>
          <w:szCs w:val="36"/>
        </w:rPr>
        <w:sectPr>
          <w:pgSz w:w="11906" w:h="16838"/>
          <w:pgMar w:top="1440" w:right="1080" w:bottom="1440" w:left="1080" w:header="851" w:footer="851" w:gutter="0"/>
          <w:cols w:space="720" w:num="1"/>
          <w:docGrid w:linePitch="312" w:charSpace="0"/>
        </w:sectPr>
      </w:pPr>
    </w:p>
    <w:p w14:paraId="6C35192A">
      <w:pPr>
        <w:pStyle w:val="2"/>
        <w:rPr>
          <w:color w:val="auto"/>
        </w:rPr>
      </w:pPr>
      <w:bookmarkStart w:id="8" w:name="_Toc21473"/>
      <w:r>
        <w:rPr>
          <w:rFonts w:hint="eastAsia"/>
          <w:color w:val="auto"/>
        </w:rPr>
        <w:t>三、区域环境质量现状、环境保护目标及评价标准</w:t>
      </w:r>
      <w:bookmarkEnd w:id="8"/>
    </w:p>
    <w:tbl>
      <w:tblPr>
        <w:tblStyle w:val="20"/>
        <w:tblW w:w="1020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76"/>
        <w:gridCol w:w="9630"/>
      </w:tblGrid>
      <w:tr w14:paraId="30F402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vAlign w:val="center"/>
          </w:tcPr>
          <w:p w14:paraId="4C1348DC">
            <w:pPr>
              <w:adjustRightInd w:val="0"/>
              <w:snapToGrid w:val="0"/>
              <w:jc w:val="center"/>
              <w:rPr>
                <w:rFonts w:hint="eastAsia" w:ascii="宋体" w:hAnsi="宋体" w:cs="宋体"/>
                <w:b/>
                <w:kern w:val="0"/>
                <w:sz w:val="24"/>
              </w:rPr>
            </w:pPr>
            <w:r>
              <w:rPr>
                <w:rFonts w:hint="eastAsia" w:ascii="宋体" w:hAnsi="宋体" w:cs="宋体"/>
                <w:b/>
                <w:kern w:val="0"/>
                <w:sz w:val="24"/>
              </w:rPr>
              <w:t>区域</w:t>
            </w:r>
          </w:p>
          <w:p w14:paraId="1ADF005B">
            <w:pPr>
              <w:adjustRightInd w:val="0"/>
              <w:snapToGrid w:val="0"/>
              <w:jc w:val="center"/>
              <w:rPr>
                <w:rFonts w:hint="eastAsia" w:ascii="宋体" w:hAnsi="宋体" w:cs="宋体"/>
                <w:b/>
                <w:kern w:val="0"/>
                <w:sz w:val="24"/>
              </w:rPr>
            </w:pPr>
            <w:r>
              <w:rPr>
                <w:rFonts w:hint="eastAsia" w:ascii="宋体" w:hAnsi="宋体" w:cs="宋体"/>
                <w:b/>
                <w:kern w:val="0"/>
                <w:sz w:val="24"/>
              </w:rPr>
              <w:t>环境</w:t>
            </w:r>
          </w:p>
          <w:p w14:paraId="781D7421">
            <w:pPr>
              <w:adjustRightInd w:val="0"/>
              <w:snapToGrid w:val="0"/>
              <w:jc w:val="center"/>
              <w:rPr>
                <w:rFonts w:hint="eastAsia" w:ascii="宋体" w:hAnsi="宋体" w:cs="宋体"/>
                <w:b/>
                <w:kern w:val="0"/>
                <w:sz w:val="24"/>
              </w:rPr>
            </w:pPr>
            <w:r>
              <w:rPr>
                <w:rFonts w:hint="eastAsia" w:ascii="宋体" w:hAnsi="宋体" w:cs="宋体"/>
                <w:b/>
                <w:kern w:val="0"/>
                <w:sz w:val="24"/>
              </w:rPr>
              <w:t>质量</w:t>
            </w:r>
          </w:p>
          <w:p w14:paraId="1CFD045C">
            <w:pPr>
              <w:adjustRightInd w:val="0"/>
              <w:snapToGrid w:val="0"/>
              <w:jc w:val="center"/>
              <w:rPr>
                <w:rFonts w:hint="eastAsia" w:ascii="宋体" w:hAnsi="宋体" w:cs="宋体"/>
                <w:b/>
                <w:kern w:val="0"/>
                <w:sz w:val="24"/>
              </w:rPr>
            </w:pPr>
            <w:r>
              <w:rPr>
                <w:rFonts w:hint="eastAsia" w:ascii="宋体" w:hAnsi="宋体" w:cs="宋体"/>
                <w:b/>
                <w:kern w:val="0"/>
                <w:sz w:val="24"/>
              </w:rPr>
              <w:t>现状</w:t>
            </w:r>
          </w:p>
        </w:tc>
        <w:tc>
          <w:tcPr>
            <w:tcW w:w="4718" w:type="pct"/>
            <w:vAlign w:val="center"/>
          </w:tcPr>
          <w:p w14:paraId="319D0654">
            <w:pPr>
              <w:spacing w:line="360" w:lineRule="auto"/>
              <w:ind w:firstLine="482" w:firstLineChars="200"/>
              <w:rPr>
                <w:b/>
                <w:bCs/>
                <w:kern w:val="0"/>
                <w:sz w:val="24"/>
              </w:rPr>
            </w:pPr>
            <w:r>
              <w:rPr>
                <w:b/>
                <w:bCs/>
                <w:kern w:val="0"/>
                <w:sz w:val="24"/>
              </w:rPr>
              <w:t>1、环境空气现状</w:t>
            </w:r>
          </w:p>
          <w:p w14:paraId="7008943D">
            <w:pPr>
              <w:spacing w:line="360" w:lineRule="auto"/>
              <w:ind w:firstLine="482" w:firstLineChars="200"/>
              <w:rPr>
                <w:b/>
                <w:bCs/>
                <w:kern w:val="0"/>
                <w:sz w:val="24"/>
              </w:rPr>
            </w:pPr>
            <w:r>
              <w:rPr>
                <w:b/>
                <w:bCs/>
                <w:kern w:val="0"/>
                <w:sz w:val="24"/>
              </w:rPr>
              <w:t>（1）达标区域判定</w:t>
            </w:r>
          </w:p>
          <w:p w14:paraId="142BCC31">
            <w:pPr>
              <w:spacing w:line="360" w:lineRule="auto"/>
              <w:ind w:firstLine="480" w:firstLineChars="200"/>
              <w:rPr>
                <w:kern w:val="0"/>
                <w:sz w:val="24"/>
              </w:rPr>
            </w:pPr>
            <w:r>
              <w:rPr>
                <w:kern w:val="0"/>
                <w:sz w:val="24"/>
              </w:rPr>
              <w:t>根据衡阳市生态环境局《关于202</w:t>
            </w:r>
            <w:r>
              <w:rPr>
                <w:rFonts w:hint="eastAsia"/>
                <w:kern w:val="0"/>
                <w:sz w:val="24"/>
              </w:rPr>
              <w:t>3</w:t>
            </w:r>
            <w:r>
              <w:rPr>
                <w:kern w:val="0"/>
                <w:sz w:val="24"/>
              </w:rPr>
              <w:t>年12月及1~12月全市环境质量状况的通报》中相关数据进行判定，其判定结果如下：</w:t>
            </w:r>
          </w:p>
          <w:p w14:paraId="6F453A28">
            <w:pPr>
              <w:spacing w:line="360" w:lineRule="auto"/>
              <w:ind w:firstLine="422" w:firstLineChars="200"/>
              <w:jc w:val="center"/>
              <w:rPr>
                <w:b/>
                <w:bCs/>
                <w:kern w:val="0"/>
                <w:szCs w:val="21"/>
              </w:rPr>
            </w:pPr>
            <w:r>
              <w:rPr>
                <w:b/>
                <w:bCs/>
                <w:kern w:val="0"/>
                <w:szCs w:val="21"/>
              </w:rPr>
              <w:t>表3-1  区域空气质量现状评价表（单位：ug/</w:t>
            </w:r>
            <w:r>
              <w:rPr>
                <w:rFonts w:hint="eastAsia"/>
                <w:b/>
                <w:bCs/>
                <w:kern w:val="0"/>
                <w:szCs w:val="21"/>
              </w:rPr>
              <w:t>m</w:t>
            </w:r>
            <w:r>
              <w:rPr>
                <w:rFonts w:hint="eastAsia"/>
                <w:b/>
                <w:bCs/>
                <w:kern w:val="0"/>
                <w:szCs w:val="21"/>
                <w:vertAlign w:val="superscript"/>
              </w:rPr>
              <w:t>3</w:t>
            </w:r>
            <w:r>
              <w:rPr>
                <w:b/>
                <w:bCs/>
                <w:kern w:val="0"/>
                <w:szCs w:val="21"/>
              </w:rPr>
              <w:t>）</w:t>
            </w:r>
          </w:p>
          <w:tbl>
            <w:tblPr>
              <w:tblStyle w:val="20"/>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8"/>
              <w:gridCol w:w="2731"/>
              <w:gridCol w:w="1158"/>
              <w:gridCol w:w="1207"/>
              <w:gridCol w:w="1518"/>
              <w:gridCol w:w="1578"/>
            </w:tblGrid>
            <w:tr w14:paraId="048514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4DD4FFE0">
                  <w:pPr>
                    <w:jc w:val="center"/>
                    <w:rPr>
                      <w:b/>
                      <w:bCs/>
                      <w:kern w:val="0"/>
                      <w:szCs w:val="21"/>
                    </w:rPr>
                  </w:pPr>
                  <w:r>
                    <w:rPr>
                      <w:b/>
                      <w:bCs/>
                      <w:kern w:val="0"/>
                      <w:szCs w:val="21"/>
                    </w:rPr>
                    <w:t>序号</w:t>
                  </w:r>
                </w:p>
              </w:tc>
              <w:tc>
                <w:tcPr>
                  <w:tcW w:w="1450" w:type="pct"/>
                  <w:vAlign w:val="center"/>
                </w:tcPr>
                <w:p w14:paraId="7F690B37">
                  <w:pPr>
                    <w:jc w:val="center"/>
                    <w:rPr>
                      <w:b/>
                      <w:bCs/>
                      <w:kern w:val="0"/>
                      <w:szCs w:val="21"/>
                    </w:rPr>
                  </w:pPr>
                  <w:r>
                    <w:rPr>
                      <w:b/>
                      <w:bCs/>
                      <w:kern w:val="0"/>
                      <w:szCs w:val="21"/>
                    </w:rPr>
                    <w:t>年评价指标</w:t>
                  </w:r>
                </w:p>
              </w:tc>
              <w:tc>
                <w:tcPr>
                  <w:tcW w:w="615" w:type="pct"/>
                  <w:vAlign w:val="center"/>
                </w:tcPr>
                <w:p w14:paraId="7BE02AD2">
                  <w:pPr>
                    <w:jc w:val="center"/>
                    <w:rPr>
                      <w:b/>
                      <w:bCs/>
                      <w:kern w:val="0"/>
                      <w:szCs w:val="21"/>
                    </w:rPr>
                  </w:pPr>
                  <w:r>
                    <w:rPr>
                      <w:b/>
                      <w:bCs/>
                      <w:kern w:val="0"/>
                      <w:szCs w:val="21"/>
                    </w:rPr>
                    <w:t>现状值</w:t>
                  </w:r>
                </w:p>
              </w:tc>
              <w:tc>
                <w:tcPr>
                  <w:tcW w:w="641" w:type="pct"/>
                  <w:vAlign w:val="center"/>
                </w:tcPr>
                <w:p w14:paraId="61D7C594">
                  <w:pPr>
                    <w:jc w:val="center"/>
                    <w:rPr>
                      <w:b/>
                      <w:bCs/>
                      <w:kern w:val="0"/>
                      <w:szCs w:val="21"/>
                    </w:rPr>
                  </w:pPr>
                  <w:r>
                    <w:rPr>
                      <w:b/>
                      <w:bCs/>
                      <w:kern w:val="0"/>
                      <w:szCs w:val="21"/>
                    </w:rPr>
                    <w:t>标准值</w:t>
                  </w:r>
                </w:p>
              </w:tc>
              <w:tc>
                <w:tcPr>
                  <w:tcW w:w="806" w:type="pct"/>
                  <w:vAlign w:val="center"/>
                </w:tcPr>
                <w:p w14:paraId="2DC3B262">
                  <w:pPr>
                    <w:jc w:val="center"/>
                    <w:rPr>
                      <w:b/>
                      <w:bCs/>
                      <w:kern w:val="0"/>
                      <w:szCs w:val="21"/>
                    </w:rPr>
                  </w:pPr>
                  <w:r>
                    <w:rPr>
                      <w:b/>
                      <w:bCs/>
                      <w:kern w:val="0"/>
                      <w:szCs w:val="21"/>
                    </w:rPr>
                    <w:t>占标率</w:t>
                  </w:r>
                </w:p>
                <w:p w14:paraId="479F177E">
                  <w:pPr>
                    <w:jc w:val="center"/>
                    <w:rPr>
                      <w:b/>
                      <w:bCs/>
                      <w:kern w:val="0"/>
                      <w:szCs w:val="21"/>
                    </w:rPr>
                  </w:pPr>
                  <w:r>
                    <w:rPr>
                      <w:b/>
                      <w:bCs/>
                      <w:kern w:val="0"/>
                      <w:szCs w:val="21"/>
                    </w:rPr>
                    <w:t>（%）</w:t>
                  </w:r>
                </w:p>
              </w:tc>
              <w:tc>
                <w:tcPr>
                  <w:tcW w:w="838" w:type="pct"/>
                  <w:vAlign w:val="center"/>
                </w:tcPr>
                <w:p w14:paraId="3D5517F6">
                  <w:pPr>
                    <w:jc w:val="center"/>
                    <w:rPr>
                      <w:b/>
                      <w:bCs/>
                      <w:kern w:val="0"/>
                      <w:szCs w:val="21"/>
                    </w:rPr>
                  </w:pPr>
                  <w:r>
                    <w:rPr>
                      <w:b/>
                      <w:bCs/>
                      <w:kern w:val="0"/>
                      <w:szCs w:val="21"/>
                    </w:rPr>
                    <w:t>是否达标</w:t>
                  </w:r>
                </w:p>
              </w:tc>
            </w:tr>
            <w:tr w14:paraId="5A5B8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006BA92E">
                  <w:pPr>
                    <w:jc w:val="center"/>
                    <w:rPr>
                      <w:kern w:val="0"/>
                      <w:szCs w:val="21"/>
                    </w:rPr>
                  </w:pPr>
                  <w:r>
                    <w:rPr>
                      <w:kern w:val="0"/>
                      <w:szCs w:val="21"/>
                    </w:rPr>
                    <w:t>PM</w:t>
                  </w:r>
                  <w:r>
                    <w:rPr>
                      <w:kern w:val="0"/>
                      <w:szCs w:val="21"/>
                      <w:vertAlign w:val="subscript"/>
                    </w:rPr>
                    <w:t>10</w:t>
                  </w:r>
                </w:p>
              </w:tc>
              <w:tc>
                <w:tcPr>
                  <w:tcW w:w="1450" w:type="pct"/>
                  <w:vAlign w:val="center"/>
                </w:tcPr>
                <w:p w14:paraId="3D45F851">
                  <w:pPr>
                    <w:jc w:val="center"/>
                    <w:rPr>
                      <w:kern w:val="0"/>
                      <w:szCs w:val="21"/>
                    </w:rPr>
                  </w:pPr>
                  <w:r>
                    <w:rPr>
                      <w:kern w:val="0"/>
                      <w:szCs w:val="21"/>
                    </w:rPr>
                    <w:t>年平均质量浓度</w:t>
                  </w:r>
                </w:p>
              </w:tc>
              <w:tc>
                <w:tcPr>
                  <w:tcW w:w="615" w:type="pct"/>
                  <w:vAlign w:val="center"/>
                </w:tcPr>
                <w:p w14:paraId="40541484">
                  <w:pPr>
                    <w:jc w:val="center"/>
                    <w:rPr>
                      <w:kern w:val="0"/>
                      <w:szCs w:val="21"/>
                    </w:rPr>
                  </w:pPr>
                  <w:r>
                    <w:rPr>
                      <w:rFonts w:hint="eastAsia"/>
                      <w:kern w:val="0"/>
                      <w:szCs w:val="21"/>
                    </w:rPr>
                    <w:t>52</w:t>
                  </w:r>
                </w:p>
              </w:tc>
              <w:tc>
                <w:tcPr>
                  <w:tcW w:w="641" w:type="pct"/>
                  <w:vAlign w:val="center"/>
                </w:tcPr>
                <w:p w14:paraId="74A3F021">
                  <w:pPr>
                    <w:jc w:val="center"/>
                    <w:rPr>
                      <w:kern w:val="0"/>
                      <w:szCs w:val="21"/>
                    </w:rPr>
                  </w:pPr>
                  <w:r>
                    <w:rPr>
                      <w:kern w:val="0"/>
                      <w:szCs w:val="21"/>
                    </w:rPr>
                    <w:t>70</w:t>
                  </w:r>
                </w:p>
              </w:tc>
              <w:tc>
                <w:tcPr>
                  <w:tcW w:w="806" w:type="pct"/>
                  <w:vAlign w:val="center"/>
                </w:tcPr>
                <w:p w14:paraId="50401C92">
                  <w:pPr>
                    <w:jc w:val="center"/>
                    <w:rPr>
                      <w:kern w:val="0"/>
                      <w:szCs w:val="21"/>
                    </w:rPr>
                  </w:pPr>
                  <w:r>
                    <w:rPr>
                      <w:rFonts w:hint="eastAsia"/>
                      <w:kern w:val="0"/>
                      <w:szCs w:val="21"/>
                    </w:rPr>
                    <w:t>74.29</w:t>
                  </w:r>
                </w:p>
              </w:tc>
              <w:tc>
                <w:tcPr>
                  <w:tcW w:w="838" w:type="pct"/>
                  <w:vAlign w:val="center"/>
                </w:tcPr>
                <w:p w14:paraId="4694ED2C">
                  <w:pPr>
                    <w:jc w:val="center"/>
                    <w:rPr>
                      <w:kern w:val="0"/>
                      <w:szCs w:val="21"/>
                    </w:rPr>
                  </w:pPr>
                  <w:r>
                    <w:rPr>
                      <w:kern w:val="0"/>
                      <w:szCs w:val="21"/>
                    </w:rPr>
                    <w:t>达标</w:t>
                  </w:r>
                </w:p>
              </w:tc>
            </w:tr>
            <w:tr w14:paraId="797E8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052BAF5B">
                  <w:pPr>
                    <w:jc w:val="center"/>
                    <w:rPr>
                      <w:kern w:val="0"/>
                      <w:szCs w:val="21"/>
                    </w:rPr>
                  </w:pPr>
                  <w:r>
                    <w:rPr>
                      <w:kern w:val="0"/>
                      <w:szCs w:val="21"/>
                    </w:rPr>
                    <w:t>P</w:t>
                  </w:r>
                  <w:r>
                    <w:rPr>
                      <w:rFonts w:hint="eastAsia"/>
                      <w:kern w:val="0"/>
                      <w:szCs w:val="21"/>
                    </w:rPr>
                    <w:t>m</w:t>
                  </w:r>
                  <w:r>
                    <w:rPr>
                      <w:rFonts w:hint="eastAsia"/>
                      <w:kern w:val="0"/>
                      <w:szCs w:val="21"/>
                      <w:vertAlign w:val="subscript"/>
                    </w:rPr>
                    <w:t>2</w:t>
                  </w:r>
                  <w:r>
                    <w:rPr>
                      <w:kern w:val="0"/>
                      <w:szCs w:val="21"/>
                      <w:vertAlign w:val="subscript"/>
                    </w:rPr>
                    <w:t>.5</w:t>
                  </w:r>
                </w:p>
              </w:tc>
              <w:tc>
                <w:tcPr>
                  <w:tcW w:w="1450" w:type="pct"/>
                  <w:vAlign w:val="center"/>
                </w:tcPr>
                <w:p w14:paraId="77F2D706">
                  <w:pPr>
                    <w:jc w:val="center"/>
                    <w:rPr>
                      <w:kern w:val="0"/>
                      <w:szCs w:val="21"/>
                    </w:rPr>
                  </w:pPr>
                  <w:r>
                    <w:rPr>
                      <w:kern w:val="0"/>
                      <w:szCs w:val="21"/>
                    </w:rPr>
                    <w:t>年平均质量浓度</w:t>
                  </w:r>
                </w:p>
              </w:tc>
              <w:tc>
                <w:tcPr>
                  <w:tcW w:w="615" w:type="pct"/>
                  <w:vAlign w:val="center"/>
                </w:tcPr>
                <w:p w14:paraId="3A2FFE63">
                  <w:pPr>
                    <w:jc w:val="center"/>
                    <w:rPr>
                      <w:kern w:val="0"/>
                      <w:szCs w:val="21"/>
                    </w:rPr>
                  </w:pPr>
                  <w:r>
                    <w:rPr>
                      <w:rFonts w:hint="eastAsia"/>
                      <w:kern w:val="0"/>
                      <w:szCs w:val="21"/>
                    </w:rPr>
                    <w:t>34</w:t>
                  </w:r>
                </w:p>
              </w:tc>
              <w:tc>
                <w:tcPr>
                  <w:tcW w:w="641" w:type="pct"/>
                  <w:vAlign w:val="center"/>
                </w:tcPr>
                <w:p w14:paraId="5E3EE385">
                  <w:pPr>
                    <w:jc w:val="center"/>
                    <w:rPr>
                      <w:kern w:val="0"/>
                      <w:szCs w:val="21"/>
                    </w:rPr>
                  </w:pPr>
                  <w:r>
                    <w:rPr>
                      <w:kern w:val="0"/>
                      <w:szCs w:val="21"/>
                    </w:rPr>
                    <w:t>35</w:t>
                  </w:r>
                </w:p>
              </w:tc>
              <w:tc>
                <w:tcPr>
                  <w:tcW w:w="806" w:type="pct"/>
                  <w:vAlign w:val="center"/>
                </w:tcPr>
                <w:p w14:paraId="2DAB5111">
                  <w:pPr>
                    <w:jc w:val="center"/>
                    <w:rPr>
                      <w:kern w:val="0"/>
                      <w:szCs w:val="21"/>
                    </w:rPr>
                  </w:pPr>
                  <w:r>
                    <w:rPr>
                      <w:rFonts w:hint="eastAsia"/>
                      <w:kern w:val="0"/>
                      <w:szCs w:val="21"/>
                    </w:rPr>
                    <w:t>97.14</w:t>
                  </w:r>
                </w:p>
              </w:tc>
              <w:tc>
                <w:tcPr>
                  <w:tcW w:w="838" w:type="pct"/>
                  <w:vAlign w:val="center"/>
                </w:tcPr>
                <w:p w14:paraId="2051B44C">
                  <w:pPr>
                    <w:jc w:val="center"/>
                    <w:rPr>
                      <w:kern w:val="0"/>
                      <w:szCs w:val="21"/>
                    </w:rPr>
                  </w:pPr>
                  <w:r>
                    <w:rPr>
                      <w:kern w:val="0"/>
                      <w:szCs w:val="21"/>
                    </w:rPr>
                    <w:t>达标</w:t>
                  </w:r>
                </w:p>
              </w:tc>
            </w:tr>
            <w:tr w14:paraId="678E1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061397D9">
                  <w:pPr>
                    <w:jc w:val="center"/>
                    <w:rPr>
                      <w:kern w:val="0"/>
                      <w:szCs w:val="21"/>
                    </w:rPr>
                  </w:pPr>
                  <w:r>
                    <w:rPr>
                      <w:kern w:val="0"/>
                      <w:szCs w:val="21"/>
                    </w:rPr>
                    <w:t>CO</w:t>
                  </w:r>
                </w:p>
              </w:tc>
              <w:tc>
                <w:tcPr>
                  <w:tcW w:w="1450" w:type="pct"/>
                  <w:vAlign w:val="center"/>
                </w:tcPr>
                <w:p w14:paraId="38B5079F">
                  <w:pPr>
                    <w:spacing w:line="280" w:lineRule="exact"/>
                    <w:jc w:val="center"/>
                    <w:rPr>
                      <w:kern w:val="0"/>
                      <w:szCs w:val="21"/>
                    </w:rPr>
                  </w:pPr>
                  <w:r>
                    <w:rPr>
                      <w:kern w:val="0"/>
                      <w:szCs w:val="21"/>
                    </w:rPr>
                    <w:t>24小时平均第95百分位数浓度</w:t>
                  </w:r>
                </w:p>
              </w:tc>
              <w:tc>
                <w:tcPr>
                  <w:tcW w:w="615" w:type="pct"/>
                  <w:vAlign w:val="center"/>
                </w:tcPr>
                <w:p w14:paraId="13F2238D">
                  <w:pPr>
                    <w:jc w:val="center"/>
                    <w:rPr>
                      <w:kern w:val="0"/>
                      <w:szCs w:val="21"/>
                    </w:rPr>
                  </w:pPr>
                  <w:r>
                    <w:rPr>
                      <w:kern w:val="0"/>
                      <w:szCs w:val="21"/>
                    </w:rPr>
                    <w:t>1000</w:t>
                  </w:r>
                </w:p>
              </w:tc>
              <w:tc>
                <w:tcPr>
                  <w:tcW w:w="641" w:type="pct"/>
                  <w:vAlign w:val="center"/>
                </w:tcPr>
                <w:p w14:paraId="4B4A81F5">
                  <w:pPr>
                    <w:jc w:val="center"/>
                    <w:rPr>
                      <w:kern w:val="0"/>
                      <w:szCs w:val="21"/>
                    </w:rPr>
                  </w:pPr>
                  <w:r>
                    <w:rPr>
                      <w:kern w:val="0"/>
                      <w:szCs w:val="21"/>
                    </w:rPr>
                    <w:t>4000</w:t>
                  </w:r>
                </w:p>
              </w:tc>
              <w:tc>
                <w:tcPr>
                  <w:tcW w:w="806" w:type="pct"/>
                  <w:vAlign w:val="center"/>
                </w:tcPr>
                <w:p w14:paraId="04687484">
                  <w:pPr>
                    <w:jc w:val="center"/>
                    <w:rPr>
                      <w:kern w:val="0"/>
                      <w:szCs w:val="21"/>
                    </w:rPr>
                  </w:pPr>
                  <w:r>
                    <w:rPr>
                      <w:kern w:val="0"/>
                      <w:szCs w:val="21"/>
                    </w:rPr>
                    <w:t>25</w:t>
                  </w:r>
                </w:p>
              </w:tc>
              <w:tc>
                <w:tcPr>
                  <w:tcW w:w="838" w:type="pct"/>
                  <w:vAlign w:val="center"/>
                </w:tcPr>
                <w:p w14:paraId="364A9DA2">
                  <w:pPr>
                    <w:jc w:val="center"/>
                    <w:rPr>
                      <w:kern w:val="0"/>
                      <w:szCs w:val="21"/>
                    </w:rPr>
                  </w:pPr>
                  <w:r>
                    <w:rPr>
                      <w:kern w:val="0"/>
                      <w:szCs w:val="21"/>
                    </w:rPr>
                    <w:t>达标</w:t>
                  </w:r>
                </w:p>
              </w:tc>
            </w:tr>
            <w:tr w14:paraId="03585D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509802DD">
                  <w:pPr>
                    <w:jc w:val="center"/>
                    <w:rPr>
                      <w:kern w:val="0"/>
                      <w:szCs w:val="21"/>
                    </w:rPr>
                  </w:pPr>
                  <w:r>
                    <w:rPr>
                      <w:kern w:val="0"/>
                      <w:szCs w:val="21"/>
                    </w:rPr>
                    <w:t>O</w:t>
                  </w:r>
                  <w:r>
                    <w:rPr>
                      <w:kern w:val="0"/>
                      <w:szCs w:val="21"/>
                      <w:vertAlign w:val="subscript"/>
                    </w:rPr>
                    <w:t>3</w:t>
                  </w:r>
                </w:p>
              </w:tc>
              <w:tc>
                <w:tcPr>
                  <w:tcW w:w="1450" w:type="pct"/>
                  <w:vAlign w:val="center"/>
                </w:tcPr>
                <w:p w14:paraId="72B2C3E1">
                  <w:pPr>
                    <w:spacing w:line="280" w:lineRule="exact"/>
                    <w:jc w:val="center"/>
                    <w:rPr>
                      <w:kern w:val="0"/>
                      <w:szCs w:val="21"/>
                    </w:rPr>
                  </w:pPr>
                  <w:r>
                    <w:rPr>
                      <w:szCs w:val="21"/>
                    </w:rPr>
                    <w:t>日最大8h滑动平均值的</w:t>
                  </w:r>
                  <w:r>
                    <w:rPr>
                      <w:kern w:val="0"/>
                      <w:szCs w:val="21"/>
                    </w:rPr>
                    <w:t>第90百分位数浓度</w:t>
                  </w:r>
                </w:p>
              </w:tc>
              <w:tc>
                <w:tcPr>
                  <w:tcW w:w="615" w:type="pct"/>
                  <w:vAlign w:val="center"/>
                </w:tcPr>
                <w:p w14:paraId="4F1188A5">
                  <w:pPr>
                    <w:jc w:val="center"/>
                    <w:rPr>
                      <w:kern w:val="0"/>
                      <w:szCs w:val="21"/>
                    </w:rPr>
                  </w:pPr>
                  <w:r>
                    <w:rPr>
                      <w:rFonts w:hint="eastAsia"/>
                      <w:kern w:val="0"/>
                      <w:szCs w:val="21"/>
                    </w:rPr>
                    <w:t>120</w:t>
                  </w:r>
                </w:p>
              </w:tc>
              <w:tc>
                <w:tcPr>
                  <w:tcW w:w="641" w:type="pct"/>
                  <w:vAlign w:val="center"/>
                </w:tcPr>
                <w:p w14:paraId="6EB41029">
                  <w:pPr>
                    <w:jc w:val="center"/>
                    <w:rPr>
                      <w:kern w:val="0"/>
                      <w:szCs w:val="21"/>
                    </w:rPr>
                  </w:pPr>
                  <w:r>
                    <w:rPr>
                      <w:kern w:val="0"/>
                      <w:szCs w:val="21"/>
                    </w:rPr>
                    <w:t>160</w:t>
                  </w:r>
                </w:p>
              </w:tc>
              <w:tc>
                <w:tcPr>
                  <w:tcW w:w="806" w:type="pct"/>
                  <w:vAlign w:val="center"/>
                </w:tcPr>
                <w:p w14:paraId="0CDCD628">
                  <w:pPr>
                    <w:jc w:val="center"/>
                    <w:rPr>
                      <w:kern w:val="0"/>
                      <w:szCs w:val="21"/>
                    </w:rPr>
                  </w:pPr>
                  <w:r>
                    <w:rPr>
                      <w:rFonts w:hint="eastAsia"/>
                      <w:kern w:val="0"/>
                      <w:szCs w:val="21"/>
                    </w:rPr>
                    <w:t>75</w:t>
                  </w:r>
                </w:p>
              </w:tc>
              <w:tc>
                <w:tcPr>
                  <w:tcW w:w="838" w:type="pct"/>
                  <w:vAlign w:val="center"/>
                </w:tcPr>
                <w:p w14:paraId="0F106752">
                  <w:pPr>
                    <w:jc w:val="center"/>
                    <w:rPr>
                      <w:kern w:val="0"/>
                      <w:szCs w:val="21"/>
                    </w:rPr>
                  </w:pPr>
                  <w:r>
                    <w:rPr>
                      <w:kern w:val="0"/>
                      <w:szCs w:val="21"/>
                    </w:rPr>
                    <w:t>达标</w:t>
                  </w:r>
                </w:p>
              </w:tc>
            </w:tr>
            <w:tr w14:paraId="6A7CC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7003FD20">
                  <w:pPr>
                    <w:jc w:val="center"/>
                    <w:rPr>
                      <w:kern w:val="0"/>
                      <w:szCs w:val="21"/>
                    </w:rPr>
                  </w:pPr>
                  <w:r>
                    <w:rPr>
                      <w:kern w:val="0"/>
                      <w:szCs w:val="21"/>
                    </w:rPr>
                    <w:t>SO</w:t>
                  </w:r>
                  <w:r>
                    <w:rPr>
                      <w:kern w:val="0"/>
                      <w:szCs w:val="21"/>
                      <w:vertAlign w:val="subscript"/>
                    </w:rPr>
                    <w:t>2</w:t>
                  </w:r>
                </w:p>
              </w:tc>
              <w:tc>
                <w:tcPr>
                  <w:tcW w:w="1450" w:type="pct"/>
                  <w:vAlign w:val="center"/>
                </w:tcPr>
                <w:p w14:paraId="6412A41E">
                  <w:pPr>
                    <w:jc w:val="center"/>
                    <w:rPr>
                      <w:kern w:val="0"/>
                      <w:szCs w:val="21"/>
                    </w:rPr>
                  </w:pPr>
                  <w:r>
                    <w:rPr>
                      <w:szCs w:val="21"/>
                    </w:rPr>
                    <w:t>年平均质量浓度</w:t>
                  </w:r>
                </w:p>
              </w:tc>
              <w:tc>
                <w:tcPr>
                  <w:tcW w:w="615" w:type="pct"/>
                  <w:vAlign w:val="center"/>
                </w:tcPr>
                <w:p w14:paraId="3A2EF787">
                  <w:pPr>
                    <w:jc w:val="center"/>
                    <w:rPr>
                      <w:kern w:val="0"/>
                      <w:szCs w:val="21"/>
                    </w:rPr>
                  </w:pPr>
                  <w:r>
                    <w:rPr>
                      <w:kern w:val="0"/>
                      <w:szCs w:val="21"/>
                    </w:rPr>
                    <w:t>6</w:t>
                  </w:r>
                </w:p>
              </w:tc>
              <w:tc>
                <w:tcPr>
                  <w:tcW w:w="641" w:type="pct"/>
                  <w:vAlign w:val="center"/>
                </w:tcPr>
                <w:p w14:paraId="36DACDB6">
                  <w:pPr>
                    <w:jc w:val="center"/>
                    <w:rPr>
                      <w:kern w:val="0"/>
                      <w:szCs w:val="21"/>
                    </w:rPr>
                  </w:pPr>
                  <w:r>
                    <w:rPr>
                      <w:kern w:val="0"/>
                      <w:szCs w:val="21"/>
                    </w:rPr>
                    <w:t>60</w:t>
                  </w:r>
                </w:p>
              </w:tc>
              <w:tc>
                <w:tcPr>
                  <w:tcW w:w="806" w:type="pct"/>
                  <w:vAlign w:val="center"/>
                </w:tcPr>
                <w:p w14:paraId="03128687">
                  <w:pPr>
                    <w:jc w:val="center"/>
                    <w:rPr>
                      <w:kern w:val="0"/>
                      <w:szCs w:val="21"/>
                    </w:rPr>
                  </w:pPr>
                  <w:r>
                    <w:rPr>
                      <w:kern w:val="0"/>
                      <w:szCs w:val="21"/>
                    </w:rPr>
                    <w:t>10</w:t>
                  </w:r>
                </w:p>
              </w:tc>
              <w:tc>
                <w:tcPr>
                  <w:tcW w:w="838" w:type="pct"/>
                  <w:vAlign w:val="center"/>
                </w:tcPr>
                <w:p w14:paraId="78BFA07D">
                  <w:pPr>
                    <w:jc w:val="center"/>
                    <w:rPr>
                      <w:kern w:val="0"/>
                      <w:szCs w:val="21"/>
                    </w:rPr>
                  </w:pPr>
                  <w:r>
                    <w:rPr>
                      <w:kern w:val="0"/>
                      <w:szCs w:val="21"/>
                    </w:rPr>
                    <w:t>达标</w:t>
                  </w:r>
                </w:p>
              </w:tc>
            </w:tr>
            <w:tr w14:paraId="34FA4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7" w:type="pct"/>
                  <w:vAlign w:val="center"/>
                </w:tcPr>
                <w:p w14:paraId="4FA3A582">
                  <w:pPr>
                    <w:jc w:val="center"/>
                    <w:rPr>
                      <w:kern w:val="0"/>
                      <w:szCs w:val="21"/>
                    </w:rPr>
                  </w:pPr>
                  <w:r>
                    <w:rPr>
                      <w:kern w:val="0"/>
                      <w:szCs w:val="21"/>
                    </w:rPr>
                    <w:t>NO</w:t>
                  </w:r>
                  <w:r>
                    <w:rPr>
                      <w:kern w:val="0"/>
                      <w:szCs w:val="21"/>
                      <w:vertAlign w:val="subscript"/>
                    </w:rPr>
                    <w:t>2</w:t>
                  </w:r>
                </w:p>
              </w:tc>
              <w:tc>
                <w:tcPr>
                  <w:tcW w:w="1450" w:type="pct"/>
                  <w:vAlign w:val="center"/>
                </w:tcPr>
                <w:p w14:paraId="5411453E">
                  <w:pPr>
                    <w:jc w:val="center"/>
                    <w:rPr>
                      <w:kern w:val="0"/>
                      <w:szCs w:val="21"/>
                    </w:rPr>
                  </w:pPr>
                  <w:r>
                    <w:rPr>
                      <w:szCs w:val="21"/>
                    </w:rPr>
                    <w:t>年平均质量浓度</w:t>
                  </w:r>
                </w:p>
              </w:tc>
              <w:tc>
                <w:tcPr>
                  <w:tcW w:w="615" w:type="pct"/>
                  <w:vAlign w:val="center"/>
                </w:tcPr>
                <w:p w14:paraId="359A2D45">
                  <w:pPr>
                    <w:jc w:val="center"/>
                    <w:rPr>
                      <w:kern w:val="0"/>
                      <w:szCs w:val="21"/>
                    </w:rPr>
                  </w:pPr>
                  <w:r>
                    <w:rPr>
                      <w:kern w:val="0"/>
                      <w:szCs w:val="21"/>
                    </w:rPr>
                    <w:t>1</w:t>
                  </w:r>
                  <w:r>
                    <w:rPr>
                      <w:rFonts w:hint="eastAsia"/>
                      <w:kern w:val="0"/>
                      <w:szCs w:val="21"/>
                    </w:rPr>
                    <w:t>3</w:t>
                  </w:r>
                </w:p>
              </w:tc>
              <w:tc>
                <w:tcPr>
                  <w:tcW w:w="641" w:type="pct"/>
                  <w:vAlign w:val="center"/>
                </w:tcPr>
                <w:p w14:paraId="76C7906C">
                  <w:pPr>
                    <w:jc w:val="center"/>
                    <w:rPr>
                      <w:kern w:val="0"/>
                      <w:szCs w:val="21"/>
                    </w:rPr>
                  </w:pPr>
                  <w:r>
                    <w:rPr>
                      <w:kern w:val="0"/>
                      <w:szCs w:val="21"/>
                    </w:rPr>
                    <w:t>40</w:t>
                  </w:r>
                </w:p>
              </w:tc>
              <w:tc>
                <w:tcPr>
                  <w:tcW w:w="806" w:type="pct"/>
                  <w:vAlign w:val="center"/>
                </w:tcPr>
                <w:p w14:paraId="60FC6FB3">
                  <w:pPr>
                    <w:jc w:val="center"/>
                    <w:rPr>
                      <w:kern w:val="0"/>
                      <w:szCs w:val="21"/>
                    </w:rPr>
                  </w:pPr>
                  <w:r>
                    <w:rPr>
                      <w:rFonts w:hint="eastAsia"/>
                      <w:kern w:val="0"/>
                      <w:szCs w:val="21"/>
                    </w:rPr>
                    <w:t>32.5</w:t>
                  </w:r>
                </w:p>
              </w:tc>
              <w:tc>
                <w:tcPr>
                  <w:tcW w:w="838" w:type="pct"/>
                  <w:vAlign w:val="center"/>
                </w:tcPr>
                <w:p w14:paraId="4F561898">
                  <w:pPr>
                    <w:jc w:val="center"/>
                    <w:rPr>
                      <w:kern w:val="0"/>
                      <w:szCs w:val="21"/>
                    </w:rPr>
                  </w:pPr>
                  <w:r>
                    <w:rPr>
                      <w:kern w:val="0"/>
                      <w:szCs w:val="21"/>
                    </w:rPr>
                    <w:t>达标</w:t>
                  </w:r>
                </w:p>
              </w:tc>
            </w:tr>
          </w:tbl>
          <w:p w14:paraId="01A7D81A">
            <w:pPr>
              <w:spacing w:line="360" w:lineRule="auto"/>
              <w:ind w:firstLine="480" w:firstLineChars="200"/>
              <w:rPr>
                <w:b/>
                <w:bCs/>
                <w:kern w:val="0"/>
                <w:sz w:val="24"/>
              </w:rPr>
            </w:pPr>
            <w:r>
              <w:rPr>
                <w:kern w:val="0"/>
                <w:sz w:val="24"/>
              </w:rPr>
              <w:t>衡阳县二氧化硫、二氧化氮、可吸入颗粒物（PM</w:t>
            </w:r>
            <w:r>
              <w:rPr>
                <w:kern w:val="0"/>
                <w:sz w:val="24"/>
                <w:vertAlign w:val="subscript"/>
              </w:rPr>
              <w:t>10</w:t>
            </w:r>
            <w:r>
              <w:rPr>
                <w:kern w:val="0"/>
                <w:sz w:val="24"/>
              </w:rPr>
              <w:t>）、细颗粒物（P</w:t>
            </w:r>
            <w:r>
              <w:rPr>
                <w:rFonts w:hint="eastAsia"/>
                <w:kern w:val="0"/>
                <w:sz w:val="24"/>
              </w:rPr>
              <w:t>m</w:t>
            </w:r>
            <w:r>
              <w:rPr>
                <w:rFonts w:hint="eastAsia"/>
                <w:kern w:val="0"/>
                <w:sz w:val="24"/>
                <w:vertAlign w:val="subscript"/>
              </w:rPr>
              <w:t>2</w:t>
            </w:r>
            <w:r>
              <w:rPr>
                <w:kern w:val="0"/>
                <w:sz w:val="24"/>
                <w:vertAlign w:val="subscript"/>
              </w:rPr>
              <w:t>.5</w:t>
            </w:r>
            <w:r>
              <w:rPr>
                <w:kern w:val="0"/>
                <w:sz w:val="24"/>
              </w:rPr>
              <w:t>）和一氧化碳年评价浓度（第95百分位数）、臭氧年评价浓度（第90百分位数）均达到《环境空气质量标准》（GB3095-2012）二级标准。故</w:t>
            </w:r>
            <w:r>
              <w:rPr>
                <w:b/>
                <w:bCs/>
                <w:kern w:val="0"/>
                <w:sz w:val="24"/>
              </w:rPr>
              <w:t>项目所在区域为达标区。</w:t>
            </w:r>
          </w:p>
          <w:p w14:paraId="1F1A0DDA">
            <w:pPr>
              <w:spacing w:line="360" w:lineRule="auto"/>
              <w:ind w:firstLine="480" w:firstLineChars="200"/>
              <w:rPr>
                <w:kern w:val="0"/>
                <w:sz w:val="24"/>
              </w:rPr>
            </w:pPr>
            <w:r>
              <w:rPr>
                <w:kern w:val="0"/>
                <w:sz w:val="24"/>
              </w:rPr>
              <w:t>（2）其他污染物环境质量现状调查</w:t>
            </w:r>
          </w:p>
          <w:p w14:paraId="459224B6">
            <w:pPr>
              <w:spacing w:line="360" w:lineRule="auto"/>
              <w:ind w:firstLine="480" w:firstLineChars="200"/>
              <w:rPr>
                <w:kern w:val="0"/>
                <w:sz w:val="24"/>
              </w:rPr>
            </w:pPr>
            <w:r>
              <w:rPr>
                <w:kern w:val="0"/>
                <w:sz w:val="24"/>
              </w:rPr>
              <w:t>本项目排放的其他污染物为</w:t>
            </w:r>
            <w:r>
              <w:rPr>
                <w:rFonts w:hint="eastAsia"/>
                <w:kern w:val="0"/>
                <w:sz w:val="24"/>
              </w:rPr>
              <w:t>TSP、NH</w:t>
            </w:r>
            <w:r>
              <w:rPr>
                <w:rFonts w:hint="eastAsia"/>
                <w:kern w:val="0"/>
                <w:sz w:val="24"/>
                <w:vertAlign w:val="subscript"/>
              </w:rPr>
              <w:t>3</w:t>
            </w:r>
            <w:r>
              <w:rPr>
                <w:rFonts w:hint="eastAsia"/>
                <w:kern w:val="0"/>
                <w:sz w:val="24"/>
              </w:rPr>
              <w:t>、H</w:t>
            </w:r>
            <w:r>
              <w:rPr>
                <w:rFonts w:hint="eastAsia"/>
                <w:kern w:val="0"/>
                <w:sz w:val="24"/>
                <w:vertAlign w:val="subscript"/>
              </w:rPr>
              <w:t>2</w:t>
            </w:r>
            <w:r>
              <w:rPr>
                <w:rFonts w:hint="eastAsia"/>
                <w:kern w:val="0"/>
                <w:sz w:val="24"/>
              </w:rPr>
              <w:t>S、臭气浓度</w:t>
            </w:r>
            <w:r>
              <w:rPr>
                <w:kern w:val="0"/>
                <w:sz w:val="24"/>
              </w:rPr>
              <w:t>，</w:t>
            </w:r>
            <w:r>
              <w:rPr>
                <w:rFonts w:hint="eastAsia"/>
                <w:kern w:val="0"/>
                <w:sz w:val="24"/>
              </w:rPr>
              <w:t>根据《建设项目环境影响报告表编制技术指南（污染影响类）》（试行），</w:t>
            </w:r>
            <w:r>
              <w:rPr>
                <w:kern w:val="0"/>
                <w:sz w:val="24"/>
              </w:rPr>
              <w:t>为了解本项目所在区域的</w:t>
            </w:r>
            <w:r>
              <w:rPr>
                <w:rFonts w:hint="eastAsia"/>
                <w:kern w:val="0"/>
                <w:sz w:val="24"/>
              </w:rPr>
              <w:t>TSP、NH</w:t>
            </w:r>
            <w:r>
              <w:rPr>
                <w:rFonts w:hint="eastAsia"/>
                <w:kern w:val="0"/>
                <w:sz w:val="24"/>
                <w:vertAlign w:val="subscript"/>
              </w:rPr>
              <w:t>3</w:t>
            </w:r>
            <w:r>
              <w:rPr>
                <w:rFonts w:hint="eastAsia"/>
                <w:kern w:val="0"/>
                <w:sz w:val="24"/>
              </w:rPr>
              <w:t>、H</w:t>
            </w:r>
            <w:r>
              <w:rPr>
                <w:rFonts w:hint="eastAsia"/>
                <w:kern w:val="0"/>
                <w:sz w:val="24"/>
                <w:vertAlign w:val="subscript"/>
              </w:rPr>
              <w:t>2</w:t>
            </w:r>
            <w:r>
              <w:rPr>
                <w:rFonts w:hint="eastAsia"/>
                <w:kern w:val="0"/>
                <w:sz w:val="24"/>
              </w:rPr>
              <w:t>S、臭气浓度</w:t>
            </w:r>
            <w:r>
              <w:rPr>
                <w:kern w:val="0"/>
                <w:sz w:val="24"/>
              </w:rPr>
              <w:t>的环境质量现状，</w:t>
            </w:r>
            <w:r>
              <w:rPr>
                <w:rFonts w:hint="eastAsia"/>
                <w:kern w:val="0"/>
                <w:sz w:val="24"/>
              </w:rPr>
              <w:t>可引用建设项目周边5km范围内近3年的现有监测数据。本项目引用《衡阳康豪环保科技有限公司危险废物收集经营贮存改扩建项目环境影响评价报告表》中G1项目场地（东北侧，距本项目205m）的监测数据，</w:t>
            </w:r>
            <w:r>
              <w:rPr>
                <w:kern w:val="0"/>
                <w:sz w:val="24"/>
              </w:rPr>
              <w:t>监测时间为</w:t>
            </w:r>
            <w:r>
              <w:rPr>
                <w:kern w:val="24"/>
                <w:sz w:val="24"/>
              </w:rPr>
              <w:t>202</w:t>
            </w:r>
            <w:r>
              <w:rPr>
                <w:rFonts w:hint="eastAsia"/>
                <w:kern w:val="24"/>
                <w:sz w:val="24"/>
              </w:rPr>
              <w:t>4</w:t>
            </w:r>
            <w:r>
              <w:rPr>
                <w:rFonts w:ascii="宋体" w:hAnsi="宋体"/>
                <w:kern w:val="24"/>
                <w:sz w:val="24"/>
              </w:rPr>
              <w:t>年</w:t>
            </w:r>
            <w:r>
              <w:rPr>
                <w:rFonts w:hint="eastAsia"/>
                <w:kern w:val="24"/>
                <w:sz w:val="24"/>
              </w:rPr>
              <w:t>8</w:t>
            </w:r>
            <w:r>
              <w:rPr>
                <w:rFonts w:ascii="宋体" w:hAnsi="宋体"/>
                <w:kern w:val="24"/>
                <w:sz w:val="24"/>
              </w:rPr>
              <w:t>月</w:t>
            </w:r>
            <w:r>
              <w:rPr>
                <w:rFonts w:hint="eastAsia" w:ascii="宋体" w:hAnsi="宋体"/>
                <w:kern w:val="24"/>
                <w:sz w:val="24"/>
              </w:rPr>
              <w:t>16</w:t>
            </w:r>
            <w:r>
              <w:rPr>
                <w:rFonts w:ascii="宋体" w:hAnsi="宋体"/>
                <w:kern w:val="24"/>
                <w:sz w:val="24"/>
              </w:rPr>
              <w:t>日</w:t>
            </w:r>
            <w:r>
              <w:rPr>
                <w:kern w:val="24"/>
                <w:sz w:val="24"/>
              </w:rPr>
              <w:t>~</w:t>
            </w:r>
            <w:r>
              <w:rPr>
                <w:rFonts w:hint="eastAsia"/>
                <w:kern w:val="24"/>
                <w:sz w:val="24"/>
              </w:rPr>
              <w:t>30</w:t>
            </w:r>
            <w:r>
              <w:rPr>
                <w:rFonts w:ascii="宋体" w:hAnsi="宋体"/>
                <w:kern w:val="24"/>
                <w:sz w:val="24"/>
              </w:rPr>
              <w:t>日</w:t>
            </w:r>
            <w:r>
              <w:rPr>
                <w:rFonts w:hint="eastAsia"/>
                <w:kern w:val="0"/>
                <w:sz w:val="24"/>
              </w:rPr>
              <w:t>。具体</w:t>
            </w:r>
            <w:r>
              <w:rPr>
                <w:kern w:val="0"/>
                <w:sz w:val="24"/>
              </w:rPr>
              <w:t>监测内容如下：</w:t>
            </w:r>
          </w:p>
          <w:p w14:paraId="12972828">
            <w:pPr>
              <w:spacing w:line="360" w:lineRule="auto"/>
              <w:ind w:firstLine="480" w:firstLineChars="200"/>
              <w:rPr>
                <w:kern w:val="0"/>
                <w:sz w:val="24"/>
              </w:rPr>
            </w:pPr>
            <w:r>
              <w:rPr>
                <w:kern w:val="0"/>
                <w:sz w:val="24"/>
              </w:rPr>
              <w:t>①监测项目：</w:t>
            </w:r>
            <w:r>
              <w:rPr>
                <w:rFonts w:hint="eastAsia"/>
                <w:kern w:val="0"/>
                <w:sz w:val="24"/>
              </w:rPr>
              <w:t>TSP、NH</w:t>
            </w:r>
            <w:r>
              <w:rPr>
                <w:rFonts w:hint="eastAsia"/>
                <w:kern w:val="0"/>
                <w:sz w:val="24"/>
                <w:vertAlign w:val="subscript"/>
              </w:rPr>
              <w:t>3</w:t>
            </w:r>
            <w:r>
              <w:rPr>
                <w:rFonts w:hint="eastAsia"/>
                <w:kern w:val="0"/>
                <w:sz w:val="24"/>
              </w:rPr>
              <w:t>、H</w:t>
            </w:r>
            <w:r>
              <w:rPr>
                <w:rFonts w:hint="eastAsia"/>
                <w:kern w:val="0"/>
                <w:sz w:val="24"/>
                <w:vertAlign w:val="subscript"/>
              </w:rPr>
              <w:t>2</w:t>
            </w:r>
            <w:r>
              <w:rPr>
                <w:rFonts w:hint="eastAsia"/>
                <w:kern w:val="0"/>
                <w:sz w:val="24"/>
              </w:rPr>
              <w:t>S、臭气浓度</w:t>
            </w:r>
          </w:p>
          <w:p w14:paraId="4BEC5402">
            <w:pPr>
              <w:spacing w:line="360" w:lineRule="auto"/>
              <w:ind w:firstLine="480" w:firstLineChars="200"/>
              <w:rPr>
                <w:kern w:val="0"/>
                <w:sz w:val="24"/>
              </w:rPr>
            </w:pPr>
            <w:r>
              <w:rPr>
                <w:kern w:val="0"/>
                <w:sz w:val="24"/>
              </w:rPr>
              <w:t>②监测点位：</w:t>
            </w:r>
            <w:r>
              <w:rPr>
                <w:rFonts w:hint="eastAsia"/>
                <w:kern w:val="0"/>
                <w:sz w:val="24"/>
              </w:rPr>
              <w:t>G1项目场地</w:t>
            </w:r>
          </w:p>
          <w:p w14:paraId="445FA386">
            <w:pPr>
              <w:spacing w:line="360" w:lineRule="auto"/>
              <w:ind w:firstLine="480" w:firstLineChars="200"/>
              <w:rPr>
                <w:kern w:val="0"/>
                <w:sz w:val="24"/>
              </w:rPr>
            </w:pPr>
            <w:r>
              <w:rPr>
                <w:rFonts w:hint="eastAsia"/>
                <w:kern w:val="0"/>
                <w:sz w:val="24"/>
              </w:rPr>
              <w:t>③评价标准：TSP执行《环境空气质量标准》（GB -3095 2012）表2浓度限值；氨、 硫化氢按《环境影响评价技术导则 大气环境》（HJ 2.2-2018）中附录D.1 浓度限值要求， 臭气浓度限值按《恶臭污染物排放标准》（GB 14554-93）表1 中二级新扩改建标准限值要求。监测及统计结果详见下表3-2，引用监测点与本项目的位置关系详见附图9。</w:t>
            </w:r>
          </w:p>
          <w:p w14:paraId="24111A82">
            <w:pPr>
              <w:spacing w:line="360" w:lineRule="auto"/>
              <w:jc w:val="center"/>
              <w:rPr>
                <w:b/>
                <w:bCs/>
                <w:kern w:val="0"/>
                <w:szCs w:val="21"/>
              </w:rPr>
            </w:pPr>
            <w:r>
              <w:rPr>
                <w:b/>
                <w:bCs/>
                <w:kern w:val="0"/>
                <w:szCs w:val="21"/>
              </w:rPr>
              <w:t>表3-2  项目大气现状监测及评价结果</w:t>
            </w:r>
            <w:r>
              <w:rPr>
                <w:rFonts w:hint="eastAsia"/>
                <w:b/>
                <w:bCs/>
                <w:kern w:val="0"/>
                <w:szCs w:val="21"/>
              </w:rPr>
              <w:t xml:space="preserve">  （单位mg/m</w:t>
            </w:r>
            <w:r>
              <w:rPr>
                <w:rFonts w:hint="eastAsia"/>
                <w:b/>
                <w:bCs/>
                <w:kern w:val="0"/>
                <w:szCs w:val="21"/>
                <w:vertAlign w:val="superscript"/>
              </w:rPr>
              <w:t>3</w:t>
            </w:r>
            <w:r>
              <w:rPr>
                <w:rFonts w:hint="eastAsia"/>
                <w:b/>
                <w:bCs/>
                <w:kern w:val="0"/>
                <w:szCs w:val="21"/>
              </w:rPr>
              <w:t>）</w:t>
            </w:r>
          </w:p>
          <w:tbl>
            <w:tblPr>
              <w:tblStyle w:val="20"/>
              <w:tblW w:w="4995"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67"/>
              <w:gridCol w:w="1791"/>
              <w:gridCol w:w="1475"/>
              <w:gridCol w:w="2277"/>
              <w:gridCol w:w="1513"/>
              <w:gridCol w:w="1182"/>
            </w:tblGrid>
            <w:tr w14:paraId="3D60A0DD">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83" w:hRule="atLeast"/>
              </w:trPr>
              <w:tc>
                <w:tcPr>
                  <w:tcW w:w="620" w:type="pct"/>
                  <w:vAlign w:val="center"/>
                </w:tcPr>
                <w:p w14:paraId="3F32A400">
                  <w:pPr>
                    <w:jc w:val="center"/>
                    <w:rPr>
                      <w:b/>
                      <w:bCs/>
                      <w:kern w:val="0"/>
                      <w:szCs w:val="21"/>
                    </w:rPr>
                  </w:pPr>
                  <w:r>
                    <w:rPr>
                      <w:rFonts w:hint="eastAsia"/>
                      <w:b/>
                      <w:bCs/>
                      <w:kern w:val="0"/>
                      <w:szCs w:val="21"/>
                    </w:rPr>
                    <w:t>监测</w:t>
                  </w:r>
                </w:p>
                <w:p w14:paraId="14CA6560">
                  <w:pPr>
                    <w:jc w:val="center"/>
                    <w:rPr>
                      <w:b/>
                      <w:bCs/>
                      <w:kern w:val="0"/>
                      <w:szCs w:val="21"/>
                    </w:rPr>
                  </w:pPr>
                  <w:r>
                    <w:rPr>
                      <w:rFonts w:hint="eastAsia"/>
                      <w:b/>
                      <w:bCs/>
                      <w:kern w:val="0"/>
                      <w:szCs w:val="21"/>
                    </w:rPr>
                    <w:t>时间</w:t>
                  </w:r>
                </w:p>
              </w:tc>
              <w:tc>
                <w:tcPr>
                  <w:tcW w:w="952" w:type="pct"/>
                  <w:vAlign w:val="center"/>
                </w:tcPr>
                <w:p w14:paraId="339FD164">
                  <w:pPr>
                    <w:jc w:val="center"/>
                    <w:rPr>
                      <w:b/>
                      <w:bCs/>
                      <w:kern w:val="0"/>
                      <w:szCs w:val="21"/>
                    </w:rPr>
                  </w:pPr>
                  <w:r>
                    <w:rPr>
                      <w:rFonts w:hint="eastAsia"/>
                      <w:b/>
                      <w:bCs/>
                      <w:kern w:val="0"/>
                      <w:szCs w:val="21"/>
                    </w:rPr>
                    <w:t>监测地点</w:t>
                  </w:r>
                </w:p>
              </w:tc>
              <w:tc>
                <w:tcPr>
                  <w:tcW w:w="784" w:type="pct"/>
                  <w:vAlign w:val="center"/>
                </w:tcPr>
                <w:p w14:paraId="1530C80A">
                  <w:pPr>
                    <w:jc w:val="center"/>
                    <w:rPr>
                      <w:b/>
                      <w:bCs/>
                      <w:kern w:val="0"/>
                      <w:szCs w:val="21"/>
                    </w:rPr>
                  </w:pPr>
                  <w:r>
                    <w:rPr>
                      <w:rFonts w:hint="eastAsia"/>
                      <w:b/>
                      <w:bCs/>
                      <w:kern w:val="0"/>
                      <w:szCs w:val="21"/>
                    </w:rPr>
                    <w:t>监测项目</w:t>
                  </w:r>
                </w:p>
              </w:tc>
              <w:tc>
                <w:tcPr>
                  <w:tcW w:w="1210" w:type="pct"/>
                  <w:vAlign w:val="center"/>
                </w:tcPr>
                <w:p w14:paraId="0B76F1E4">
                  <w:pPr>
                    <w:jc w:val="center"/>
                    <w:rPr>
                      <w:b/>
                      <w:bCs/>
                      <w:kern w:val="0"/>
                      <w:szCs w:val="21"/>
                    </w:rPr>
                  </w:pPr>
                  <w:r>
                    <w:rPr>
                      <w:rFonts w:hint="eastAsia"/>
                      <w:b/>
                      <w:bCs/>
                      <w:kern w:val="0"/>
                      <w:szCs w:val="21"/>
                    </w:rPr>
                    <w:t>监测结果</w:t>
                  </w:r>
                </w:p>
              </w:tc>
              <w:tc>
                <w:tcPr>
                  <w:tcW w:w="804" w:type="pct"/>
                  <w:vAlign w:val="center"/>
                </w:tcPr>
                <w:p w14:paraId="6D2A6B87">
                  <w:pPr>
                    <w:jc w:val="center"/>
                    <w:rPr>
                      <w:b/>
                      <w:bCs/>
                      <w:kern w:val="0"/>
                      <w:szCs w:val="21"/>
                    </w:rPr>
                  </w:pPr>
                  <w:r>
                    <w:rPr>
                      <w:rFonts w:hint="eastAsia"/>
                      <w:b/>
                      <w:bCs/>
                      <w:kern w:val="0"/>
                      <w:szCs w:val="21"/>
                    </w:rPr>
                    <w:t>标准限值</w:t>
                  </w:r>
                </w:p>
              </w:tc>
              <w:tc>
                <w:tcPr>
                  <w:tcW w:w="628" w:type="pct"/>
                  <w:vAlign w:val="center"/>
                </w:tcPr>
                <w:p w14:paraId="0F6C00A0">
                  <w:pPr>
                    <w:jc w:val="center"/>
                    <w:rPr>
                      <w:b/>
                      <w:bCs/>
                      <w:kern w:val="0"/>
                      <w:szCs w:val="21"/>
                    </w:rPr>
                  </w:pPr>
                  <w:r>
                    <w:rPr>
                      <w:rFonts w:hint="eastAsia"/>
                      <w:b/>
                      <w:bCs/>
                      <w:kern w:val="0"/>
                      <w:szCs w:val="21"/>
                    </w:rPr>
                    <w:t>是否达标</w:t>
                  </w:r>
                </w:p>
              </w:tc>
            </w:tr>
            <w:tr w14:paraId="57081C1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0" w:type="pct"/>
                  <w:vMerge w:val="restart"/>
                  <w:vAlign w:val="center"/>
                </w:tcPr>
                <w:p w14:paraId="3F08149A">
                  <w:pPr>
                    <w:jc w:val="center"/>
                    <w:rPr>
                      <w:kern w:val="0"/>
                      <w:szCs w:val="21"/>
                    </w:rPr>
                  </w:pPr>
                  <w:r>
                    <w:rPr>
                      <w:rFonts w:hint="eastAsia"/>
                    </w:rPr>
                    <w:t>2024年8月16日~30日</w:t>
                  </w:r>
                </w:p>
              </w:tc>
              <w:tc>
                <w:tcPr>
                  <w:tcW w:w="952" w:type="pct"/>
                  <w:vMerge w:val="restart"/>
                  <w:vAlign w:val="center"/>
                </w:tcPr>
                <w:p w14:paraId="340B3B60">
                  <w:pPr>
                    <w:jc w:val="center"/>
                    <w:rPr>
                      <w:kern w:val="0"/>
                      <w:szCs w:val="21"/>
                    </w:rPr>
                  </w:pPr>
                  <w:r>
                    <w:rPr>
                      <w:rFonts w:hint="eastAsia"/>
                      <w:kern w:val="0"/>
                      <w:sz w:val="24"/>
                    </w:rPr>
                    <w:t>G1项目场地</w:t>
                  </w:r>
                </w:p>
              </w:tc>
              <w:tc>
                <w:tcPr>
                  <w:tcW w:w="784" w:type="pct"/>
                  <w:vAlign w:val="center"/>
                </w:tcPr>
                <w:p w14:paraId="2DF1AD24">
                  <w:pPr>
                    <w:spacing w:line="360" w:lineRule="auto"/>
                    <w:jc w:val="center"/>
                    <w:rPr>
                      <w:szCs w:val="21"/>
                    </w:rPr>
                  </w:pPr>
                  <w:r>
                    <w:rPr>
                      <w:rFonts w:hint="eastAsia"/>
                      <w:kern w:val="0"/>
                      <w:sz w:val="24"/>
                    </w:rPr>
                    <w:t>TSP</w:t>
                  </w:r>
                </w:p>
              </w:tc>
              <w:tc>
                <w:tcPr>
                  <w:tcW w:w="1210" w:type="pct"/>
                  <w:vAlign w:val="center"/>
                </w:tcPr>
                <w:p w14:paraId="2B8BFAB2">
                  <w:pPr>
                    <w:pStyle w:val="35"/>
                    <w:rPr>
                      <w:szCs w:val="21"/>
                    </w:rPr>
                  </w:pPr>
                  <w:r>
                    <w:rPr>
                      <w:rFonts w:hint="eastAsia"/>
                      <w:szCs w:val="21"/>
                    </w:rPr>
                    <w:t>未检出</w:t>
                  </w:r>
                </w:p>
              </w:tc>
              <w:tc>
                <w:tcPr>
                  <w:tcW w:w="804" w:type="pct"/>
                  <w:vAlign w:val="center"/>
                </w:tcPr>
                <w:p w14:paraId="341D567B">
                  <w:pPr>
                    <w:pStyle w:val="35"/>
                    <w:rPr>
                      <w:szCs w:val="21"/>
                    </w:rPr>
                  </w:pPr>
                  <w:r>
                    <w:rPr>
                      <w:rFonts w:hint="eastAsia"/>
                      <w:szCs w:val="21"/>
                    </w:rPr>
                    <w:t>0.11</w:t>
                  </w:r>
                </w:p>
              </w:tc>
              <w:tc>
                <w:tcPr>
                  <w:tcW w:w="628" w:type="pct"/>
                  <w:vAlign w:val="center"/>
                </w:tcPr>
                <w:p w14:paraId="648B8206">
                  <w:pPr>
                    <w:jc w:val="center"/>
                    <w:rPr>
                      <w:kern w:val="0"/>
                      <w:szCs w:val="21"/>
                    </w:rPr>
                  </w:pPr>
                  <w:r>
                    <w:rPr>
                      <w:rFonts w:hint="eastAsia"/>
                      <w:kern w:val="0"/>
                      <w:szCs w:val="21"/>
                    </w:rPr>
                    <w:t>达标</w:t>
                  </w:r>
                </w:p>
              </w:tc>
            </w:tr>
            <w:tr w14:paraId="08A8669D">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0" w:type="pct"/>
                  <w:vMerge w:val="continue"/>
                  <w:vAlign w:val="center"/>
                </w:tcPr>
                <w:p w14:paraId="6D2B48A4">
                  <w:pPr>
                    <w:jc w:val="center"/>
                    <w:rPr>
                      <w:kern w:val="0"/>
                      <w:szCs w:val="21"/>
                    </w:rPr>
                  </w:pPr>
                </w:p>
              </w:tc>
              <w:tc>
                <w:tcPr>
                  <w:tcW w:w="952" w:type="pct"/>
                  <w:vMerge w:val="continue"/>
                  <w:vAlign w:val="center"/>
                </w:tcPr>
                <w:p w14:paraId="308EC00D">
                  <w:pPr>
                    <w:jc w:val="center"/>
                    <w:rPr>
                      <w:kern w:val="0"/>
                      <w:szCs w:val="21"/>
                    </w:rPr>
                  </w:pPr>
                </w:p>
              </w:tc>
              <w:tc>
                <w:tcPr>
                  <w:tcW w:w="784" w:type="pct"/>
                  <w:vAlign w:val="center"/>
                </w:tcPr>
                <w:p w14:paraId="6F6A91F4">
                  <w:pPr>
                    <w:pStyle w:val="35"/>
                    <w:rPr>
                      <w:szCs w:val="21"/>
                    </w:rPr>
                  </w:pPr>
                  <w:r>
                    <w:rPr>
                      <w:rFonts w:hint="eastAsia"/>
                      <w:kern w:val="0"/>
                      <w:sz w:val="24"/>
                    </w:rPr>
                    <w:t>NH</w:t>
                  </w:r>
                  <w:r>
                    <w:rPr>
                      <w:rFonts w:hint="eastAsia"/>
                      <w:kern w:val="0"/>
                      <w:sz w:val="24"/>
                      <w:vertAlign w:val="subscript"/>
                    </w:rPr>
                    <w:t>3</w:t>
                  </w:r>
                </w:p>
              </w:tc>
              <w:tc>
                <w:tcPr>
                  <w:tcW w:w="1210" w:type="pct"/>
                  <w:vAlign w:val="center"/>
                </w:tcPr>
                <w:p w14:paraId="666E38AC">
                  <w:pPr>
                    <w:pStyle w:val="35"/>
                    <w:rPr>
                      <w:szCs w:val="21"/>
                    </w:rPr>
                  </w:pPr>
                  <w:r>
                    <w:rPr>
                      <w:rFonts w:hint="eastAsia"/>
                      <w:szCs w:val="21"/>
                    </w:rPr>
                    <w:t>未检出</w:t>
                  </w:r>
                </w:p>
              </w:tc>
              <w:tc>
                <w:tcPr>
                  <w:tcW w:w="804" w:type="pct"/>
                  <w:vAlign w:val="center"/>
                </w:tcPr>
                <w:p w14:paraId="2D810237">
                  <w:pPr>
                    <w:pStyle w:val="35"/>
                    <w:rPr>
                      <w:szCs w:val="21"/>
                    </w:rPr>
                  </w:pPr>
                  <w:r>
                    <w:rPr>
                      <w:rFonts w:hint="eastAsia"/>
                      <w:szCs w:val="21"/>
                    </w:rPr>
                    <w:t>0.2</w:t>
                  </w:r>
                </w:p>
              </w:tc>
              <w:tc>
                <w:tcPr>
                  <w:tcW w:w="628" w:type="pct"/>
                  <w:vAlign w:val="center"/>
                </w:tcPr>
                <w:p w14:paraId="493EC8C1">
                  <w:pPr>
                    <w:jc w:val="center"/>
                    <w:rPr>
                      <w:kern w:val="0"/>
                      <w:szCs w:val="21"/>
                    </w:rPr>
                  </w:pPr>
                  <w:r>
                    <w:rPr>
                      <w:rFonts w:hint="eastAsia"/>
                      <w:kern w:val="0"/>
                      <w:szCs w:val="21"/>
                    </w:rPr>
                    <w:t>达标</w:t>
                  </w:r>
                </w:p>
              </w:tc>
            </w:tr>
            <w:tr w14:paraId="5BAF4BF5">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0" w:type="pct"/>
                  <w:vMerge w:val="continue"/>
                  <w:vAlign w:val="center"/>
                </w:tcPr>
                <w:p w14:paraId="3F7547FD">
                  <w:pPr>
                    <w:jc w:val="center"/>
                    <w:rPr>
                      <w:kern w:val="0"/>
                      <w:szCs w:val="21"/>
                    </w:rPr>
                  </w:pPr>
                </w:p>
              </w:tc>
              <w:tc>
                <w:tcPr>
                  <w:tcW w:w="952" w:type="pct"/>
                  <w:vMerge w:val="continue"/>
                  <w:vAlign w:val="center"/>
                </w:tcPr>
                <w:p w14:paraId="11577C2C">
                  <w:pPr>
                    <w:jc w:val="center"/>
                    <w:rPr>
                      <w:kern w:val="0"/>
                      <w:szCs w:val="21"/>
                    </w:rPr>
                  </w:pPr>
                </w:p>
              </w:tc>
              <w:tc>
                <w:tcPr>
                  <w:tcW w:w="784" w:type="pct"/>
                  <w:vAlign w:val="center"/>
                </w:tcPr>
                <w:p w14:paraId="64434D7E">
                  <w:pPr>
                    <w:pStyle w:val="35"/>
                    <w:rPr>
                      <w:szCs w:val="21"/>
                    </w:rPr>
                  </w:pPr>
                  <w:r>
                    <w:rPr>
                      <w:rFonts w:hint="eastAsia"/>
                      <w:kern w:val="0"/>
                      <w:sz w:val="24"/>
                    </w:rPr>
                    <w:t>H</w:t>
                  </w:r>
                  <w:r>
                    <w:rPr>
                      <w:rFonts w:hint="eastAsia"/>
                      <w:kern w:val="0"/>
                      <w:sz w:val="24"/>
                      <w:vertAlign w:val="subscript"/>
                    </w:rPr>
                    <w:t>2</w:t>
                  </w:r>
                  <w:r>
                    <w:rPr>
                      <w:rFonts w:hint="eastAsia"/>
                      <w:kern w:val="0"/>
                      <w:sz w:val="24"/>
                    </w:rPr>
                    <w:t>S</w:t>
                  </w:r>
                </w:p>
              </w:tc>
              <w:tc>
                <w:tcPr>
                  <w:tcW w:w="1210" w:type="pct"/>
                  <w:vAlign w:val="center"/>
                </w:tcPr>
                <w:p w14:paraId="0500CCBE">
                  <w:pPr>
                    <w:pStyle w:val="35"/>
                    <w:rPr>
                      <w:szCs w:val="21"/>
                    </w:rPr>
                  </w:pPr>
                  <w:r>
                    <w:rPr>
                      <w:rFonts w:hint="eastAsia"/>
                      <w:szCs w:val="21"/>
                    </w:rPr>
                    <w:t>未检出</w:t>
                  </w:r>
                </w:p>
              </w:tc>
              <w:tc>
                <w:tcPr>
                  <w:tcW w:w="804" w:type="pct"/>
                  <w:vAlign w:val="center"/>
                </w:tcPr>
                <w:p w14:paraId="0ABB5311">
                  <w:pPr>
                    <w:pStyle w:val="35"/>
                    <w:rPr>
                      <w:szCs w:val="21"/>
                    </w:rPr>
                  </w:pPr>
                  <w:r>
                    <w:rPr>
                      <w:rFonts w:hint="eastAsia"/>
                      <w:szCs w:val="21"/>
                    </w:rPr>
                    <w:t>0.2</w:t>
                  </w:r>
                </w:p>
              </w:tc>
              <w:tc>
                <w:tcPr>
                  <w:tcW w:w="628" w:type="pct"/>
                  <w:vAlign w:val="center"/>
                </w:tcPr>
                <w:p w14:paraId="4F6E75F0">
                  <w:pPr>
                    <w:jc w:val="center"/>
                    <w:rPr>
                      <w:kern w:val="0"/>
                      <w:szCs w:val="21"/>
                    </w:rPr>
                  </w:pPr>
                  <w:r>
                    <w:rPr>
                      <w:rFonts w:hint="eastAsia"/>
                      <w:kern w:val="0"/>
                      <w:szCs w:val="21"/>
                    </w:rPr>
                    <w:t>达标</w:t>
                  </w:r>
                </w:p>
              </w:tc>
            </w:tr>
            <w:tr w14:paraId="38B92DFE">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620" w:type="pct"/>
                  <w:vMerge w:val="continue"/>
                  <w:vAlign w:val="center"/>
                </w:tcPr>
                <w:p w14:paraId="6F01D2B0">
                  <w:pPr>
                    <w:jc w:val="center"/>
                    <w:rPr>
                      <w:kern w:val="0"/>
                      <w:szCs w:val="21"/>
                    </w:rPr>
                  </w:pPr>
                </w:p>
              </w:tc>
              <w:tc>
                <w:tcPr>
                  <w:tcW w:w="952" w:type="pct"/>
                  <w:vMerge w:val="continue"/>
                  <w:vAlign w:val="center"/>
                </w:tcPr>
                <w:p w14:paraId="33FC9E3A">
                  <w:pPr>
                    <w:jc w:val="center"/>
                    <w:rPr>
                      <w:kern w:val="0"/>
                      <w:szCs w:val="21"/>
                    </w:rPr>
                  </w:pPr>
                </w:p>
              </w:tc>
              <w:tc>
                <w:tcPr>
                  <w:tcW w:w="784" w:type="pct"/>
                  <w:vAlign w:val="center"/>
                </w:tcPr>
                <w:p w14:paraId="7D4EED4F">
                  <w:pPr>
                    <w:jc w:val="center"/>
                    <w:rPr>
                      <w:kern w:val="0"/>
                      <w:szCs w:val="21"/>
                    </w:rPr>
                  </w:pPr>
                  <w:r>
                    <w:rPr>
                      <w:rFonts w:hint="eastAsia"/>
                      <w:kern w:val="0"/>
                      <w:sz w:val="24"/>
                    </w:rPr>
                    <w:t>臭气浓度</w:t>
                  </w:r>
                </w:p>
              </w:tc>
              <w:tc>
                <w:tcPr>
                  <w:tcW w:w="1210" w:type="pct"/>
                  <w:vAlign w:val="center"/>
                </w:tcPr>
                <w:p w14:paraId="57F2F286">
                  <w:pPr>
                    <w:pStyle w:val="35"/>
                    <w:rPr>
                      <w:szCs w:val="21"/>
                    </w:rPr>
                  </w:pPr>
                  <w:r>
                    <w:rPr>
                      <w:rFonts w:hint="eastAsia"/>
                      <w:szCs w:val="21"/>
                    </w:rPr>
                    <w:t>0.103-0.108</w:t>
                  </w:r>
                </w:p>
              </w:tc>
              <w:tc>
                <w:tcPr>
                  <w:tcW w:w="804" w:type="pct"/>
                  <w:vAlign w:val="center"/>
                </w:tcPr>
                <w:p w14:paraId="1E4EDE37">
                  <w:pPr>
                    <w:pStyle w:val="35"/>
                    <w:rPr>
                      <w:szCs w:val="21"/>
                    </w:rPr>
                  </w:pPr>
                  <w:r>
                    <w:rPr>
                      <w:rFonts w:hint="eastAsia"/>
                      <w:szCs w:val="21"/>
                    </w:rPr>
                    <w:t>0.3</w:t>
                  </w:r>
                </w:p>
              </w:tc>
              <w:tc>
                <w:tcPr>
                  <w:tcW w:w="628" w:type="pct"/>
                  <w:vAlign w:val="center"/>
                </w:tcPr>
                <w:p w14:paraId="52AFAE29">
                  <w:pPr>
                    <w:jc w:val="center"/>
                    <w:rPr>
                      <w:kern w:val="0"/>
                      <w:szCs w:val="21"/>
                    </w:rPr>
                  </w:pPr>
                  <w:r>
                    <w:rPr>
                      <w:rFonts w:hint="eastAsia"/>
                      <w:kern w:val="0"/>
                      <w:szCs w:val="21"/>
                    </w:rPr>
                    <w:t>达标</w:t>
                  </w:r>
                </w:p>
              </w:tc>
            </w:tr>
          </w:tbl>
          <w:p w14:paraId="33262D9C">
            <w:pPr>
              <w:spacing w:line="360" w:lineRule="auto"/>
              <w:ind w:firstLine="480" w:firstLineChars="200"/>
              <w:rPr>
                <w:kern w:val="0"/>
                <w:sz w:val="24"/>
              </w:rPr>
            </w:pPr>
            <w:r>
              <w:rPr>
                <w:kern w:val="0"/>
                <w:sz w:val="24"/>
              </w:rPr>
              <w:t>上表监测数据统计结果显示</w:t>
            </w:r>
            <w:r>
              <w:rPr>
                <w:rFonts w:hint="eastAsia"/>
                <w:kern w:val="0"/>
                <w:sz w:val="24"/>
              </w:rPr>
              <w:t>，监测点位监测的TSP符合《环境空气质量标准》（GB 3095-2012）二级标准；硫化氢、氨监测结果符合《环境影响评价技术导则 大气环境》（ HJ 2.2-2018）附录D中标准要求，臭气浓度限值满足《恶臭污染物排放标准》（GB 14554-93）表1 中二级新扩改建标准限值要求。</w:t>
            </w:r>
          </w:p>
          <w:p w14:paraId="5AB08652">
            <w:pPr>
              <w:spacing w:line="360" w:lineRule="auto"/>
              <w:ind w:firstLine="480" w:firstLineChars="200"/>
              <w:rPr>
                <w:kern w:val="0"/>
                <w:sz w:val="24"/>
              </w:rPr>
            </w:pPr>
            <w:r>
              <w:rPr>
                <w:rFonts w:hint="eastAsia"/>
                <w:kern w:val="0"/>
                <w:sz w:val="24"/>
              </w:rPr>
              <w:t>因此，本项目改扩建前，项目所在区域空气质量良好。</w:t>
            </w:r>
          </w:p>
          <w:p w14:paraId="411DF106">
            <w:pPr>
              <w:spacing w:line="360" w:lineRule="auto"/>
              <w:ind w:firstLine="482" w:firstLineChars="200"/>
              <w:rPr>
                <w:b/>
                <w:bCs/>
                <w:sz w:val="24"/>
              </w:rPr>
            </w:pPr>
            <w:r>
              <w:rPr>
                <w:b/>
                <w:bCs/>
                <w:sz w:val="24"/>
              </w:rPr>
              <w:t>2、地表水环境质量现状</w:t>
            </w:r>
          </w:p>
          <w:p w14:paraId="34B448F9">
            <w:pPr>
              <w:spacing w:line="360" w:lineRule="auto"/>
              <w:ind w:firstLine="420" w:firstLineChars="200"/>
              <w:rPr>
                <w:sz w:val="24"/>
              </w:rPr>
            </w:pPr>
            <w:r>
              <w:rPr>
                <w:sz w:val="21"/>
                <w:szCs w:val="21"/>
              </w:rPr>
              <w:t>本次地表水环境质量现状评价引用衡阳市《关于202</w:t>
            </w:r>
            <w:r>
              <w:rPr>
                <w:rFonts w:hint="eastAsia"/>
                <w:sz w:val="21"/>
                <w:szCs w:val="21"/>
              </w:rPr>
              <w:t>3</w:t>
            </w:r>
            <w:r>
              <w:rPr>
                <w:sz w:val="21"/>
                <w:szCs w:val="21"/>
              </w:rPr>
              <w:t>年12月及1~12月全市环境质量状况的通报》中结论：公报中衡阳县考核断面共设置3个检测断面，分别为洪市镇、西渡水厂断面、新化村断面。</w:t>
            </w:r>
            <w:r>
              <w:rPr>
                <w:rFonts w:hint="eastAsia"/>
                <w:sz w:val="21"/>
                <w:szCs w:val="21"/>
              </w:rPr>
              <w:t>洪市镇</w:t>
            </w:r>
            <w:r>
              <w:rPr>
                <w:sz w:val="21"/>
                <w:szCs w:val="21"/>
              </w:rPr>
              <w:t>、西渡水厂断面</w:t>
            </w:r>
            <w:r>
              <w:rPr>
                <w:rFonts w:hint="eastAsia"/>
                <w:sz w:val="21"/>
                <w:szCs w:val="21"/>
              </w:rPr>
              <w:t>、新华村3个断面水质分别满足</w:t>
            </w:r>
            <w:r>
              <w:rPr>
                <w:sz w:val="21"/>
                <w:szCs w:val="21"/>
              </w:rPr>
              <w:t>《地表水环境质量标准》（GB3838-2002）中</w:t>
            </w:r>
            <w:r>
              <w:rPr>
                <w:rFonts w:hint="eastAsia"/>
                <w:sz w:val="21"/>
                <w:szCs w:val="21"/>
              </w:rPr>
              <w:t>Ⅱ</w:t>
            </w:r>
            <w:r>
              <w:rPr>
                <w:sz w:val="21"/>
                <w:szCs w:val="21"/>
              </w:rPr>
              <w:t>、</w:t>
            </w:r>
            <w:r>
              <w:rPr>
                <w:rFonts w:hint="eastAsia"/>
                <w:sz w:val="21"/>
                <w:szCs w:val="21"/>
              </w:rPr>
              <w:t>Ⅱ</w:t>
            </w:r>
            <w:r>
              <w:rPr>
                <w:sz w:val="21"/>
                <w:szCs w:val="21"/>
              </w:rPr>
              <w:t>、Ⅲ类水质标准，水质状况为良好。具体</w:t>
            </w:r>
            <w:r>
              <w:rPr>
                <w:sz w:val="24"/>
              </w:rPr>
              <w:t>见下图。</w:t>
            </w:r>
          </w:p>
          <w:p w14:paraId="0360517A">
            <w:pPr>
              <w:spacing w:line="360" w:lineRule="auto"/>
              <w:jc w:val="center"/>
              <w:rPr>
                <w:sz w:val="24"/>
              </w:rPr>
            </w:pPr>
            <w:r>
              <w:drawing>
                <wp:inline distT="0" distB="0" distL="114300" distR="114300">
                  <wp:extent cx="4623435" cy="3053715"/>
                  <wp:effectExtent l="9525" t="9525" r="15240" b="22860"/>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24"/>
                          <a:stretch>
                            <a:fillRect/>
                          </a:stretch>
                        </pic:blipFill>
                        <pic:spPr>
                          <a:xfrm>
                            <a:off x="0" y="0"/>
                            <a:ext cx="4623435" cy="305371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212260B5">
            <w:pPr>
              <w:pStyle w:val="8"/>
              <w:snapToGrid/>
              <w:spacing w:before="0" w:after="0" w:line="360" w:lineRule="auto"/>
              <w:ind w:right="0"/>
              <w:jc w:val="center"/>
              <w:rPr>
                <w:b/>
                <w:bCs/>
                <w:sz w:val="21"/>
                <w:szCs w:val="21"/>
              </w:rPr>
            </w:pPr>
            <w:r>
              <w:rPr>
                <w:b/>
                <w:bCs/>
                <w:sz w:val="21"/>
                <w:szCs w:val="21"/>
              </w:rPr>
              <w:t>图3-1  202</w:t>
            </w:r>
            <w:r>
              <w:rPr>
                <w:rFonts w:hint="eastAsia"/>
                <w:b/>
                <w:bCs/>
                <w:sz w:val="21"/>
                <w:szCs w:val="21"/>
              </w:rPr>
              <w:t>3</w:t>
            </w:r>
            <w:r>
              <w:rPr>
                <w:b/>
                <w:bCs/>
                <w:sz w:val="21"/>
                <w:szCs w:val="21"/>
              </w:rPr>
              <w:t>年1-12月衡阳市地表水水质情况（节选）</w:t>
            </w:r>
          </w:p>
          <w:p w14:paraId="3EE4B9C0">
            <w:pPr>
              <w:pStyle w:val="36"/>
              <w:ind w:firstLine="514"/>
              <w:rPr>
                <w:b/>
              </w:rPr>
            </w:pPr>
            <w:r>
              <w:rPr>
                <w:b/>
                <w:spacing w:val="8"/>
                <w:szCs w:val="24"/>
              </w:rPr>
              <w:t>三、噪声环境</w:t>
            </w:r>
            <w:r>
              <w:rPr>
                <w:b/>
              </w:rPr>
              <w:t>质量现状</w:t>
            </w:r>
          </w:p>
          <w:p w14:paraId="67B6C4DA">
            <w:pPr>
              <w:spacing w:line="360" w:lineRule="auto"/>
              <w:ind w:firstLine="480" w:firstLineChars="200"/>
              <w:rPr>
                <w:rFonts w:hint="default" w:eastAsia="宋体"/>
                <w:sz w:val="24"/>
                <w:lang w:val="en-US" w:eastAsia="zh-CN"/>
              </w:rPr>
            </w:pPr>
            <w:r>
              <w:rPr>
                <w:sz w:val="24"/>
              </w:rPr>
              <w:t>项目位于</w:t>
            </w:r>
            <w:r>
              <w:rPr>
                <w:rFonts w:hint="eastAsia"/>
                <w:sz w:val="24"/>
              </w:rPr>
              <w:t>湖南省衡阳市衡阳县西渡镇豆陂村</w:t>
            </w:r>
            <w:r>
              <w:rPr>
                <w:sz w:val="24"/>
              </w:rPr>
              <w:t>，</w:t>
            </w:r>
            <w:r>
              <w:rPr>
                <w:rFonts w:hint="eastAsia"/>
                <w:sz w:val="24"/>
              </w:rPr>
              <w:t>该区域属于</w:t>
            </w:r>
            <w:r>
              <w:rPr>
                <w:rFonts w:hint="eastAsia"/>
                <w:sz w:val="24"/>
                <w:lang w:eastAsia="zh-CN"/>
              </w:rPr>
              <w:t>湖南省衡阳市衡阳县西渡镇豆陂村</w:t>
            </w:r>
            <w:r>
              <w:rPr>
                <w:rFonts w:hint="eastAsia"/>
                <w:sz w:val="24"/>
              </w:rPr>
              <w:t>。根据《衡阳县县城声环境功能区划》，项目</w:t>
            </w:r>
            <w:r>
              <w:rPr>
                <w:rFonts w:hint="eastAsia"/>
                <w:sz w:val="24"/>
                <w:lang w:val="en-US" w:eastAsia="zh-CN"/>
              </w:rPr>
              <w:t>所在地</w:t>
            </w:r>
            <w:r>
              <w:rPr>
                <w:rFonts w:hint="eastAsia"/>
                <w:sz w:val="24"/>
              </w:rPr>
              <w:t>属于3类声环境功能区，执行《声环境质量标准》（GB3096-2008）3类标准</w:t>
            </w:r>
            <w:r>
              <w:rPr>
                <w:rFonts w:hint="eastAsia"/>
                <w:sz w:val="24"/>
                <w:lang w:eastAsia="zh-CN"/>
              </w:rPr>
              <w:t>；</w:t>
            </w:r>
            <w:r>
              <w:rPr>
                <w:rFonts w:hint="eastAsia"/>
                <w:sz w:val="24"/>
                <w:lang w:val="en-US" w:eastAsia="zh-CN"/>
              </w:rPr>
              <w:t>区域附近居民点</w:t>
            </w:r>
            <w:r>
              <w:rPr>
                <w:rFonts w:hint="eastAsia"/>
                <w:sz w:val="24"/>
              </w:rPr>
              <w:t>属于</w:t>
            </w:r>
            <w:r>
              <w:rPr>
                <w:rFonts w:hint="eastAsia"/>
                <w:sz w:val="24"/>
                <w:lang w:val="en-US" w:eastAsia="zh-CN"/>
              </w:rPr>
              <w:t>2</w:t>
            </w:r>
            <w:r>
              <w:rPr>
                <w:rFonts w:hint="eastAsia"/>
                <w:sz w:val="24"/>
              </w:rPr>
              <w:t>类声环境功能区，执行《声环境质量标准》（GB3096-2008）</w:t>
            </w:r>
            <w:r>
              <w:rPr>
                <w:rFonts w:hint="eastAsia"/>
                <w:sz w:val="24"/>
                <w:lang w:val="en-US" w:eastAsia="zh-CN"/>
              </w:rPr>
              <w:t>2</w:t>
            </w:r>
            <w:r>
              <w:rPr>
                <w:rFonts w:hint="eastAsia"/>
                <w:sz w:val="24"/>
              </w:rPr>
              <w:t>类标准</w:t>
            </w:r>
          </w:p>
          <w:p w14:paraId="69AAD1AF">
            <w:pPr>
              <w:spacing w:line="360" w:lineRule="auto"/>
              <w:ind w:firstLine="480" w:firstLineChars="200"/>
              <w:rPr>
                <w:sz w:val="24"/>
              </w:rPr>
            </w:pPr>
            <w:r>
              <w:rPr>
                <w:rFonts w:hint="eastAsia"/>
                <w:sz w:val="24"/>
              </w:rPr>
              <w:t>根据现场踏勘，本项目周边50m范围内存在声环境敏感目标分布，故本次环评委托湖南中雁环保科技有限公司对50m范围内声环境敏感目标进行监测。</w:t>
            </w:r>
          </w:p>
          <w:p w14:paraId="593B1564">
            <w:pPr>
              <w:pStyle w:val="33"/>
              <w:spacing w:line="360" w:lineRule="auto"/>
              <w:ind w:firstLine="482" w:firstLineChars="200"/>
              <w:rPr>
                <w:rFonts w:hint="eastAsia" w:ascii="Times New Roman" w:hAnsi="宋体" w:cs="Times New Roman"/>
                <w:b/>
                <w:bCs/>
                <w:color w:val="auto"/>
              </w:rPr>
            </w:pPr>
            <w:r>
              <w:rPr>
                <w:rFonts w:hint="eastAsia" w:ascii="Times New Roman" w:hAnsi="宋体" w:cs="Times New Roman"/>
                <w:b/>
                <w:bCs/>
                <w:color w:val="auto"/>
              </w:rPr>
              <w:t>1、</w:t>
            </w:r>
            <w:r>
              <w:rPr>
                <w:rFonts w:ascii="Times New Roman" w:hAnsi="宋体" w:cs="Times New Roman"/>
                <w:b/>
                <w:bCs/>
                <w:color w:val="auto"/>
              </w:rPr>
              <w:t>监测布点</w:t>
            </w:r>
          </w:p>
          <w:p w14:paraId="4AB08FF8">
            <w:pPr>
              <w:pStyle w:val="33"/>
              <w:tabs>
                <w:tab w:val="left" w:pos="6642"/>
              </w:tabs>
              <w:spacing w:line="360" w:lineRule="auto"/>
              <w:ind w:firstLine="480" w:firstLineChars="200"/>
              <w:rPr>
                <w:rFonts w:hint="eastAsia" w:ascii="Times New Roman" w:hAnsi="宋体" w:cs="Times New Roman"/>
                <w:bCs/>
                <w:color w:val="auto"/>
              </w:rPr>
            </w:pPr>
            <w:r>
              <w:rPr>
                <w:rFonts w:ascii="Times New Roman" w:hAnsi="宋体" w:cs="Times New Roman"/>
                <w:bCs/>
                <w:color w:val="auto"/>
              </w:rPr>
              <w:t>本次噪声现状监测共布设了</w:t>
            </w:r>
            <w:r>
              <w:rPr>
                <w:rFonts w:hint="eastAsia" w:ascii="Times New Roman" w:hAnsi="宋体" w:cs="Times New Roman"/>
                <w:bCs/>
                <w:color w:val="auto"/>
              </w:rPr>
              <w:t>2</w:t>
            </w:r>
            <w:r>
              <w:rPr>
                <w:rFonts w:ascii="Times New Roman" w:hAnsi="宋体" w:cs="Times New Roman"/>
                <w:bCs/>
                <w:color w:val="auto"/>
              </w:rPr>
              <w:t>个监测点详见表3-</w:t>
            </w:r>
            <w:r>
              <w:rPr>
                <w:rFonts w:hint="eastAsia" w:ascii="Times New Roman" w:hAnsi="宋体" w:cs="Times New Roman"/>
                <w:bCs/>
                <w:color w:val="auto"/>
              </w:rPr>
              <w:t>3</w:t>
            </w:r>
            <w:r>
              <w:rPr>
                <w:rFonts w:ascii="Times New Roman" w:hAnsi="宋体" w:cs="Times New Roman"/>
                <w:bCs/>
                <w:color w:val="auto"/>
              </w:rPr>
              <w:t>。</w:t>
            </w:r>
          </w:p>
          <w:p w14:paraId="728FF37C">
            <w:pPr>
              <w:autoSpaceDE w:val="0"/>
              <w:autoSpaceDN w:val="0"/>
              <w:adjustRightInd w:val="0"/>
              <w:ind w:firstLine="422" w:firstLineChars="200"/>
              <w:jc w:val="center"/>
              <w:rPr>
                <w:b/>
                <w:szCs w:val="21"/>
              </w:rPr>
            </w:pPr>
            <w:r>
              <w:rPr>
                <w:b/>
                <w:szCs w:val="21"/>
              </w:rPr>
              <w:t>表3-</w:t>
            </w:r>
            <w:r>
              <w:rPr>
                <w:rFonts w:hint="eastAsia"/>
                <w:b/>
                <w:szCs w:val="21"/>
              </w:rPr>
              <w:t>3</w:t>
            </w:r>
            <w:r>
              <w:rPr>
                <w:b/>
                <w:szCs w:val="21"/>
              </w:rPr>
              <w:t xml:space="preserve">  声环境监测点位设置一览表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28"/>
              <w:gridCol w:w="6456"/>
            </w:tblGrid>
            <w:tr w14:paraId="2F2E5C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60" w:type="pct"/>
                  <w:vAlign w:val="center"/>
                </w:tcPr>
                <w:p w14:paraId="177CC673">
                  <w:pPr>
                    <w:pStyle w:val="32"/>
                    <w:widowControl w:val="0"/>
                    <w:adjustRightInd/>
                    <w:snapToGrid/>
                    <w:rPr>
                      <w:b/>
                      <w:sz w:val="21"/>
                      <w:szCs w:val="21"/>
                    </w:rPr>
                  </w:pPr>
                  <w:r>
                    <w:rPr>
                      <w:b/>
                      <w:sz w:val="21"/>
                      <w:szCs w:val="21"/>
                    </w:rPr>
                    <w:t>编号</w:t>
                  </w:r>
                </w:p>
              </w:tc>
              <w:tc>
                <w:tcPr>
                  <w:tcW w:w="3439" w:type="pct"/>
                  <w:vAlign w:val="center"/>
                </w:tcPr>
                <w:p w14:paraId="28D5DA8F">
                  <w:pPr>
                    <w:pStyle w:val="32"/>
                    <w:widowControl w:val="0"/>
                    <w:adjustRightInd/>
                    <w:snapToGrid/>
                    <w:rPr>
                      <w:b/>
                      <w:sz w:val="21"/>
                      <w:szCs w:val="21"/>
                    </w:rPr>
                  </w:pPr>
                  <w:r>
                    <w:rPr>
                      <w:b/>
                      <w:sz w:val="21"/>
                      <w:szCs w:val="21"/>
                    </w:rPr>
                    <w:t>具体位置</w:t>
                  </w:r>
                </w:p>
              </w:tc>
            </w:tr>
            <w:tr w14:paraId="74F4CE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560" w:type="pct"/>
                  <w:vAlign w:val="center"/>
                </w:tcPr>
                <w:p w14:paraId="20B05DD9">
                  <w:pPr>
                    <w:pStyle w:val="32"/>
                    <w:widowControl w:val="0"/>
                    <w:adjustRightInd/>
                    <w:snapToGrid/>
                    <w:rPr>
                      <w:sz w:val="21"/>
                      <w:szCs w:val="21"/>
                    </w:rPr>
                  </w:pPr>
                  <w:r>
                    <w:rPr>
                      <w:sz w:val="21"/>
                      <w:szCs w:val="21"/>
                      <w:lang w:val="zh-CN"/>
                    </w:rPr>
                    <w:t>N1</w:t>
                  </w:r>
                </w:p>
              </w:tc>
              <w:tc>
                <w:tcPr>
                  <w:tcW w:w="6456" w:type="dxa"/>
                  <w:vAlign w:val="center"/>
                </w:tcPr>
                <w:p w14:paraId="290D0E92">
                  <w:pPr>
                    <w:spacing w:line="240" w:lineRule="atLeast"/>
                    <w:jc w:val="center"/>
                    <w:rPr>
                      <w:szCs w:val="21"/>
                    </w:rPr>
                  </w:pPr>
                  <w:r>
                    <w:rPr>
                      <w:rFonts w:hint="eastAsia"/>
                    </w:rPr>
                    <w:t>项目厂西侧居民点处（N1）</w:t>
                  </w:r>
                </w:p>
              </w:tc>
            </w:tr>
            <w:tr w14:paraId="2E13D15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1560" w:type="pct"/>
                  <w:vAlign w:val="center"/>
                </w:tcPr>
                <w:p w14:paraId="6EA21D8C">
                  <w:pPr>
                    <w:pStyle w:val="32"/>
                    <w:widowControl w:val="0"/>
                    <w:adjustRightInd/>
                    <w:snapToGrid/>
                    <w:rPr>
                      <w:sz w:val="21"/>
                      <w:szCs w:val="21"/>
                    </w:rPr>
                  </w:pPr>
                  <w:r>
                    <w:rPr>
                      <w:sz w:val="21"/>
                      <w:szCs w:val="21"/>
                      <w:lang w:val="zh-CN"/>
                    </w:rPr>
                    <w:t>N2</w:t>
                  </w:r>
                </w:p>
              </w:tc>
              <w:tc>
                <w:tcPr>
                  <w:tcW w:w="6456" w:type="dxa"/>
                  <w:vAlign w:val="center"/>
                </w:tcPr>
                <w:p w14:paraId="5C546E2E">
                  <w:pPr>
                    <w:spacing w:line="240" w:lineRule="atLeast"/>
                    <w:jc w:val="center"/>
                    <w:rPr>
                      <w:szCs w:val="21"/>
                    </w:rPr>
                  </w:pPr>
                  <w:r>
                    <w:rPr>
                      <w:rFonts w:hint="eastAsia"/>
                    </w:rPr>
                    <w:t>项目厂南侧居民点处（N2）</w:t>
                  </w:r>
                </w:p>
              </w:tc>
            </w:tr>
          </w:tbl>
          <w:p w14:paraId="4952253C">
            <w:pPr>
              <w:spacing w:line="360" w:lineRule="auto"/>
              <w:ind w:firstLine="482" w:firstLineChars="200"/>
              <w:rPr>
                <w:b/>
                <w:sz w:val="24"/>
              </w:rPr>
            </w:pPr>
            <w:r>
              <w:rPr>
                <w:rFonts w:hint="eastAsia"/>
                <w:b/>
                <w:sz w:val="24"/>
              </w:rPr>
              <w:t>2、</w:t>
            </w:r>
            <w:r>
              <w:rPr>
                <w:b/>
                <w:sz w:val="24"/>
              </w:rPr>
              <w:t>监测因子</w:t>
            </w:r>
          </w:p>
          <w:p w14:paraId="6F6B3E98">
            <w:pPr>
              <w:spacing w:line="360" w:lineRule="auto"/>
              <w:ind w:firstLine="480" w:firstLineChars="200"/>
              <w:rPr>
                <w:sz w:val="24"/>
              </w:rPr>
            </w:pPr>
            <w:r>
              <w:rPr>
                <w:sz w:val="24"/>
              </w:rPr>
              <w:t>等效连续A声级LAeq。</w:t>
            </w:r>
          </w:p>
          <w:p w14:paraId="004D3838">
            <w:pPr>
              <w:spacing w:line="360" w:lineRule="auto"/>
              <w:ind w:firstLine="482" w:firstLineChars="200"/>
              <w:rPr>
                <w:b/>
                <w:sz w:val="24"/>
              </w:rPr>
            </w:pPr>
            <w:r>
              <w:rPr>
                <w:rFonts w:hint="eastAsia"/>
                <w:b/>
                <w:sz w:val="24"/>
              </w:rPr>
              <w:t>3、</w:t>
            </w:r>
            <w:r>
              <w:rPr>
                <w:b/>
                <w:sz w:val="24"/>
              </w:rPr>
              <w:t>监测时间及频次</w:t>
            </w:r>
          </w:p>
          <w:p w14:paraId="2D727E82">
            <w:pPr>
              <w:spacing w:line="360" w:lineRule="auto"/>
              <w:ind w:firstLine="480" w:firstLineChars="200"/>
              <w:rPr>
                <w:sz w:val="24"/>
              </w:rPr>
            </w:pPr>
            <w:r>
              <w:rPr>
                <w:sz w:val="24"/>
              </w:rPr>
              <w:t>202</w:t>
            </w:r>
            <w:r>
              <w:rPr>
                <w:rFonts w:hint="eastAsia"/>
                <w:sz w:val="24"/>
              </w:rPr>
              <w:t>4</w:t>
            </w:r>
            <w:r>
              <w:rPr>
                <w:sz w:val="24"/>
              </w:rPr>
              <w:t>年</w:t>
            </w:r>
            <w:r>
              <w:rPr>
                <w:rFonts w:hint="eastAsia"/>
                <w:sz w:val="24"/>
              </w:rPr>
              <w:t>10</w:t>
            </w:r>
            <w:r>
              <w:rPr>
                <w:sz w:val="24"/>
              </w:rPr>
              <w:t>月</w:t>
            </w:r>
            <w:r>
              <w:rPr>
                <w:rFonts w:hint="eastAsia"/>
                <w:sz w:val="24"/>
              </w:rPr>
              <w:t>18日，</w:t>
            </w:r>
            <w:r>
              <w:rPr>
                <w:sz w:val="24"/>
              </w:rPr>
              <w:t>昼夜间各监测一次，监测</w:t>
            </w:r>
            <w:r>
              <w:rPr>
                <w:rFonts w:hint="eastAsia"/>
                <w:sz w:val="24"/>
              </w:rPr>
              <w:t>1</w:t>
            </w:r>
            <w:r>
              <w:rPr>
                <w:sz w:val="24"/>
              </w:rPr>
              <w:t>天。</w:t>
            </w:r>
          </w:p>
          <w:p w14:paraId="1C6C039E">
            <w:pPr>
              <w:spacing w:line="360" w:lineRule="auto"/>
              <w:ind w:firstLine="482" w:firstLineChars="200"/>
              <w:rPr>
                <w:b/>
                <w:sz w:val="24"/>
              </w:rPr>
            </w:pPr>
            <w:r>
              <w:rPr>
                <w:rFonts w:hint="eastAsia"/>
                <w:b/>
                <w:sz w:val="24"/>
              </w:rPr>
              <w:t>4、</w:t>
            </w:r>
            <w:r>
              <w:rPr>
                <w:b/>
                <w:sz w:val="24"/>
              </w:rPr>
              <w:t>监测结果</w:t>
            </w:r>
          </w:p>
          <w:p w14:paraId="76D383B6">
            <w:pPr>
              <w:spacing w:line="360" w:lineRule="auto"/>
              <w:ind w:firstLine="480" w:firstLineChars="200"/>
              <w:rPr>
                <w:sz w:val="24"/>
              </w:rPr>
            </w:pPr>
            <w:r>
              <w:rPr>
                <w:sz w:val="24"/>
              </w:rPr>
              <w:t>噪声监测结果见表3-</w:t>
            </w:r>
            <w:r>
              <w:rPr>
                <w:rFonts w:hint="eastAsia"/>
                <w:sz w:val="24"/>
              </w:rPr>
              <w:t>4</w:t>
            </w:r>
            <w:r>
              <w:rPr>
                <w:sz w:val="24"/>
              </w:rPr>
              <w:t>。</w:t>
            </w:r>
          </w:p>
          <w:p w14:paraId="2B70C99D">
            <w:pPr>
              <w:autoSpaceDE w:val="0"/>
              <w:autoSpaceDN w:val="0"/>
              <w:adjustRightInd w:val="0"/>
              <w:ind w:firstLine="422" w:firstLineChars="200"/>
              <w:jc w:val="center"/>
              <w:rPr>
                <w:b/>
                <w:szCs w:val="21"/>
              </w:rPr>
            </w:pPr>
            <w:r>
              <w:rPr>
                <w:b/>
                <w:szCs w:val="21"/>
              </w:rPr>
              <w:t>表3-</w:t>
            </w:r>
            <w:r>
              <w:rPr>
                <w:rFonts w:hint="eastAsia"/>
                <w:b/>
                <w:szCs w:val="21"/>
              </w:rPr>
              <w:t>4</w:t>
            </w:r>
            <w:r>
              <w:rPr>
                <w:b/>
                <w:szCs w:val="21"/>
              </w:rPr>
              <w:t xml:space="preserve">  声环境现状监测统计结果</w:t>
            </w:r>
            <w:r>
              <w:rPr>
                <w:rFonts w:hint="eastAsia"/>
                <w:b/>
                <w:szCs w:val="21"/>
              </w:rPr>
              <w:t xml:space="preserve"> </w:t>
            </w:r>
            <w:r>
              <w:rPr>
                <w:b/>
                <w:szCs w:val="21"/>
              </w:rPr>
              <w:t xml:space="preserve">  单位：dB（</w:t>
            </w:r>
            <w:r>
              <w:rPr>
                <w:rFonts w:hint="eastAsia"/>
                <w:b/>
                <w:szCs w:val="21"/>
              </w:rPr>
              <w:t>A</w:t>
            </w:r>
            <w:r>
              <w:rPr>
                <w:b/>
                <w:szCs w:val="21"/>
              </w:rPr>
              <w:t>）</w:t>
            </w:r>
          </w:p>
          <w:p w14:paraId="20F3667A">
            <w:pPr>
              <w:pStyle w:val="19"/>
            </w:pPr>
          </w:p>
          <w:tbl>
            <w:tblPr>
              <w:tblStyle w:val="20"/>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64" w:type="dxa"/>
                <w:bottom w:w="0" w:type="dxa"/>
                <w:right w:w="51" w:type="dxa"/>
              </w:tblCellMar>
            </w:tblPr>
            <w:tblGrid>
              <w:gridCol w:w="4028"/>
              <w:gridCol w:w="1830"/>
              <w:gridCol w:w="922"/>
              <w:gridCol w:w="922"/>
              <w:gridCol w:w="1680"/>
            </w:tblGrid>
            <w:tr w14:paraId="52DCE4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397" w:hRule="atLeast"/>
              </w:trPr>
              <w:tc>
                <w:tcPr>
                  <w:tcW w:w="2146" w:type="pct"/>
                  <w:vMerge w:val="restart"/>
                  <w:tcBorders>
                    <w:top w:val="single" w:color="auto" w:sz="12" w:space="0"/>
                    <w:left w:val="single" w:color="auto" w:sz="12" w:space="0"/>
                    <w:bottom w:val="single" w:color="auto" w:sz="4" w:space="0"/>
                    <w:right w:val="single" w:color="auto" w:sz="4" w:space="0"/>
                    <w:tl2br w:val="nil"/>
                    <w:tr2bl w:val="nil"/>
                  </w:tcBorders>
                  <w:vAlign w:val="center"/>
                </w:tcPr>
                <w:p w14:paraId="34AF1303">
                  <w:pPr>
                    <w:spacing w:line="240" w:lineRule="atLeast"/>
                    <w:jc w:val="center"/>
                    <w:rPr>
                      <w:b/>
                    </w:rPr>
                  </w:pPr>
                  <w:r>
                    <w:rPr>
                      <w:rFonts w:hint="eastAsia"/>
                      <w:b/>
                    </w:rPr>
                    <w:t>点位名称</w:t>
                  </w:r>
                </w:p>
              </w:tc>
              <w:tc>
                <w:tcPr>
                  <w:tcW w:w="975" w:type="pct"/>
                  <w:vMerge w:val="restart"/>
                  <w:tcBorders>
                    <w:top w:val="single" w:color="auto" w:sz="12" w:space="0"/>
                    <w:left w:val="single" w:color="auto" w:sz="4" w:space="0"/>
                    <w:bottom w:val="single" w:color="auto" w:sz="4" w:space="0"/>
                    <w:right w:val="single" w:color="auto" w:sz="4" w:space="0"/>
                    <w:tl2br w:val="nil"/>
                    <w:tr2bl w:val="nil"/>
                  </w:tcBorders>
                  <w:vAlign w:val="center"/>
                </w:tcPr>
                <w:p w14:paraId="3B7938E0">
                  <w:pPr>
                    <w:spacing w:line="240" w:lineRule="atLeast"/>
                    <w:jc w:val="center"/>
                    <w:rPr>
                      <w:b/>
                    </w:rPr>
                  </w:pPr>
                  <w:r>
                    <w:rPr>
                      <w:rFonts w:hint="eastAsia"/>
                      <w:b/>
                    </w:rPr>
                    <w:t>监测内容</w:t>
                  </w:r>
                </w:p>
              </w:tc>
              <w:tc>
                <w:tcPr>
                  <w:tcW w:w="491" w:type="pct"/>
                  <w:vMerge w:val="restart"/>
                  <w:tcBorders>
                    <w:top w:val="single" w:color="auto" w:sz="12" w:space="0"/>
                    <w:left w:val="single" w:color="auto" w:sz="4" w:space="0"/>
                    <w:bottom w:val="single" w:color="auto" w:sz="4" w:space="0"/>
                    <w:right w:val="single" w:color="auto" w:sz="4" w:space="0"/>
                    <w:tl2br w:val="nil"/>
                    <w:tr2bl w:val="nil"/>
                  </w:tcBorders>
                  <w:vAlign w:val="center"/>
                </w:tcPr>
                <w:p w14:paraId="3487BA99">
                  <w:pPr>
                    <w:spacing w:line="240" w:lineRule="atLeast"/>
                    <w:jc w:val="center"/>
                    <w:rPr>
                      <w:b/>
                    </w:rPr>
                  </w:pPr>
                  <w:r>
                    <w:rPr>
                      <w:rFonts w:hint="eastAsia"/>
                      <w:b/>
                    </w:rPr>
                    <w:t>监测</w:t>
                  </w:r>
                </w:p>
                <w:p w14:paraId="560E5586">
                  <w:pPr>
                    <w:spacing w:line="240" w:lineRule="atLeast"/>
                    <w:jc w:val="center"/>
                    <w:rPr>
                      <w:b/>
                    </w:rPr>
                  </w:pPr>
                  <w:r>
                    <w:rPr>
                      <w:rFonts w:hint="eastAsia"/>
                      <w:b/>
                    </w:rPr>
                    <w:t>时段</w:t>
                  </w:r>
                </w:p>
              </w:tc>
              <w:tc>
                <w:tcPr>
                  <w:tcW w:w="491" w:type="pct"/>
                  <w:vMerge w:val="restart"/>
                  <w:tcBorders>
                    <w:top w:val="single" w:color="auto" w:sz="12" w:space="0"/>
                    <w:left w:val="single" w:color="auto" w:sz="4" w:space="0"/>
                    <w:bottom w:val="single" w:color="auto" w:sz="4" w:space="0"/>
                    <w:right w:val="single" w:color="auto" w:sz="4" w:space="0"/>
                    <w:tl2br w:val="nil"/>
                    <w:tr2bl w:val="nil"/>
                  </w:tcBorders>
                  <w:vAlign w:val="center"/>
                </w:tcPr>
                <w:p w14:paraId="7EF3DCA1">
                  <w:pPr>
                    <w:spacing w:line="240" w:lineRule="atLeast"/>
                    <w:jc w:val="center"/>
                    <w:rPr>
                      <w:b/>
                    </w:rPr>
                  </w:pPr>
                  <w:r>
                    <w:rPr>
                      <w:rFonts w:hint="eastAsia"/>
                      <w:b/>
                    </w:rPr>
                    <w:t>标准</w:t>
                  </w:r>
                </w:p>
                <w:p w14:paraId="6C63FC5B">
                  <w:pPr>
                    <w:spacing w:line="240" w:lineRule="atLeast"/>
                    <w:jc w:val="center"/>
                    <w:rPr>
                      <w:b/>
                    </w:rPr>
                  </w:pPr>
                  <w:r>
                    <w:rPr>
                      <w:rFonts w:hint="eastAsia"/>
                      <w:b/>
                    </w:rPr>
                    <w:t>限值</w:t>
                  </w:r>
                </w:p>
              </w:tc>
              <w:tc>
                <w:tcPr>
                  <w:tcW w:w="895" w:type="pct"/>
                  <w:tcBorders>
                    <w:top w:val="single" w:color="auto" w:sz="12" w:space="0"/>
                    <w:left w:val="single" w:color="auto" w:sz="4" w:space="0"/>
                    <w:bottom w:val="single" w:color="auto" w:sz="4" w:space="0"/>
                    <w:right w:val="single" w:color="auto" w:sz="12" w:space="0"/>
                    <w:tl2br w:val="nil"/>
                    <w:tr2bl w:val="nil"/>
                  </w:tcBorders>
                  <w:vAlign w:val="center"/>
                </w:tcPr>
                <w:p w14:paraId="52D5103D">
                  <w:pPr>
                    <w:spacing w:line="240" w:lineRule="atLeast"/>
                    <w:jc w:val="center"/>
                    <w:rPr>
                      <w:b/>
                    </w:rPr>
                  </w:pPr>
                  <w:r>
                    <w:rPr>
                      <w:rFonts w:hint="eastAsia"/>
                      <w:b/>
                    </w:rPr>
                    <w:t>监测结果</w:t>
                  </w:r>
                </w:p>
              </w:tc>
            </w:tr>
            <w:tr w14:paraId="668A2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397" w:hRule="atLeast"/>
              </w:trPr>
              <w:tc>
                <w:tcPr>
                  <w:tcW w:w="2146" w:type="pct"/>
                  <w:vMerge w:val="continue"/>
                  <w:tcBorders>
                    <w:top w:val="single" w:color="auto" w:sz="4" w:space="0"/>
                    <w:left w:val="single" w:color="auto" w:sz="12" w:space="0"/>
                    <w:bottom w:val="single" w:color="auto" w:sz="4" w:space="0"/>
                    <w:right w:val="single" w:color="auto" w:sz="4" w:space="0"/>
                    <w:tl2br w:val="nil"/>
                    <w:tr2bl w:val="nil"/>
                  </w:tcBorders>
                  <w:vAlign w:val="center"/>
                </w:tcPr>
                <w:p w14:paraId="7F3BC09D">
                  <w:pPr>
                    <w:spacing w:line="240" w:lineRule="atLeast"/>
                    <w:jc w:val="center"/>
                    <w:rPr>
                      <w:b/>
                    </w:rPr>
                  </w:pPr>
                </w:p>
              </w:tc>
              <w:tc>
                <w:tcPr>
                  <w:tcW w:w="975"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325935DB">
                  <w:pPr>
                    <w:spacing w:line="240" w:lineRule="atLeast"/>
                    <w:jc w:val="center"/>
                    <w:rPr>
                      <w:b/>
                    </w:rPr>
                  </w:pPr>
                </w:p>
              </w:tc>
              <w:tc>
                <w:tcPr>
                  <w:tcW w:w="491"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2373DEEA">
                  <w:pPr>
                    <w:spacing w:line="240" w:lineRule="atLeast"/>
                    <w:jc w:val="center"/>
                    <w:rPr>
                      <w:b/>
                    </w:rPr>
                  </w:pPr>
                </w:p>
              </w:tc>
              <w:tc>
                <w:tcPr>
                  <w:tcW w:w="491"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2F3B6E02">
                  <w:pPr>
                    <w:spacing w:line="240" w:lineRule="atLeast"/>
                    <w:jc w:val="center"/>
                    <w:rPr>
                      <w:b/>
                    </w:rPr>
                  </w:pPr>
                </w:p>
              </w:tc>
              <w:tc>
                <w:tcPr>
                  <w:tcW w:w="895" w:type="pct"/>
                  <w:tcBorders>
                    <w:top w:val="single" w:color="auto" w:sz="4" w:space="0"/>
                    <w:left w:val="single" w:color="auto" w:sz="4" w:space="0"/>
                    <w:bottom w:val="single" w:color="auto" w:sz="4" w:space="0"/>
                    <w:right w:val="single" w:color="auto" w:sz="12" w:space="0"/>
                    <w:tl2br w:val="nil"/>
                    <w:tr2bl w:val="nil"/>
                  </w:tcBorders>
                  <w:vAlign w:val="center"/>
                </w:tcPr>
                <w:p w14:paraId="15F802A5">
                  <w:pPr>
                    <w:spacing w:line="240" w:lineRule="atLeast"/>
                    <w:jc w:val="center"/>
                    <w:rPr>
                      <w:b/>
                    </w:rPr>
                  </w:pPr>
                  <w:r>
                    <w:rPr>
                      <w:rFonts w:hint="eastAsia"/>
                      <w:b/>
                    </w:rPr>
                    <w:t>2024.10.18</w:t>
                  </w:r>
                </w:p>
              </w:tc>
            </w:tr>
            <w:tr w14:paraId="34B1F6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397" w:hRule="atLeast"/>
              </w:trPr>
              <w:tc>
                <w:tcPr>
                  <w:tcW w:w="2146" w:type="pct"/>
                  <w:vMerge w:val="restart"/>
                  <w:tcBorders>
                    <w:top w:val="single" w:color="auto" w:sz="4" w:space="0"/>
                    <w:left w:val="single" w:color="auto" w:sz="12" w:space="0"/>
                    <w:bottom w:val="single" w:color="auto" w:sz="4" w:space="0"/>
                    <w:right w:val="single" w:color="auto" w:sz="4" w:space="0"/>
                    <w:tl2br w:val="nil"/>
                    <w:tr2bl w:val="nil"/>
                  </w:tcBorders>
                  <w:vAlign w:val="center"/>
                </w:tcPr>
                <w:p w14:paraId="5CBDE98D">
                  <w:pPr>
                    <w:spacing w:line="240" w:lineRule="atLeast"/>
                    <w:jc w:val="center"/>
                  </w:pPr>
                  <w:r>
                    <w:rPr>
                      <w:rFonts w:hint="eastAsia"/>
                    </w:rPr>
                    <w:t>项目厂西侧居民点处（N1）</w:t>
                  </w:r>
                </w:p>
              </w:tc>
              <w:tc>
                <w:tcPr>
                  <w:tcW w:w="975" w:type="pct"/>
                  <w:vMerge w:val="restart"/>
                  <w:tcBorders>
                    <w:top w:val="single" w:color="auto" w:sz="4" w:space="0"/>
                    <w:left w:val="single" w:color="auto" w:sz="4" w:space="0"/>
                    <w:bottom w:val="single" w:color="auto" w:sz="4" w:space="0"/>
                    <w:right w:val="single" w:color="auto" w:sz="4" w:space="0"/>
                    <w:tl2br w:val="nil"/>
                    <w:tr2bl w:val="nil"/>
                  </w:tcBorders>
                  <w:vAlign w:val="center"/>
                </w:tcPr>
                <w:p w14:paraId="7CB5AC46">
                  <w:pPr>
                    <w:spacing w:line="240" w:lineRule="atLeast"/>
                    <w:jc w:val="center"/>
                  </w:pPr>
                  <w:r>
                    <w:rPr>
                      <w:rFonts w:hint="eastAsia"/>
                    </w:rPr>
                    <w:t>声环境噪声</w:t>
                  </w: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609EE267">
                  <w:pPr>
                    <w:spacing w:line="240" w:lineRule="atLeast"/>
                    <w:jc w:val="center"/>
                  </w:pPr>
                  <w:r>
                    <w:rPr>
                      <w:rFonts w:hint="eastAsia"/>
                    </w:rPr>
                    <w:t>昼间</w:t>
                  </w: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4A6075B0">
                  <w:pPr>
                    <w:spacing w:line="240" w:lineRule="atLeast"/>
                    <w:jc w:val="center"/>
                  </w:pPr>
                  <w:r>
                    <w:rPr>
                      <w:rFonts w:hint="eastAsia"/>
                    </w:rPr>
                    <w:t>65</w:t>
                  </w:r>
                </w:p>
              </w:tc>
              <w:tc>
                <w:tcPr>
                  <w:tcW w:w="895" w:type="pct"/>
                  <w:tcBorders>
                    <w:top w:val="single" w:color="auto" w:sz="4" w:space="0"/>
                    <w:left w:val="single" w:color="auto" w:sz="4" w:space="0"/>
                    <w:bottom w:val="single" w:color="auto" w:sz="4" w:space="0"/>
                    <w:right w:val="single" w:color="auto" w:sz="12" w:space="0"/>
                    <w:tl2br w:val="nil"/>
                    <w:tr2bl w:val="nil"/>
                  </w:tcBorders>
                  <w:vAlign w:val="center"/>
                </w:tcPr>
                <w:p w14:paraId="718FCCD5">
                  <w:pPr>
                    <w:spacing w:line="240" w:lineRule="atLeast"/>
                    <w:jc w:val="center"/>
                  </w:pPr>
                  <w:r>
                    <w:rPr>
                      <w:rFonts w:hint="eastAsia"/>
                    </w:rPr>
                    <w:t>50</w:t>
                  </w:r>
                </w:p>
              </w:tc>
            </w:tr>
            <w:tr w14:paraId="3A05F6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397" w:hRule="atLeast"/>
              </w:trPr>
              <w:tc>
                <w:tcPr>
                  <w:tcW w:w="2146" w:type="pct"/>
                  <w:vMerge w:val="continue"/>
                  <w:tcBorders>
                    <w:top w:val="single" w:color="auto" w:sz="4" w:space="0"/>
                    <w:left w:val="single" w:color="auto" w:sz="12" w:space="0"/>
                    <w:bottom w:val="single" w:color="auto" w:sz="4" w:space="0"/>
                    <w:right w:val="single" w:color="auto" w:sz="4" w:space="0"/>
                    <w:tl2br w:val="nil"/>
                    <w:tr2bl w:val="nil"/>
                  </w:tcBorders>
                  <w:vAlign w:val="center"/>
                </w:tcPr>
                <w:p w14:paraId="2A55CDD9">
                  <w:pPr>
                    <w:spacing w:line="240" w:lineRule="atLeast"/>
                    <w:jc w:val="center"/>
                  </w:pPr>
                </w:p>
              </w:tc>
              <w:tc>
                <w:tcPr>
                  <w:tcW w:w="975"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38C6BA3A">
                  <w:pPr>
                    <w:spacing w:line="240" w:lineRule="atLeast"/>
                    <w:jc w:val="center"/>
                  </w:pP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3AE305FB">
                  <w:pPr>
                    <w:spacing w:line="240" w:lineRule="atLeast"/>
                    <w:jc w:val="center"/>
                  </w:pPr>
                  <w:r>
                    <w:rPr>
                      <w:rFonts w:hint="eastAsia"/>
                    </w:rPr>
                    <w:t>夜间</w:t>
                  </w: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32694FE4">
                  <w:pPr>
                    <w:spacing w:line="240" w:lineRule="atLeast"/>
                    <w:jc w:val="center"/>
                  </w:pPr>
                  <w:r>
                    <w:rPr>
                      <w:rFonts w:hint="eastAsia"/>
                    </w:rPr>
                    <w:t>55</w:t>
                  </w:r>
                </w:p>
              </w:tc>
              <w:tc>
                <w:tcPr>
                  <w:tcW w:w="895" w:type="pct"/>
                  <w:tcBorders>
                    <w:top w:val="single" w:color="auto" w:sz="4" w:space="0"/>
                    <w:left w:val="single" w:color="auto" w:sz="4" w:space="0"/>
                    <w:bottom w:val="single" w:color="auto" w:sz="4" w:space="0"/>
                    <w:right w:val="single" w:color="auto" w:sz="12" w:space="0"/>
                    <w:tl2br w:val="nil"/>
                    <w:tr2bl w:val="nil"/>
                  </w:tcBorders>
                  <w:vAlign w:val="center"/>
                </w:tcPr>
                <w:p w14:paraId="0D2AB247">
                  <w:pPr>
                    <w:spacing w:line="240" w:lineRule="atLeast"/>
                    <w:jc w:val="center"/>
                  </w:pPr>
                  <w:r>
                    <w:rPr>
                      <w:rFonts w:hint="eastAsia"/>
                    </w:rPr>
                    <w:t>45</w:t>
                  </w:r>
                </w:p>
              </w:tc>
            </w:tr>
            <w:tr w14:paraId="277CCA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397" w:hRule="atLeast"/>
              </w:trPr>
              <w:tc>
                <w:tcPr>
                  <w:tcW w:w="2146" w:type="pct"/>
                  <w:vMerge w:val="restart"/>
                  <w:tcBorders>
                    <w:top w:val="single" w:color="auto" w:sz="4" w:space="0"/>
                    <w:left w:val="single" w:color="auto" w:sz="12" w:space="0"/>
                    <w:bottom w:val="single" w:color="auto" w:sz="4" w:space="0"/>
                    <w:right w:val="single" w:color="auto" w:sz="4" w:space="0"/>
                    <w:tl2br w:val="nil"/>
                    <w:tr2bl w:val="nil"/>
                  </w:tcBorders>
                  <w:vAlign w:val="center"/>
                </w:tcPr>
                <w:p w14:paraId="11BF3903">
                  <w:pPr>
                    <w:spacing w:line="240" w:lineRule="atLeast"/>
                    <w:jc w:val="center"/>
                  </w:pPr>
                  <w:r>
                    <w:rPr>
                      <w:rFonts w:hint="eastAsia"/>
                    </w:rPr>
                    <w:t>项目厂南侧居民点处（N2）</w:t>
                  </w:r>
                </w:p>
              </w:tc>
              <w:tc>
                <w:tcPr>
                  <w:tcW w:w="975"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6FFADB57">
                  <w:pPr>
                    <w:spacing w:line="240" w:lineRule="atLeast"/>
                    <w:jc w:val="center"/>
                  </w:pP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05BD7BBD">
                  <w:pPr>
                    <w:spacing w:line="240" w:lineRule="atLeast"/>
                    <w:jc w:val="center"/>
                  </w:pPr>
                  <w:r>
                    <w:rPr>
                      <w:rFonts w:hint="eastAsia"/>
                    </w:rPr>
                    <w:t>昼间</w:t>
                  </w: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5140C120">
                  <w:pPr>
                    <w:spacing w:line="240" w:lineRule="atLeast"/>
                    <w:jc w:val="center"/>
                  </w:pPr>
                  <w:r>
                    <w:rPr>
                      <w:rFonts w:hint="eastAsia"/>
                    </w:rPr>
                    <w:t>65</w:t>
                  </w:r>
                </w:p>
              </w:tc>
              <w:tc>
                <w:tcPr>
                  <w:tcW w:w="895" w:type="pct"/>
                  <w:tcBorders>
                    <w:top w:val="single" w:color="auto" w:sz="4" w:space="0"/>
                    <w:left w:val="single" w:color="auto" w:sz="4" w:space="0"/>
                    <w:bottom w:val="single" w:color="auto" w:sz="4" w:space="0"/>
                    <w:right w:val="single" w:color="auto" w:sz="12" w:space="0"/>
                    <w:tl2br w:val="nil"/>
                    <w:tr2bl w:val="nil"/>
                  </w:tcBorders>
                  <w:vAlign w:val="center"/>
                </w:tcPr>
                <w:p w14:paraId="3C3DBCB2">
                  <w:pPr>
                    <w:spacing w:line="240" w:lineRule="atLeast"/>
                    <w:jc w:val="center"/>
                  </w:pPr>
                  <w:r>
                    <w:rPr>
                      <w:rFonts w:hint="eastAsia"/>
                    </w:rPr>
                    <w:t>50</w:t>
                  </w:r>
                </w:p>
              </w:tc>
            </w:tr>
            <w:tr w14:paraId="141927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64" w:type="dxa"/>
                  <w:bottom w:w="0" w:type="dxa"/>
                  <w:right w:w="51" w:type="dxa"/>
                </w:tblCellMar>
              </w:tblPrEx>
              <w:trPr>
                <w:cantSplit/>
                <w:trHeight w:val="397" w:hRule="atLeast"/>
              </w:trPr>
              <w:tc>
                <w:tcPr>
                  <w:tcW w:w="2146" w:type="pct"/>
                  <w:vMerge w:val="continue"/>
                  <w:tcBorders>
                    <w:top w:val="single" w:color="auto" w:sz="4" w:space="0"/>
                    <w:left w:val="single" w:color="auto" w:sz="12" w:space="0"/>
                    <w:bottom w:val="single" w:color="auto" w:sz="4" w:space="0"/>
                    <w:right w:val="single" w:color="auto" w:sz="4" w:space="0"/>
                    <w:tl2br w:val="nil"/>
                    <w:tr2bl w:val="nil"/>
                  </w:tcBorders>
                  <w:vAlign w:val="center"/>
                </w:tcPr>
                <w:p w14:paraId="797F3DB9">
                  <w:pPr>
                    <w:spacing w:line="240" w:lineRule="atLeast"/>
                    <w:jc w:val="center"/>
                  </w:pPr>
                </w:p>
              </w:tc>
              <w:tc>
                <w:tcPr>
                  <w:tcW w:w="975" w:type="pct"/>
                  <w:vMerge w:val="continue"/>
                  <w:tcBorders>
                    <w:top w:val="single" w:color="auto" w:sz="4" w:space="0"/>
                    <w:left w:val="single" w:color="auto" w:sz="4" w:space="0"/>
                    <w:bottom w:val="single" w:color="auto" w:sz="4" w:space="0"/>
                    <w:right w:val="single" w:color="auto" w:sz="4" w:space="0"/>
                    <w:tl2br w:val="nil"/>
                    <w:tr2bl w:val="nil"/>
                  </w:tcBorders>
                  <w:vAlign w:val="center"/>
                </w:tcPr>
                <w:p w14:paraId="216FE050">
                  <w:pPr>
                    <w:spacing w:line="240" w:lineRule="atLeast"/>
                    <w:jc w:val="center"/>
                  </w:pP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5BFD2B83">
                  <w:pPr>
                    <w:spacing w:line="240" w:lineRule="atLeast"/>
                    <w:jc w:val="center"/>
                  </w:pPr>
                  <w:r>
                    <w:rPr>
                      <w:rFonts w:hint="eastAsia"/>
                    </w:rPr>
                    <w:t>夜间</w:t>
                  </w:r>
                </w:p>
              </w:tc>
              <w:tc>
                <w:tcPr>
                  <w:tcW w:w="491" w:type="pct"/>
                  <w:tcBorders>
                    <w:top w:val="single" w:color="auto" w:sz="4" w:space="0"/>
                    <w:left w:val="single" w:color="auto" w:sz="4" w:space="0"/>
                    <w:bottom w:val="single" w:color="auto" w:sz="4" w:space="0"/>
                    <w:right w:val="single" w:color="auto" w:sz="4" w:space="0"/>
                    <w:tl2br w:val="nil"/>
                    <w:tr2bl w:val="nil"/>
                  </w:tcBorders>
                  <w:vAlign w:val="center"/>
                </w:tcPr>
                <w:p w14:paraId="1A7B2140">
                  <w:pPr>
                    <w:spacing w:line="240" w:lineRule="atLeast"/>
                    <w:jc w:val="center"/>
                  </w:pPr>
                  <w:r>
                    <w:rPr>
                      <w:rFonts w:hint="eastAsia"/>
                    </w:rPr>
                    <w:t>55</w:t>
                  </w:r>
                </w:p>
              </w:tc>
              <w:tc>
                <w:tcPr>
                  <w:tcW w:w="895" w:type="pct"/>
                  <w:tcBorders>
                    <w:top w:val="single" w:color="auto" w:sz="4" w:space="0"/>
                    <w:left w:val="single" w:color="auto" w:sz="4" w:space="0"/>
                    <w:bottom w:val="single" w:color="auto" w:sz="4" w:space="0"/>
                    <w:right w:val="single" w:color="auto" w:sz="12" w:space="0"/>
                    <w:tl2br w:val="nil"/>
                    <w:tr2bl w:val="nil"/>
                  </w:tcBorders>
                  <w:vAlign w:val="center"/>
                </w:tcPr>
                <w:p w14:paraId="00B753DE">
                  <w:pPr>
                    <w:spacing w:line="240" w:lineRule="atLeast"/>
                    <w:jc w:val="center"/>
                  </w:pPr>
                  <w:r>
                    <w:rPr>
                      <w:rFonts w:hint="eastAsia"/>
                    </w:rPr>
                    <w:t>50</w:t>
                  </w:r>
                </w:p>
              </w:tc>
            </w:tr>
          </w:tbl>
          <w:p w14:paraId="24053234">
            <w:pPr>
              <w:pStyle w:val="14"/>
            </w:pPr>
          </w:p>
          <w:p w14:paraId="7663BE94">
            <w:pPr>
              <w:pStyle w:val="33"/>
              <w:spacing w:line="360" w:lineRule="auto"/>
              <w:ind w:firstLine="480" w:firstLineChars="200"/>
              <w:rPr>
                <w:rFonts w:hint="eastAsia" w:ascii="Times New Roman" w:hAnsi="宋体" w:cs="Times New Roman"/>
                <w:bCs/>
                <w:color w:val="auto"/>
              </w:rPr>
            </w:pPr>
            <w:r>
              <w:rPr>
                <w:rFonts w:ascii="Times New Roman"/>
                <w:color w:val="auto"/>
              </w:rPr>
              <w:t>监测结果表明，该项目</w:t>
            </w:r>
            <w:r>
              <w:rPr>
                <w:rFonts w:hint="eastAsia" w:ascii="Times New Roman"/>
                <w:color w:val="auto"/>
              </w:rPr>
              <w:t>西、南侧居民点声环境质量监测结果</w:t>
            </w:r>
            <w:r>
              <w:rPr>
                <w:rFonts w:ascii="Times New Roman"/>
                <w:color w:val="auto"/>
              </w:rPr>
              <w:t>满足《声环境质量标准》（GB3096-2008）</w:t>
            </w:r>
            <w:r>
              <w:rPr>
                <w:rFonts w:hint="eastAsia" w:ascii="Times New Roman"/>
                <w:color w:val="auto"/>
                <w:lang w:val="en-US" w:eastAsia="zh-CN"/>
              </w:rPr>
              <w:t>2</w:t>
            </w:r>
            <w:r>
              <w:rPr>
                <w:rFonts w:ascii="Times New Roman"/>
                <w:color w:val="auto"/>
              </w:rPr>
              <w:t>类标准</w:t>
            </w:r>
            <w:r>
              <w:rPr>
                <w:rFonts w:hint="eastAsia" w:ascii="Times New Roman"/>
                <w:color w:val="auto"/>
              </w:rPr>
              <w:t>要求</w:t>
            </w:r>
            <w:r>
              <w:rPr>
                <w:rFonts w:ascii="Times New Roman" w:hAnsi="宋体" w:cs="Times New Roman"/>
                <w:bCs/>
                <w:color w:val="auto"/>
              </w:rPr>
              <w:t>。</w:t>
            </w:r>
          </w:p>
          <w:p w14:paraId="6B933979">
            <w:pPr>
              <w:pStyle w:val="36"/>
              <w:spacing w:before="72"/>
              <w:ind w:firstLine="514"/>
              <w:rPr>
                <w:b/>
              </w:rPr>
            </w:pPr>
            <w:r>
              <w:rPr>
                <w:b/>
                <w:spacing w:val="8"/>
                <w:szCs w:val="24"/>
              </w:rPr>
              <w:t>四、</w:t>
            </w:r>
            <w:r>
              <w:rPr>
                <w:rFonts w:hint="eastAsia"/>
                <w:b/>
              </w:rPr>
              <w:t>生态环境现状</w:t>
            </w:r>
          </w:p>
          <w:p w14:paraId="0A10C960">
            <w:pPr>
              <w:snapToGrid w:val="0"/>
              <w:spacing w:line="360" w:lineRule="auto"/>
              <w:ind w:firstLine="480" w:firstLineChars="200"/>
              <w:rPr>
                <w:b/>
                <w:sz w:val="24"/>
              </w:rPr>
            </w:pPr>
            <w:r>
              <w:rPr>
                <w:rFonts w:hint="eastAsia"/>
                <w:sz w:val="24"/>
              </w:rPr>
              <w:t>项目所处区域属亚热带</w:t>
            </w:r>
            <w:r>
              <w:rPr>
                <w:kern w:val="0"/>
                <w:sz w:val="24"/>
              </w:rPr>
              <w:t>常绿阔叶林</w:t>
            </w:r>
            <w:r>
              <w:rPr>
                <w:rFonts w:hint="eastAsia"/>
                <w:sz w:val="24"/>
              </w:rPr>
              <w:t>地带，区域受人为活动影响较为明显，现有的植被大部分为次生植被和人工植被，有五节芒、狗尾草、一年蓬等杂草丛及少量低矮灌木等次生植被，无重要、珍稀植被存在。</w:t>
            </w:r>
          </w:p>
          <w:p w14:paraId="410A2970">
            <w:pPr>
              <w:pStyle w:val="33"/>
              <w:spacing w:line="360" w:lineRule="auto"/>
              <w:ind w:firstLine="480" w:firstLineChars="200"/>
            </w:pPr>
            <w:r>
              <w:rPr>
                <w:rFonts w:hint="eastAsia"/>
              </w:rPr>
              <w:t>评价范围内受人类生产活动影响明显，区域内陆地主要动物资源为鸟类、两栖类、爬行类、昆虫，未发现有需要特别保护的集中的鸟类繁殖地</w:t>
            </w:r>
          </w:p>
          <w:p w14:paraId="3DE4850E">
            <w:pPr>
              <w:snapToGrid w:val="0"/>
              <w:spacing w:line="360" w:lineRule="auto"/>
              <w:ind w:firstLine="482" w:firstLineChars="200"/>
              <w:rPr>
                <w:b/>
                <w:kern w:val="0"/>
                <w:sz w:val="24"/>
                <w:szCs w:val="20"/>
              </w:rPr>
            </w:pPr>
            <w:r>
              <w:rPr>
                <w:rFonts w:hint="eastAsia"/>
                <w:b/>
                <w:kern w:val="0"/>
                <w:sz w:val="24"/>
                <w:szCs w:val="20"/>
              </w:rPr>
              <w:t>五、地下水和土壤环境质量现状</w:t>
            </w:r>
          </w:p>
          <w:p w14:paraId="02D13BFD">
            <w:pPr>
              <w:adjustRightInd w:val="0"/>
              <w:spacing w:line="360" w:lineRule="auto"/>
              <w:ind w:firstLine="480" w:firstLineChars="200"/>
              <w:rPr>
                <w:sz w:val="24"/>
              </w:rPr>
            </w:pPr>
            <w:r>
              <w:rPr>
                <w:rFonts w:hint="eastAsia"/>
                <w:sz w:val="24"/>
              </w:rPr>
              <w:t>本建设项目行业类别为四十一、电力、热力生产和供应业-91 热力生产和供应工程，</w:t>
            </w:r>
            <w:r>
              <w:rPr>
                <w:sz w:val="24"/>
              </w:rPr>
              <w:t>根据《环境影响评价技术导则 地下水环境》（HJ610-2016）附录A地下水环境影响评价行业分类表可知，本项目属于“</w:t>
            </w:r>
            <w:r>
              <w:rPr>
                <w:rFonts w:hint="eastAsia"/>
                <w:sz w:val="24"/>
              </w:rPr>
              <w:t>U</w:t>
            </w:r>
            <w:r>
              <w:rPr>
                <w:sz w:val="24"/>
              </w:rPr>
              <w:t>-</w:t>
            </w:r>
            <w:r>
              <w:rPr>
                <w:rFonts w:hint="eastAsia"/>
                <w:sz w:val="24"/>
              </w:rPr>
              <w:t>城镇基础设施及房地产</w:t>
            </w:r>
            <w:r>
              <w:rPr>
                <w:sz w:val="24"/>
              </w:rPr>
              <w:t>：</w:t>
            </w:r>
            <w:r>
              <w:rPr>
                <w:rFonts w:hint="eastAsia"/>
                <w:sz w:val="24"/>
              </w:rPr>
              <w:t>142</w:t>
            </w:r>
            <w:r>
              <w:rPr>
                <w:sz w:val="24"/>
              </w:rPr>
              <w:t xml:space="preserve"> </w:t>
            </w:r>
            <w:r>
              <w:rPr>
                <w:rFonts w:hint="eastAsia"/>
                <w:sz w:val="24"/>
              </w:rPr>
              <w:t>热力生产和供应工程</w:t>
            </w:r>
            <w:r>
              <w:rPr>
                <w:sz w:val="24"/>
              </w:rPr>
              <w:t xml:space="preserve"> 其他”，地下水环境影响评价项目类别为Ⅳ类，Ⅳ类建设项目可不开展地下水环境影响评价。</w:t>
            </w:r>
          </w:p>
          <w:p w14:paraId="2FF6FA7B">
            <w:pPr>
              <w:spacing w:line="360" w:lineRule="auto"/>
              <w:ind w:firstLine="480" w:firstLineChars="200"/>
              <w:rPr>
                <w:sz w:val="24"/>
              </w:rPr>
            </w:pPr>
            <w:r>
              <w:rPr>
                <w:rFonts w:hint="eastAsia"/>
                <w:sz w:val="24"/>
              </w:rPr>
              <w:t>根据《环境影响评价技术导则土壤环境（试行）》（HJ964-2018）附录A，本项目属于电力热力燃气及水生产和供应业的其他，为</w:t>
            </w:r>
            <w:r>
              <w:rPr>
                <w:sz w:val="24"/>
              </w:rPr>
              <w:t>Ⅳ</w:t>
            </w:r>
            <w:r>
              <w:rPr>
                <w:rFonts w:hint="eastAsia"/>
                <w:sz w:val="24"/>
              </w:rPr>
              <w:t>项目；土壤</w:t>
            </w:r>
            <w:r>
              <w:rPr>
                <w:sz w:val="24"/>
              </w:rPr>
              <w:t>环境影响评价项目类别为Ⅳ类，Ⅳ类建设项目可不开展</w:t>
            </w:r>
            <w:r>
              <w:rPr>
                <w:rFonts w:hint="eastAsia"/>
                <w:sz w:val="24"/>
              </w:rPr>
              <w:t>土壤</w:t>
            </w:r>
            <w:r>
              <w:rPr>
                <w:sz w:val="24"/>
              </w:rPr>
              <w:t>环境影响评价。</w:t>
            </w:r>
          </w:p>
        </w:tc>
      </w:tr>
      <w:tr w14:paraId="4DB312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vAlign w:val="center"/>
          </w:tcPr>
          <w:p w14:paraId="1C1298BE">
            <w:pPr>
              <w:adjustRightInd w:val="0"/>
              <w:snapToGrid w:val="0"/>
              <w:jc w:val="center"/>
              <w:rPr>
                <w:b/>
                <w:kern w:val="0"/>
                <w:sz w:val="24"/>
              </w:rPr>
            </w:pPr>
            <w:r>
              <w:rPr>
                <w:rFonts w:hint="eastAsia"/>
                <w:b/>
                <w:kern w:val="0"/>
                <w:sz w:val="24"/>
              </w:rPr>
              <w:t>环境</w:t>
            </w:r>
          </w:p>
          <w:p w14:paraId="107A695F">
            <w:pPr>
              <w:adjustRightInd w:val="0"/>
              <w:snapToGrid w:val="0"/>
              <w:jc w:val="center"/>
              <w:rPr>
                <w:b/>
                <w:kern w:val="0"/>
                <w:sz w:val="24"/>
              </w:rPr>
            </w:pPr>
            <w:r>
              <w:rPr>
                <w:rFonts w:hint="eastAsia"/>
                <w:b/>
                <w:kern w:val="0"/>
                <w:sz w:val="24"/>
              </w:rPr>
              <w:t>保护</w:t>
            </w:r>
          </w:p>
          <w:p w14:paraId="43292BC4">
            <w:pPr>
              <w:adjustRightInd w:val="0"/>
              <w:snapToGrid w:val="0"/>
              <w:jc w:val="center"/>
              <w:rPr>
                <w:kern w:val="0"/>
                <w:sz w:val="24"/>
              </w:rPr>
            </w:pPr>
            <w:r>
              <w:rPr>
                <w:rFonts w:hint="eastAsia"/>
                <w:b/>
                <w:kern w:val="0"/>
                <w:sz w:val="24"/>
              </w:rPr>
              <w:t>目标</w:t>
            </w:r>
          </w:p>
        </w:tc>
        <w:tc>
          <w:tcPr>
            <w:tcW w:w="4718" w:type="pct"/>
            <w:vAlign w:val="center"/>
          </w:tcPr>
          <w:p w14:paraId="1D80D845">
            <w:pPr>
              <w:adjustRightInd w:val="0"/>
              <w:snapToGrid w:val="0"/>
              <w:spacing w:line="360" w:lineRule="auto"/>
              <w:ind w:firstLine="482" w:firstLineChars="200"/>
              <w:rPr>
                <w:b/>
                <w:kern w:val="0"/>
                <w:sz w:val="24"/>
              </w:rPr>
            </w:pPr>
            <w:r>
              <w:rPr>
                <w:b/>
                <w:kern w:val="0"/>
                <w:sz w:val="24"/>
              </w:rPr>
              <w:t>一、大气环境保护目标</w:t>
            </w:r>
          </w:p>
          <w:p w14:paraId="72F58F47">
            <w:pPr>
              <w:adjustRightInd w:val="0"/>
              <w:snapToGrid w:val="0"/>
              <w:spacing w:line="360" w:lineRule="auto"/>
              <w:ind w:firstLine="480" w:firstLineChars="200"/>
              <w:rPr>
                <w:kern w:val="0"/>
                <w:sz w:val="24"/>
              </w:rPr>
            </w:pPr>
            <w:r>
              <w:rPr>
                <w:rFonts w:hint="eastAsia"/>
                <w:kern w:val="0"/>
                <w:sz w:val="24"/>
              </w:rPr>
              <w:t>厂界外500m范围内大气环境敏感点主要为居住区、学校等，具体情况见下表，敏感点分布情况见附表3-5及附图2。</w:t>
            </w:r>
          </w:p>
          <w:p w14:paraId="51868A2F">
            <w:pPr>
              <w:autoSpaceDE w:val="0"/>
              <w:autoSpaceDN w:val="0"/>
              <w:adjustRightInd w:val="0"/>
              <w:spacing w:before="120" w:beforeLines="50"/>
              <w:jc w:val="center"/>
              <w:rPr>
                <w:b/>
                <w:kern w:val="0"/>
                <w:szCs w:val="21"/>
              </w:rPr>
            </w:pPr>
            <w:r>
              <w:rPr>
                <w:b/>
                <w:kern w:val="0"/>
                <w:szCs w:val="21"/>
              </w:rPr>
              <w:t>表</w:t>
            </w:r>
            <w:r>
              <w:rPr>
                <w:rFonts w:hint="eastAsia"/>
                <w:b/>
                <w:kern w:val="0"/>
                <w:szCs w:val="21"/>
              </w:rPr>
              <w:t xml:space="preserve">3-5 </w:t>
            </w:r>
            <w:r>
              <w:rPr>
                <w:b/>
                <w:kern w:val="0"/>
                <w:szCs w:val="21"/>
              </w:rPr>
              <w:t xml:space="preserve"> 项目</w:t>
            </w:r>
            <w:r>
              <w:rPr>
                <w:rFonts w:hint="eastAsia"/>
                <w:b/>
                <w:kern w:val="0"/>
                <w:szCs w:val="21"/>
              </w:rPr>
              <w:t>大气</w:t>
            </w:r>
            <w:r>
              <w:rPr>
                <w:b/>
                <w:kern w:val="0"/>
                <w:szCs w:val="21"/>
              </w:rPr>
              <w:t>环境敏感保护目标一览表</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70"/>
              <w:gridCol w:w="1484"/>
              <w:gridCol w:w="1368"/>
              <w:gridCol w:w="1455"/>
              <w:gridCol w:w="785"/>
              <w:gridCol w:w="952"/>
              <w:gridCol w:w="905"/>
              <w:gridCol w:w="1165"/>
            </w:tblGrid>
            <w:tr w14:paraId="5CB0637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677" w:type="pct"/>
                  <w:vMerge w:val="restart"/>
                  <w:shd w:val="clear" w:color="auto" w:fill="auto"/>
                  <w:vAlign w:val="center"/>
                </w:tcPr>
                <w:p w14:paraId="316FFC6D">
                  <w:pPr>
                    <w:autoSpaceDE w:val="0"/>
                    <w:autoSpaceDN w:val="0"/>
                    <w:adjustRightInd w:val="0"/>
                    <w:jc w:val="center"/>
                    <w:rPr>
                      <w:b/>
                      <w:kern w:val="0"/>
                      <w:szCs w:val="21"/>
                    </w:rPr>
                  </w:pPr>
                  <w:r>
                    <w:rPr>
                      <w:b/>
                      <w:kern w:val="0"/>
                      <w:szCs w:val="21"/>
                    </w:rPr>
                    <w:t>名称</w:t>
                  </w:r>
                </w:p>
              </w:tc>
              <w:tc>
                <w:tcPr>
                  <w:tcW w:w="1520" w:type="pct"/>
                  <w:gridSpan w:val="2"/>
                  <w:shd w:val="clear" w:color="auto" w:fill="auto"/>
                  <w:vAlign w:val="center"/>
                </w:tcPr>
                <w:p w14:paraId="3033A2C9">
                  <w:pPr>
                    <w:autoSpaceDE w:val="0"/>
                    <w:autoSpaceDN w:val="0"/>
                    <w:adjustRightInd w:val="0"/>
                    <w:jc w:val="center"/>
                    <w:rPr>
                      <w:b/>
                      <w:kern w:val="0"/>
                      <w:szCs w:val="21"/>
                    </w:rPr>
                  </w:pPr>
                  <w:r>
                    <w:rPr>
                      <w:b/>
                      <w:kern w:val="0"/>
                      <w:szCs w:val="21"/>
                    </w:rPr>
                    <w:t>坐标</w:t>
                  </w:r>
                  <w:r>
                    <w:rPr>
                      <w:rFonts w:hint="eastAsia"/>
                      <w:b/>
                      <w:kern w:val="0"/>
                      <w:szCs w:val="21"/>
                    </w:rPr>
                    <w:t>/m</w:t>
                  </w:r>
                </w:p>
              </w:tc>
              <w:tc>
                <w:tcPr>
                  <w:tcW w:w="775" w:type="pct"/>
                  <w:vMerge w:val="restart"/>
                  <w:shd w:val="clear" w:color="auto" w:fill="auto"/>
                  <w:vAlign w:val="center"/>
                </w:tcPr>
                <w:p w14:paraId="47F8D3E8">
                  <w:pPr>
                    <w:autoSpaceDE w:val="0"/>
                    <w:autoSpaceDN w:val="0"/>
                    <w:adjustRightInd w:val="0"/>
                    <w:jc w:val="center"/>
                    <w:rPr>
                      <w:b/>
                      <w:kern w:val="0"/>
                      <w:szCs w:val="21"/>
                    </w:rPr>
                  </w:pPr>
                  <w:r>
                    <w:rPr>
                      <w:b/>
                      <w:kern w:val="0"/>
                      <w:szCs w:val="21"/>
                    </w:rPr>
                    <w:t>保护对象</w:t>
                  </w:r>
                </w:p>
              </w:tc>
              <w:tc>
                <w:tcPr>
                  <w:tcW w:w="418" w:type="pct"/>
                  <w:vMerge w:val="restart"/>
                  <w:shd w:val="clear" w:color="auto" w:fill="auto"/>
                  <w:vAlign w:val="center"/>
                </w:tcPr>
                <w:p w14:paraId="2FE651C9">
                  <w:pPr>
                    <w:autoSpaceDE w:val="0"/>
                    <w:autoSpaceDN w:val="0"/>
                    <w:adjustRightInd w:val="0"/>
                    <w:jc w:val="center"/>
                    <w:rPr>
                      <w:b/>
                      <w:kern w:val="0"/>
                      <w:szCs w:val="21"/>
                    </w:rPr>
                  </w:pPr>
                  <w:r>
                    <w:rPr>
                      <w:b/>
                      <w:kern w:val="0"/>
                      <w:szCs w:val="21"/>
                    </w:rPr>
                    <w:t>保护内容</w:t>
                  </w:r>
                </w:p>
              </w:tc>
              <w:tc>
                <w:tcPr>
                  <w:tcW w:w="507" w:type="pct"/>
                  <w:vMerge w:val="restart"/>
                  <w:shd w:val="clear" w:color="auto" w:fill="auto"/>
                  <w:vAlign w:val="center"/>
                </w:tcPr>
                <w:p w14:paraId="31DC5214">
                  <w:pPr>
                    <w:autoSpaceDE w:val="0"/>
                    <w:autoSpaceDN w:val="0"/>
                    <w:adjustRightInd w:val="0"/>
                    <w:jc w:val="center"/>
                    <w:rPr>
                      <w:b/>
                      <w:kern w:val="0"/>
                      <w:szCs w:val="21"/>
                    </w:rPr>
                  </w:pPr>
                  <w:r>
                    <w:rPr>
                      <w:b/>
                      <w:kern w:val="0"/>
                      <w:szCs w:val="21"/>
                    </w:rPr>
                    <w:t>环境功能区</w:t>
                  </w:r>
                </w:p>
              </w:tc>
              <w:tc>
                <w:tcPr>
                  <w:tcW w:w="482" w:type="pct"/>
                  <w:vMerge w:val="restart"/>
                  <w:shd w:val="clear" w:color="auto" w:fill="auto"/>
                  <w:vAlign w:val="center"/>
                </w:tcPr>
                <w:p w14:paraId="6C459CBC">
                  <w:pPr>
                    <w:autoSpaceDE w:val="0"/>
                    <w:autoSpaceDN w:val="0"/>
                    <w:adjustRightInd w:val="0"/>
                    <w:jc w:val="center"/>
                    <w:rPr>
                      <w:b/>
                      <w:kern w:val="0"/>
                      <w:szCs w:val="21"/>
                    </w:rPr>
                  </w:pPr>
                  <w:r>
                    <w:rPr>
                      <w:b/>
                      <w:kern w:val="0"/>
                      <w:szCs w:val="21"/>
                    </w:rPr>
                    <w:t>相对厂址方位</w:t>
                  </w:r>
                </w:p>
              </w:tc>
              <w:tc>
                <w:tcPr>
                  <w:tcW w:w="618" w:type="pct"/>
                  <w:vMerge w:val="restart"/>
                  <w:shd w:val="clear" w:color="auto" w:fill="auto"/>
                  <w:vAlign w:val="center"/>
                </w:tcPr>
                <w:p w14:paraId="459ABF79">
                  <w:pPr>
                    <w:autoSpaceDE w:val="0"/>
                    <w:autoSpaceDN w:val="0"/>
                    <w:adjustRightInd w:val="0"/>
                    <w:jc w:val="center"/>
                    <w:rPr>
                      <w:b/>
                      <w:kern w:val="0"/>
                      <w:szCs w:val="21"/>
                    </w:rPr>
                  </w:pPr>
                  <w:r>
                    <w:rPr>
                      <w:b/>
                      <w:kern w:val="0"/>
                      <w:szCs w:val="21"/>
                    </w:rPr>
                    <w:t>相对厂界最近距离</w:t>
                  </w:r>
                  <w:r>
                    <w:rPr>
                      <w:rFonts w:hint="eastAsia"/>
                      <w:b/>
                      <w:kern w:val="0"/>
                      <w:szCs w:val="21"/>
                    </w:rPr>
                    <w:t>/m</w:t>
                  </w:r>
                </w:p>
              </w:tc>
            </w:tr>
            <w:tr w14:paraId="77DBB2A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7" w:type="pct"/>
                  <w:vMerge w:val="continue"/>
                  <w:shd w:val="clear" w:color="auto" w:fill="auto"/>
                  <w:vAlign w:val="center"/>
                </w:tcPr>
                <w:p w14:paraId="75E3C1C3">
                  <w:pPr>
                    <w:autoSpaceDE w:val="0"/>
                    <w:autoSpaceDN w:val="0"/>
                    <w:adjustRightInd w:val="0"/>
                    <w:jc w:val="center"/>
                    <w:rPr>
                      <w:b/>
                      <w:kern w:val="0"/>
                      <w:szCs w:val="21"/>
                    </w:rPr>
                  </w:pPr>
                </w:p>
              </w:tc>
              <w:tc>
                <w:tcPr>
                  <w:tcW w:w="791" w:type="pct"/>
                  <w:shd w:val="clear" w:color="auto" w:fill="auto"/>
                  <w:vAlign w:val="center"/>
                </w:tcPr>
                <w:p w14:paraId="3D8D3C44">
                  <w:pPr>
                    <w:autoSpaceDE w:val="0"/>
                    <w:autoSpaceDN w:val="0"/>
                    <w:adjustRightInd w:val="0"/>
                    <w:jc w:val="center"/>
                    <w:rPr>
                      <w:b/>
                      <w:kern w:val="0"/>
                      <w:szCs w:val="21"/>
                    </w:rPr>
                  </w:pPr>
                  <w:r>
                    <w:rPr>
                      <w:rFonts w:hint="eastAsia"/>
                      <w:b/>
                      <w:kern w:val="0"/>
                      <w:szCs w:val="21"/>
                    </w:rPr>
                    <w:t>X</w:t>
                  </w:r>
                </w:p>
              </w:tc>
              <w:tc>
                <w:tcPr>
                  <w:tcW w:w="728" w:type="pct"/>
                  <w:shd w:val="clear" w:color="auto" w:fill="auto"/>
                  <w:vAlign w:val="center"/>
                </w:tcPr>
                <w:p w14:paraId="6E4DE23A">
                  <w:pPr>
                    <w:autoSpaceDE w:val="0"/>
                    <w:autoSpaceDN w:val="0"/>
                    <w:adjustRightInd w:val="0"/>
                    <w:jc w:val="center"/>
                    <w:rPr>
                      <w:b/>
                      <w:kern w:val="0"/>
                      <w:szCs w:val="21"/>
                    </w:rPr>
                  </w:pPr>
                  <w:r>
                    <w:rPr>
                      <w:rFonts w:hint="eastAsia"/>
                      <w:b/>
                      <w:kern w:val="0"/>
                      <w:szCs w:val="21"/>
                    </w:rPr>
                    <w:t>Y</w:t>
                  </w:r>
                </w:p>
              </w:tc>
              <w:tc>
                <w:tcPr>
                  <w:tcW w:w="775" w:type="pct"/>
                  <w:vMerge w:val="continue"/>
                  <w:shd w:val="clear" w:color="auto" w:fill="auto"/>
                  <w:vAlign w:val="center"/>
                </w:tcPr>
                <w:p w14:paraId="3CECCFFE">
                  <w:pPr>
                    <w:autoSpaceDE w:val="0"/>
                    <w:autoSpaceDN w:val="0"/>
                    <w:adjustRightInd w:val="0"/>
                    <w:jc w:val="center"/>
                    <w:rPr>
                      <w:b/>
                      <w:kern w:val="0"/>
                      <w:szCs w:val="21"/>
                    </w:rPr>
                  </w:pPr>
                </w:p>
              </w:tc>
              <w:tc>
                <w:tcPr>
                  <w:tcW w:w="418" w:type="pct"/>
                  <w:vMerge w:val="continue"/>
                  <w:shd w:val="clear" w:color="auto" w:fill="auto"/>
                  <w:vAlign w:val="center"/>
                </w:tcPr>
                <w:p w14:paraId="63F4261A">
                  <w:pPr>
                    <w:autoSpaceDE w:val="0"/>
                    <w:autoSpaceDN w:val="0"/>
                    <w:adjustRightInd w:val="0"/>
                    <w:jc w:val="center"/>
                    <w:rPr>
                      <w:b/>
                      <w:kern w:val="0"/>
                      <w:szCs w:val="21"/>
                    </w:rPr>
                  </w:pPr>
                </w:p>
              </w:tc>
              <w:tc>
                <w:tcPr>
                  <w:tcW w:w="507" w:type="pct"/>
                  <w:vMerge w:val="continue"/>
                  <w:shd w:val="clear" w:color="auto" w:fill="auto"/>
                  <w:vAlign w:val="center"/>
                </w:tcPr>
                <w:p w14:paraId="2866A3B1">
                  <w:pPr>
                    <w:autoSpaceDE w:val="0"/>
                    <w:autoSpaceDN w:val="0"/>
                    <w:adjustRightInd w:val="0"/>
                    <w:jc w:val="center"/>
                    <w:rPr>
                      <w:b/>
                      <w:kern w:val="0"/>
                      <w:szCs w:val="21"/>
                    </w:rPr>
                  </w:pPr>
                </w:p>
              </w:tc>
              <w:tc>
                <w:tcPr>
                  <w:tcW w:w="482" w:type="pct"/>
                  <w:vMerge w:val="continue"/>
                  <w:shd w:val="clear" w:color="auto" w:fill="auto"/>
                  <w:vAlign w:val="center"/>
                </w:tcPr>
                <w:p w14:paraId="04A27487">
                  <w:pPr>
                    <w:autoSpaceDE w:val="0"/>
                    <w:autoSpaceDN w:val="0"/>
                    <w:adjustRightInd w:val="0"/>
                    <w:jc w:val="center"/>
                    <w:rPr>
                      <w:b/>
                      <w:kern w:val="0"/>
                      <w:szCs w:val="21"/>
                    </w:rPr>
                  </w:pPr>
                </w:p>
              </w:tc>
              <w:tc>
                <w:tcPr>
                  <w:tcW w:w="618" w:type="pct"/>
                  <w:vMerge w:val="continue"/>
                  <w:shd w:val="clear" w:color="auto" w:fill="auto"/>
                  <w:vAlign w:val="center"/>
                </w:tcPr>
                <w:p w14:paraId="675D0D7F">
                  <w:pPr>
                    <w:autoSpaceDE w:val="0"/>
                    <w:autoSpaceDN w:val="0"/>
                    <w:adjustRightInd w:val="0"/>
                    <w:jc w:val="center"/>
                    <w:rPr>
                      <w:b/>
                      <w:kern w:val="0"/>
                      <w:szCs w:val="21"/>
                    </w:rPr>
                  </w:pPr>
                </w:p>
              </w:tc>
            </w:tr>
            <w:tr w14:paraId="000B30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7" w:type="pct"/>
                  <w:shd w:val="clear" w:color="auto" w:fill="auto"/>
                  <w:vAlign w:val="center"/>
                </w:tcPr>
                <w:p w14:paraId="426191A0">
                  <w:pPr>
                    <w:autoSpaceDE w:val="0"/>
                    <w:autoSpaceDN w:val="0"/>
                    <w:adjustRightInd w:val="0"/>
                    <w:jc w:val="center"/>
                    <w:rPr>
                      <w:kern w:val="0"/>
                      <w:szCs w:val="21"/>
                    </w:rPr>
                  </w:pPr>
                  <w:r>
                    <w:rPr>
                      <w:rFonts w:hint="eastAsia"/>
                      <w:kern w:val="0"/>
                      <w:szCs w:val="21"/>
                    </w:rPr>
                    <w:t>豆陂村居民点1</w:t>
                  </w:r>
                </w:p>
              </w:tc>
              <w:tc>
                <w:tcPr>
                  <w:tcW w:w="791" w:type="pct"/>
                  <w:shd w:val="clear" w:color="auto" w:fill="auto"/>
                  <w:vAlign w:val="center"/>
                </w:tcPr>
                <w:p w14:paraId="341C82C3">
                  <w:pPr>
                    <w:autoSpaceDE w:val="0"/>
                    <w:autoSpaceDN w:val="0"/>
                    <w:adjustRightInd w:val="0"/>
                    <w:jc w:val="center"/>
                    <w:rPr>
                      <w:kern w:val="0"/>
                      <w:szCs w:val="21"/>
                    </w:rPr>
                  </w:pPr>
                  <w:r>
                    <w:rPr>
                      <w:rFonts w:hint="eastAsia"/>
                      <w:kern w:val="0"/>
                      <w:szCs w:val="21"/>
                    </w:rPr>
                    <w:t>112.425608°</w:t>
                  </w:r>
                </w:p>
              </w:tc>
              <w:tc>
                <w:tcPr>
                  <w:tcW w:w="728" w:type="pct"/>
                  <w:shd w:val="clear" w:color="auto" w:fill="auto"/>
                  <w:vAlign w:val="center"/>
                </w:tcPr>
                <w:p w14:paraId="44D1524C">
                  <w:pPr>
                    <w:autoSpaceDE w:val="0"/>
                    <w:autoSpaceDN w:val="0"/>
                    <w:adjustRightInd w:val="0"/>
                    <w:jc w:val="center"/>
                    <w:rPr>
                      <w:kern w:val="0"/>
                      <w:szCs w:val="21"/>
                    </w:rPr>
                  </w:pPr>
                  <w:r>
                    <w:rPr>
                      <w:rFonts w:hint="eastAsia"/>
                      <w:kern w:val="0"/>
                      <w:szCs w:val="21"/>
                    </w:rPr>
                    <w:t>26.940005°</w:t>
                  </w:r>
                </w:p>
              </w:tc>
              <w:tc>
                <w:tcPr>
                  <w:tcW w:w="775" w:type="pct"/>
                  <w:shd w:val="clear" w:color="auto" w:fill="auto"/>
                  <w:vAlign w:val="center"/>
                </w:tcPr>
                <w:p w14:paraId="2D4F172F">
                  <w:pPr>
                    <w:autoSpaceDE w:val="0"/>
                    <w:autoSpaceDN w:val="0"/>
                    <w:adjustRightInd w:val="0"/>
                    <w:jc w:val="center"/>
                    <w:rPr>
                      <w:kern w:val="0"/>
                      <w:szCs w:val="21"/>
                    </w:rPr>
                  </w:pPr>
                  <w:r>
                    <w:rPr>
                      <w:rFonts w:hint="eastAsia"/>
                      <w:kern w:val="0"/>
                      <w:szCs w:val="21"/>
                    </w:rPr>
                    <w:t>居民，14户45人</w:t>
                  </w:r>
                </w:p>
              </w:tc>
              <w:tc>
                <w:tcPr>
                  <w:tcW w:w="418" w:type="pct"/>
                  <w:shd w:val="clear" w:color="auto" w:fill="auto"/>
                  <w:vAlign w:val="center"/>
                </w:tcPr>
                <w:p w14:paraId="4E393D4A">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04F12A36">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32ED036E">
                  <w:pPr>
                    <w:autoSpaceDE w:val="0"/>
                    <w:autoSpaceDN w:val="0"/>
                    <w:adjustRightInd w:val="0"/>
                    <w:jc w:val="center"/>
                    <w:rPr>
                      <w:kern w:val="0"/>
                      <w:szCs w:val="21"/>
                    </w:rPr>
                  </w:pPr>
                  <w:r>
                    <w:rPr>
                      <w:rFonts w:hint="eastAsia"/>
                      <w:kern w:val="0"/>
                      <w:szCs w:val="21"/>
                    </w:rPr>
                    <w:t>东北</w:t>
                  </w:r>
                </w:p>
              </w:tc>
              <w:tc>
                <w:tcPr>
                  <w:tcW w:w="618" w:type="pct"/>
                  <w:shd w:val="clear" w:color="auto" w:fill="auto"/>
                  <w:vAlign w:val="center"/>
                </w:tcPr>
                <w:p w14:paraId="49A95413">
                  <w:pPr>
                    <w:autoSpaceDE w:val="0"/>
                    <w:autoSpaceDN w:val="0"/>
                    <w:adjustRightInd w:val="0"/>
                    <w:jc w:val="center"/>
                    <w:rPr>
                      <w:kern w:val="0"/>
                      <w:szCs w:val="21"/>
                    </w:rPr>
                  </w:pPr>
                  <w:r>
                    <w:rPr>
                      <w:rFonts w:hint="eastAsia"/>
                      <w:kern w:val="0"/>
                      <w:szCs w:val="21"/>
                    </w:rPr>
                    <w:t>65-280m</w:t>
                  </w:r>
                </w:p>
              </w:tc>
            </w:tr>
            <w:tr w14:paraId="02B241E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7" w:type="pct"/>
                  <w:shd w:val="clear" w:color="auto" w:fill="auto"/>
                  <w:vAlign w:val="center"/>
                </w:tcPr>
                <w:p w14:paraId="485CD2E9">
                  <w:pPr>
                    <w:autoSpaceDE w:val="0"/>
                    <w:autoSpaceDN w:val="0"/>
                    <w:adjustRightInd w:val="0"/>
                    <w:jc w:val="center"/>
                    <w:rPr>
                      <w:kern w:val="0"/>
                      <w:szCs w:val="21"/>
                    </w:rPr>
                  </w:pPr>
                  <w:r>
                    <w:rPr>
                      <w:rFonts w:hint="eastAsia"/>
                      <w:kern w:val="0"/>
                      <w:szCs w:val="21"/>
                    </w:rPr>
                    <w:t>豆陂村居民点2</w:t>
                  </w:r>
                </w:p>
              </w:tc>
              <w:tc>
                <w:tcPr>
                  <w:tcW w:w="791" w:type="pct"/>
                  <w:shd w:val="clear" w:color="auto" w:fill="auto"/>
                  <w:vAlign w:val="center"/>
                </w:tcPr>
                <w:p w14:paraId="2C1420B2">
                  <w:pPr>
                    <w:autoSpaceDE w:val="0"/>
                    <w:autoSpaceDN w:val="0"/>
                    <w:adjustRightInd w:val="0"/>
                    <w:jc w:val="center"/>
                    <w:rPr>
                      <w:kern w:val="0"/>
                      <w:szCs w:val="21"/>
                    </w:rPr>
                  </w:pPr>
                  <w:r>
                    <w:rPr>
                      <w:rFonts w:hint="eastAsia"/>
                      <w:kern w:val="0"/>
                      <w:szCs w:val="21"/>
                    </w:rPr>
                    <w:t>112.425274°</w:t>
                  </w:r>
                </w:p>
              </w:tc>
              <w:tc>
                <w:tcPr>
                  <w:tcW w:w="728" w:type="pct"/>
                  <w:shd w:val="clear" w:color="auto" w:fill="auto"/>
                  <w:vAlign w:val="center"/>
                </w:tcPr>
                <w:p w14:paraId="1B370AEF">
                  <w:pPr>
                    <w:autoSpaceDE w:val="0"/>
                    <w:autoSpaceDN w:val="0"/>
                    <w:adjustRightInd w:val="0"/>
                    <w:jc w:val="center"/>
                    <w:rPr>
                      <w:kern w:val="0"/>
                      <w:szCs w:val="21"/>
                    </w:rPr>
                  </w:pPr>
                  <w:r>
                    <w:rPr>
                      <w:rFonts w:hint="eastAsia"/>
                      <w:kern w:val="0"/>
                      <w:szCs w:val="21"/>
                    </w:rPr>
                    <w:t>26.939270°</w:t>
                  </w:r>
                </w:p>
              </w:tc>
              <w:tc>
                <w:tcPr>
                  <w:tcW w:w="775" w:type="pct"/>
                  <w:shd w:val="clear" w:color="auto" w:fill="auto"/>
                  <w:vAlign w:val="center"/>
                </w:tcPr>
                <w:p w14:paraId="29AB2421">
                  <w:pPr>
                    <w:autoSpaceDE w:val="0"/>
                    <w:autoSpaceDN w:val="0"/>
                    <w:adjustRightInd w:val="0"/>
                    <w:jc w:val="center"/>
                    <w:rPr>
                      <w:kern w:val="0"/>
                      <w:szCs w:val="21"/>
                    </w:rPr>
                  </w:pPr>
                  <w:r>
                    <w:rPr>
                      <w:rFonts w:hint="eastAsia"/>
                      <w:kern w:val="0"/>
                      <w:szCs w:val="21"/>
                    </w:rPr>
                    <w:t>居民，22户70人</w:t>
                  </w:r>
                </w:p>
              </w:tc>
              <w:tc>
                <w:tcPr>
                  <w:tcW w:w="418" w:type="pct"/>
                  <w:shd w:val="clear" w:color="auto" w:fill="auto"/>
                  <w:vAlign w:val="center"/>
                </w:tcPr>
                <w:p w14:paraId="2595CD66">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7EF57980">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2A430D3A">
                  <w:pPr>
                    <w:autoSpaceDE w:val="0"/>
                    <w:autoSpaceDN w:val="0"/>
                    <w:adjustRightInd w:val="0"/>
                    <w:jc w:val="center"/>
                    <w:rPr>
                      <w:kern w:val="0"/>
                      <w:szCs w:val="21"/>
                    </w:rPr>
                  </w:pPr>
                  <w:r>
                    <w:rPr>
                      <w:rFonts w:hint="eastAsia"/>
                      <w:kern w:val="0"/>
                      <w:szCs w:val="21"/>
                    </w:rPr>
                    <w:t>西</w:t>
                  </w:r>
                </w:p>
              </w:tc>
              <w:tc>
                <w:tcPr>
                  <w:tcW w:w="618" w:type="pct"/>
                  <w:shd w:val="clear" w:color="auto" w:fill="auto"/>
                  <w:vAlign w:val="center"/>
                </w:tcPr>
                <w:p w14:paraId="695F28EF">
                  <w:pPr>
                    <w:autoSpaceDE w:val="0"/>
                    <w:autoSpaceDN w:val="0"/>
                    <w:adjustRightInd w:val="0"/>
                    <w:jc w:val="center"/>
                    <w:rPr>
                      <w:kern w:val="0"/>
                      <w:szCs w:val="21"/>
                    </w:rPr>
                  </w:pPr>
                  <w:r>
                    <w:rPr>
                      <w:rFonts w:hint="eastAsia"/>
                      <w:kern w:val="0"/>
                      <w:szCs w:val="21"/>
                    </w:rPr>
                    <w:t>13-500m</w:t>
                  </w:r>
                </w:p>
              </w:tc>
            </w:tr>
            <w:tr w14:paraId="16B905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7" w:type="pct"/>
                  <w:shd w:val="clear" w:color="auto" w:fill="auto"/>
                  <w:vAlign w:val="center"/>
                </w:tcPr>
                <w:p w14:paraId="0B95FB2E">
                  <w:pPr>
                    <w:autoSpaceDE w:val="0"/>
                    <w:autoSpaceDN w:val="0"/>
                    <w:adjustRightInd w:val="0"/>
                    <w:jc w:val="center"/>
                    <w:rPr>
                      <w:kern w:val="0"/>
                      <w:szCs w:val="21"/>
                    </w:rPr>
                  </w:pPr>
                  <w:r>
                    <w:rPr>
                      <w:rFonts w:hint="eastAsia"/>
                      <w:kern w:val="0"/>
                      <w:szCs w:val="21"/>
                    </w:rPr>
                    <w:t>豆陂村居民点3</w:t>
                  </w:r>
                </w:p>
              </w:tc>
              <w:tc>
                <w:tcPr>
                  <w:tcW w:w="791" w:type="pct"/>
                  <w:shd w:val="clear" w:color="auto" w:fill="auto"/>
                  <w:vAlign w:val="center"/>
                </w:tcPr>
                <w:p w14:paraId="13D1CE29">
                  <w:pPr>
                    <w:autoSpaceDE w:val="0"/>
                    <w:autoSpaceDN w:val="0"/>
                    <w:adjustRightInd w:val="0"/>
                    <w:jc w:val="center"/>
                    <w:rPr>
                      <w:kern w:val="0"/>
                      <w:szCs w:val="21"/>
                    </w:rPr>
                  </w:pPr>
                  <w:r>
                    <w:rPr>
                      <w:rFonts w:hint="eastAsia"/>
                      <w:kern w:val="0"/>
                      <w:szCs w:val="21"/>
                    </w:rPr>
                    <w:t>112.422834°</w:t>
                  </w:r>
                </w:p>
              </w:tc>
              <w:tc>
                <w:tcPr>
                  <w:tcW w:w="728" w:type="pct"/>
                  <w:shd w:val="clear" w:color="auto" w:fill="auto"/>
                  <w:vAlign w:val="center"/>
                </w:tcPr>
                <w:p w14:paraId="72DEB913">
                  <w:pPr>
                    <w:autoSpaceDE w:val="0"/>
                    <w:autoSpaceDN w:val="0"/>
                    <w:adjustRightInd w:val="0"/>
                    <w:jc w:val="center"/>
                    <w:rPr>
                      <w:kern w:val="0"/>
                      <w:szCs w:val="21"/>
                    </w:rPr>
                  </w:pPr>
                  <w:r>
                    <w:rPr>
                      <w:rFonts w:hint="eastAsia"/>
                      <w:kern w:val="0"/>
                      <w:szCs w:val="21"/>
                    </w:rPr>
                    <w:t>26.939329°</w:t>
                  </w:r>
                </w:p>
              </w:tc>
              <w:tc>
                <w:tcPr>
                  <w:tcW w:w="775" w:type="pct"/>
                  <w:shd w:val="clear" w:color="auto" w:fill="auto"/>
                  <w:vAlign w:val="center"/>
                </w:tcPr>
                <w:p w14:paraId="656EF5B7">
                  <w:pPr>
                    <w:autoSpaceDE w:val="0"/>
                    <w:autoSpaceDN w:val="0"/>
                    <w:adjustRightInd w:val="0"/>
                    <w:jc w:val="center"/>
                    <w:rPr>
                      <w:kern w:val="0"/>
                      <w:szCs w:val="21"/>
                    </w:rPr>
                  </w:pPr>
                  <w:r>
                    <w:rPr>
                      <w:rFonts w:hint="eastAsia"/>
                      <w:kern w:val="0"/>
                      <w:szCs w:val="21"/>
                    </w:rPr>
                    <w:t>居民，12户40人</w:t>
                  </w:r>
                </w:p>
              </w:tc>
              <w:tc>
                <w:tcPr>
                  <w:tcW w:w="418" w:type="pct"/>
                  <w:shd w:val="clear" w:color="auto" w:fill="auto"/>
                  <w:vAlign w:val="center"/>
                </w:tcPr>
                <w:p w14:paraId="6CD54D9C">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4E0F5B99">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3E39D539">
                  <w:pPr>
                    <w:autoSpaceDE w:val="0"/>
                    <w:autoSpaceDN w:val="0"/>
                    <w:adjustRightInd w:val="0"/>
                    <w:jc w:val="center"/>
                    <w:rPr>
                      <w:kern w:val="0"/>
                      <w:szCs w:val="21"/>
                    </w:rPr>
                  </w:pPr>
                  <w:r>
                    <w:rPr>
                      <w:rFonts w:hint="eastAsia"/>
                      <w:kern w:val="0"/>
                      <w:szCs w:val="21"/>
                    </w:rPr>
                    <w:t>南</w:t>
                  </w:r>
                </w:p>
              </w:tc>
              <w:tc>
                <w:tcPr>
                  <w:tcW w:w="618" w:type="pct"/>
                  <w:shd w:val="clear" w:color="auto" w:fill="auto"/>
                  <w:vAlign w:val="center"/>
                </w:tcPr>
                <w:p w14:paraId="4BB5C0FA">
                  <w:pPr>
                    <w:autoSpaceDE w:val="0"/>
                    <w:autoSpaceDN w:val="0"/>
                    <w:adjustRightInd w:val="0"/>
                    <w:jc w:val="center"/>
                    <w:rPr>
                      <w:kern w:val="0"/>
                      <w:szCs w:val="21"/>
                    </w:rPr>
                  </w:pPr>
                  <w:r>
                    <w:rPr>
                      <w:rFonts w:hint="eastAsia"/>
                      <w:kern w:val="0"/>
                      <w:szCs w:val="21"/>
                    </w:rPr>
                    <w:t>5-150m</w:t>
                  </w:r>
                </w:p>
              </w:tc>
            </w:tr>
            <w:tr w14:paraId="4BD6822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7" w:type="pct"/>
                  <w:shd w:val="clear" w:color="auto" w:fill="auto"/>
                  <w:vAlign w:val="center"/>
                </w:tcPr>
                <w:p w14:paraId="5311C877">
                  <w:pPr>
                    <w:autoSpaceDE w:val="0"/>
                    <w:autoSpaceDN w:val="0"/>
                    <w:adjustRightInd w:val="0"/>
                    <w:jc w:val="center"/>
                    <w:rPr>
                      <w:kern w:val="0"/>
                      <w:szCs w:val="21"/>
                    </w:rPr>
                  </w:pPr>
                  <w:r>
                    <w:rPr>
                      <w:rFonts w:hint="eastAsia"/>
                      <w:kern w:val="0"/>
                      <w:szCs w:val="21"/>
                    </w:rPr>
                    <w:t>江山村居民点</w:t>
                  </w:r>
                </w:p>
              </w:tc>
              <w:tc>
                <w:tcPr>
                  <w:tcW w:w="791" w:type="pct"/>
                  <w:shd w:val="clear" w:color="auto" w:fill="auto"/>
                  <w:vAlign w:val="center"/>
                </w:tcPr>
                <w:p w14:paraId="6C445AF7">
                  <w:pPr>
                    <w:autoSpaceDE w:val="0"/>
                    <w:autoSpaceDN w:val="0"/>
                    <w:adjustRightInd w:val="0"/>
                    <w:jc w:val="center"/>
                    <w:rPr>
                      <w:kern w:val="0"/>
                      <w:szCs w:val="21"/>
                    </w:rPr>
                  </w:pPr>
                  <w:r>
                    <w:rPr>
                      <w:rFonts w:hint="eastAsia"/>
                      <w:kern w:val="0"/>
                      <w:szCs w:val="21"/>
                    </w:rPr>
                    <w:t>112.426367°</w:t>
                  </w:r>
                </w:p>
              </w:tc>
              <w:tc>
                <w:tcPr>
                  <w:tcW w:w="728" w:type="pct"/>
                  <w:shd w:val="clear" w:color="auto" w:fill="auto"/>
                  <w:vAlign w:val="center"/>
                </w:tcPr>
                <w:p w14:paraId="1562987D">
                  <w:pPr>
                    <w:autoSpaceDE w:val="0"/>
                    <w:autoSpaceDN w:val="0"/>
                    <w:adjustRightInd w:val="0"/>
                    <w:jc w:val="center"/>
                    <w:rPr>
                      <w:kern w:val="0"/>
                      <w:szCs w:val="21"/>
                    </w:rPr>
                  </w:pPr>
                  <w:r>
                    <w:rPr>
                      <w:rFonts w:hint="eastAsia"/>
                      <w:kern w:val="0"/>
                      <w:szCs w:val="21"/>
                    </w:rPr>
                    <w:t>26.943217°</w:t>
                  </w:r>
                </w:p>
              </w:tc>
              <w:tc>
                <w:tcPr>
                  <w:tcW w:w="775" w:type="pct"/>
                  <w:shd w:val="clear" w:color="auto" w:fill="auto"/>
                  <w:vAlign w:val="center"/>
                </w:tcPr>
                <w:p w14:paraId="0280B67A">
                  <w:pPr>
                    <w:autoSpaceDE w:val="0"/>
                    <w:autoSpaceDN w:val="0"/>
                    <w:adjustRightInd w:val="0"/>
                    <w:jc w:val="center"/>
                    <w:rPr>
                      <w:kern w:val="0"/>
                      <w:szCs w:val="21"/>
                    </w:rPr>
                  </w:pPr>
                  <w:r>
                    <w:rPr>
                      <w:rFonts w:hint="eastAsia"/>
                      <w:kern w:val="0"/>
                      <w:szCs w:val="21"/>
                    </w:rPr>
                    <w:t>居民，6户21人</w:t>
                  </w:r>
                </w:p>
              </w:tc>
              <w:tc>
                <w:tcPr>
                  <w:tcW w:w="418" w:type="pct"/>
                  <w:shd w:val="clear" w:color="auto" w:fill="auto"/>
                  <w:vAlign w:val="center"/>
                </w:tcPr>
                <w:p w14:paraId="1EE5093D">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53A0355D">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442C1736">
                  <w:pPr>
                    <w:autoSpaceDE w:val="0"/>
                    <w:autoSpaceDN w:val="0"/>
                    <w:adjustRightInd w:val="0"/>
                    <w:jc w:val="center"/>
                    <w:rPr>
                      <w:kern w:val="0"/>
                      <w:szCs w:val="21"/>
                    </w:rPr>
                  </w:pPr>
                  <w:r>
                    <w:rPr>
                      <w:rFonts w:hint="eastAsia"/>
                      <w:kern w:val="0"/>
                      <w:szCs w:val="21"/>
                    </w:rPr>
                    <w:t>北</w:t>
                  </w:r>
                </w:p>
              </w:tc>
              <w:tc>
                <w:tcPr>
                  <w:tcW w:w="618" w:type="pct"/>
                  <w:shd w:val="clear" w:color="auto" w:fill="auto"/>
                  <w:vAlign w:val="center"/>
                </w:tcPr>
                <w:p w14:paraId="6A835811">
                  <w:pPr>
                    <w:autoSpaceDE w:val="0"/>
                    <w:autoSpaceDN w:val="0"/>
                    <w:adjustRightInd w:val="0"/>
                    <w:jc w:val="center"/>
                    <w:rPr>
                      <w:kern w:val="0"/>
                      <w:szCs w:val="21"/>
                    </w:rPr>
                  </w:pPr>
                  <w:r>
                    <w:rPr>
                      <w:rFonts w:hint="eastAsia"/>
                      <w:kern w:val="0"/>
                      <w:szCs w:val="21"/>
                    </w:rPr>
                    <w:t>396-500m</w:t>
                  </w:r>
                </w:p>
              </w:tc>
            </w:tr>
            <w:tr w14:paraId="35FFA8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7" w:type="pct"/>
                  <w:shd w:val="clear" w:color="auto" w:fill="auto"/>
                  <w:vAlign w:val="center"/>
                </w:tcPr>
                <w:p w14:paraId="7F4B12C9">
                  <w:pPr>
                    <w:autoSpaceDE w:val="0"/>
                    <w:autoSpaceDN w:val="0"/>
                    <w:adjustRightInd w:val="0"/>
                    <w:jc w:val="center"/>
                    <w:rPr>
                      <w:kern w:val="0"/>
                      <w:szCs w:val="21"/>
                    </w:rPr>
                  </w:pPr>
                  <w:r>
                    <w:rPr>
                      <w:rFonts w:hint="eastAsia"/>
                      <w:kern w:val="0"/>
                      <w:szCs w:val="21"/>
                    </w:rPr>
                    <w:t>衡阳医博护理职业学校</w:t>
                  </w:r>
                </w:p>
              </w:tc>
              <w:tc>
                <w:tcPr>
                  <w:tcW w:w="791" w:type="pct"/>
                  <w:shd w:val="clear" w:color="auto" w:fill="auto"/>
                  <w:vAlign w:val="center"/>
                </w:tcPr>
                <w:p w14:paraId="7E1CB150">
                  <w:pPr>
                    <w:autoSpaceDE w:val="0"/>
                    <w:autoSpaceDN w:val="0"/>
                    <w:adjustRightInd w:val="0"/>
                    <w:jc w:val="center"/>
                    <w:rPr>
                      <w:kern w:val="0"/>
                      <w:szCs w:val="21"/>
                    </w:rPr>
                  </w:pPr>
                  <w:r>
                    <w:rPr>
                      <w:rFonts w:hint="eastAsia"/>
                      <w:kern w:val="0"/>
                      <w:szCs w:val="21"/>
                    </w:rPr>
                    <w:t>112.421886°</w:t>
                  </w:r>
                </w:p>
              </w:tc>
              <w:tc>
                <w:tcPr>
                  <w:tcW w:w="728" w:type="pct"/>
                  <w:shd w:val="clear" w:color="auto" w:fill="auto"/>
                  <w:vAlign w:val="center"/>
                </w:tcPr>
                <w:p w14:paraId="2DCB337D">
                  <w:pPr>
                    <w:autoSpaceDE w:val="0"/>
                    <w:autoSpaceDN w:val="0"/>
                    <w:adjustRightInd w:val="0"/>
                    <w:jc w:val="center"/>
                    <w:rPr>
                      <w:kern w:val="0"/>
                      <w:szCs w:val="21"/>
                    </w:rPr>
                  </w:pPr>
                  <w:r>
                    <w:rPr>
                      <w:rFonts w:hint="eastAsia"/>
                    </w:rPr>
                    <w:t>26.939827</w:t>
                  </w:r>
                  <w:r>
                    <w:rPr>
                      <w:rFonts w:hint="eastAsia"/>
                      <w:kern w:val="0"/>
                      <w:szCs w:val="21"/>
                    </w:rPr>
                    <w:t>°</w:t>
                  </w:r>
                </w:p>
              </w:tc>
              <w:tc>
                <w:tcPr>
                  <w:tcW w:w="775" w:type="pct"/>
                  <w:shd w:val="clear" w:color="auto" w:fill="auto"/>
                  <w:vAlign w:val="center"/>
                </w:tcPr>
                <w:p w14:paraId="67830BC3">
                  <w:pPr>
                    <w:autoSpaceDE w:val="0"/>
                    <w:autoSpaceDN w:val="0"/>
                    <w:adjustRightInd w:val="0"/>
                    <w:jc w:val="center"/>
                    <w:rPr>
                      <w:kern w:val="0"/>
                      <w:szCs w:val="21"/>
                    </w:rPr>
                  </w:pPr>
                  <w:r>
                    <w:rPr>
                      <w:rFonts w:hint="eastAsia"/>
                      <w:kern w:val="0"/>
                      <w:szCs w:val="21"/>
                    </w:rPr>
                    <w:t>学校，2000人</w:t>
                  </w:r>
                </w:p>
              </w:tc>
              <w:tc>
                <w:tcPr>
                  <w:tcW w:w="418" w:type="pct"/>
                  <w:shd w:val="clear" w:color="auto" w:fill="auto"/>
                  <w:vAlign w:val="center"/>
                </w:tcPr>
                <w:p w14:paraId="29673160">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76DDFB2D">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3CF9DC3E">
                  <w:pPr>
                    <w:autoSpaceDE w:val="0"/>
                    <w:autoSpaceDN w:val="0"/>
                    <w:adjustRightInd w:val="0"/>
                    <w:jc w:val="center"/>
                    <w:rPr>
                      <w:kern w:val="0"/>
                      <w:szCs w:val="21"/>
                    </w:rPr>
                  </w:pPr>
                  <w:r>
                    <w:rPr>
                      <w:rFonts w:hint="eastAsia"/>
                      <w:kern w:val="0"/>
                      <w:szCs w:val="21"/>
                    </w:rPr>
                    <w:t>西南</w:t>
                  </w:r>
                </w:p>
              </w:tc>
              <w:tc>
                <w:tcPr>
                  <w:tcW w:w="618" w:type="pct"/>
                  <w:shd w:val="clear" w:color="auto" w:fill="auto"/>
                  <w:vAlign w:val="center"/>
                </w:tcPr>
                <w:p w14:paraId="588309C5">
                  <w:pPr>
                    <w:autoSpaceDE w:val="0"/>
                    <w:autoSpaceDN w:val="0"/>
                    <w:adjustRightInd w:val="0"/>
                    <w:jc w:val="center"/>
                    <w:rPr>
                      <w:kern w:val="0"/>
                      <w:szCs w:val="21"/>
                    </w:rPr>
                  </w:pPr>
                  <w:r>
                    <w:rPr>
                      <w:rFonts w:hint="eastAsia"/>
                      <w:kern w:val="0"/>
                      <w:szCs w:val="21"/>
                    </w:rPr>
                    <w:t>112-500m</w:t>
                  </w:r>
                </w:p>
                <w:p w14:paraId="361A9CD7">
                  <w:pPr>
                    <w:autoSpaceDE w:val="0"/>
                    <w:autoSpaceDN w:val="0"/>
                    <w:adjustRightInd w:val="0"/>
                    <w:jc w:val="center"/>
                    <w:rPr>
                      <w:kern w:val="0"/>
                      <w:szCs w:val="21"/>
                    </w:rPr>
                  </w:pPr>
                </w:p>
              </w:tc>
            </w:tr>
            <w:tr w14:paraId="49C00D2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8"/>
                  <w:shd w:val="clear" w:color="auto" w:fill="auto"/>
                  <w:vAlign w:val="center"/>
                </w:tcPr>
                <w:p w14:paraId="2BF0A393">
                  <w:pPr>
                    <w:autoSpaceDE w:val="0"/>
                    <w:autoSpaceDN w:val="0"/>
                    <w:adjustRightInd w:val="0"/>
                    <w:jc w:val="center"/>
                    <w:rPr>
                      <w:kern w:val="0"/>
                      <w:szCs w:val="21"/>
                    </w:rPr>
                  </w:pPr>
                  <w:r>
                    <w:rPr>
                      <w:rFonts w:hint="eastAsia"/>
                      <w:kern w:val="0"/>
                      <w:szCs w:val="21"/>
                    </w:rPr>
                    <w:t>注：500m范围内，衡阳医博护理职业学校涉及区域主要为出入口、不涉及宿舍。</w:t>
                  </w:r>
                </w:p>
              </w:tc>
            </w:tr>
          </w:tbl>
          <w:p w14:paraId="67C56755">
            <w:pPr>
              <w:adjustRightInd w:val="0"/>
              <w:snapToGrid w:val="0"/>
              <w:spacing w:line="360" w:lineRule="auto"/>
              <w:ind w:firstLine="482" w:firstLineChars="200"/>
              <w:rPr>
                <w:b/>
                <w:kern w:val="0"/>
                <w:sz w:val="24"/>
              </w:rPr>
            </w:pPr>
            <w:r>
              <w:rPr>
                <w:b/>
                <w:kern w:val="0"/>
                <w:sz w:val="24"/>
              </w:rPr>
              <w:t>二、水环境保护目标</w:t>
            </w:r>
          </w:p>
          <w:p w14:paraId="1B1A23BD">
            <w:pPr>
              <w:adjustRightInd w:val="0"/>
              <w:snapToGrid w:val="0"/>
              <w:spacing w:line="360" w:lineRule="auto"/>
              <w:ind w:firstLine="480" w:firstLineChars="200"/>
              <w:rPr>
                <w:kern w:val="0"/>
                <w:sz w:val="24"/>
              </w:rPr>
            </w:pPr>
            <w:r>
              <w:rPr>
                <w:kern w:val="0"/>
                <w:sz w:val="24"/>
              </w:rPr>
              <w:t>项目纳污水体为蒸水，本项目具体的地表水环境保护目标详见下表：</w:t>
            </w:r>
          </w:p>
          <w:p w14:paraId="54D9C6CD">
            <w:pPr>
              <w:autoSpaceDE w:val="0"/>
              <w:autoSpaceDN w:val="0"/>
              <w:adjustRightInd w:val="0"/>
              <w:spacing w:before="120" w:beforeLines="50"/>
              <w:jc w:val="center"/>
              <w:rPr>
                <w:b/>
                <w:szCs w:val="21"/>
              </w:rPr>
            </w:pPr>
            <w:r>
              <w:rPr>
                <w:b/>
                <w:kern w:val="0"/>
                <w:szCs w:val="21"/>
              </w:rPr>
              <w:t>表3-</w:t>
            </w:r>
            <w:r>
              <w:rPr>
                <w:rFonts w:hint="eastAsia"/>
                <w:b/>
                <w:kern w:val="0"/>
                <w:szCs w:val="21"/>
              </w:rPr>
              <w:t>6</w:t>
            </w:r>
            <w:r>
              <w:rPr>
                <w:b/>
                <w:kern w:val="0"/>
                <w:szCs w:val="21"/>
              </w:rPr>
              <w:t xml:space="preserve">  地表水环境保护目标一览表</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88"/>
              <w:gridCol w:w="1504"/>
              <w:gridCol w:w="1134"/>
              <w:gridCol w:w="1134"/>
              <w:gridCol w:w="1276"/>
              <w:gridCol w:w="1843"/>
              <w:gridCol w:w="1605"/>
            </w:tblGrid>
            <w:tr w14:paraId="478B0B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73" w:type="pct"/>
                  <w:vAlign w:val="center"/>
                </w:tcPr>
                <w:p w14:paraId="41AC88B4">
                  <w:pPr>
                    <w:spacing w:line="0" w:lineRule="atLeast"/>
                    <w:jc w:val="center"/>
                    <w:rPr>
                      <w:b/>
                      <w:szCs w:val="21"/>
                    </w:rPr>
                  </w:pPr>
                  <w:r>
                    <w:rPr>
                      <w:b/>
                      <w:szCs w:val="21"/>
                    </w:rPr>
                    <w:t>类别</w:t>
                  </w:r>
                </w:p>
              </w:tc>
              <w:tc>
                <w:tcPr>
                  <w:tcW w:w="801" w:type="pct"/>
                  <w:vAlign w:val="center"/>
                </w:tcPr>
                <w:p w14:paraId="13054041">
                  <w:pPr>
                    <w:spacing w:line="0" w:lineRule="atLeast"/>
                    <w:jc w:val="center"/>
                    <w:rPr>
                      <w:b/>
                      <w:szCs w:val="21"/>
                    </w:rPr>
                  </w:pPr>
                  <w:r>
                    <w:rPr>
                      <w:b/>
                      <w:szCs w:val="21"/>
                    </w:rPr>
                    <w:t>保护目标</w:t>
                  </w:r>
                </w:p>
              </w:tc>
              <w:tc>
                <w:tcPr>
                  <w:tcW w:w="604" w:type="pct"/>
                  <w:vAlign w:val="center"/>
                </w:tcPr>
                <w:p w14:paraId="4B7EAF71">
                  <w:pPr>
                    <w:spacing w:line="0" w:lineRule="atLeast"/>
                    <w:ind w:right="-80" w:rightChars="-38"/>
                    <w:jc w:val="center"/>
                    <w:rPr>
                      <w:b/>
                      <w:szCs w:val="21"/>
                    </w:rPr>
                  </w:pPr>
                  <w:r>
                    <w:rPr>
                      <w:b/>
                      <w:szCs w:val="21"/>
                    </w:rPr>
                    <w:t>规模</w:t>
                  </w:r>
                  <w:r>
                    <w:rPr>
                      <w:rFonts w:hint="eastAsia"/>
                      <w:b/>
                      <w:szCs w:val="21"/>
                    </w:rPr>
                    <w:t>/功能</w:t>
                  </w:r>
                </w:p>
              </w:tc>
              <w:tc>
                <w:tcPr>
                  <w:tcW w:w="604" w:type="pct"/>
                  <w:vAlign w:val="center"/>
                </w:tcPr>
                <w:p w14:paraId="561D53DF">
                  <w:pPr>
                    <w:spacing w:line="0" w:lineRule="atLeast"/>
                    <w:jc w:val="center"/>
                    <w:rPr>
                      <w:b/>
                      <w:szCs w:val="21"/>
                    </w:rPr>
                  </w:pPr>
                  <w:r>
                    <w:rPr>
                      <w:b/>
                      <w:szCs w:val="21"/>
                    </w:rPr>
                    <w:t>与项目相对位置</w:t>
                  </w:r>
                </w:p>
              </w:tc>
              <w:tc>
                <w:tcPr>
                  <w:tcW w:w="680" w:type="pct"/>
                  <w:vAlign w:val="center"/>
                </w:tcPr>
                <w:p w14:paraId="3E277957">
                  <w:pPr>
                    <w:spacing w:line="0" w:lineRule="atLeast"/>
                    <w:jc w:val="center"/>
                    <w:rPr>
                      <w:b/>
                      <w:szCs w:val="21"/>
                    </w:rPr>
                  </w:pPr>
                  <w:r>
                    <w:rPr>
                      <w:b/>
                      <w:szCs w:val="21"/>
                    </w:rPr>
                    <w:t>距离项目区最近距离</w:t>
                  </w:r>
                </w:p>
              </w:tc>
              <w:tc>
                <w:tcPr>
                  <w:tcW w:w="982" w:type="pct"/>
                  <w:vAlign w:val="center"/>
                </w:tcPr>
                <w:p w14:paraId="0B66C498">
                  <w:pPr>
                    <w:spacing w:line="0" w:lineRule="atLeast"/>
                    <w:jc w:val="center"/>
                    <w:rPr>
                      <w:b/>
                      <w:szCs w:val="21"/>
                    </w:rPr>
                  </w:pPr>
                  <w:r>
                    <w:rPr>
                      <w:b/>
                      <w:szCs w:val="21"/>
                    </w:rPr>
                    <w:t>执行标准</w:t>
                  </w:r>
                </w:p>
              </w:tc>
              <w:tc>
                <w:tcPr>
                  <w:tcW w:w="855" w:type="pct"/>
                  <w:vAlign w:val="center"/>
                </w:tcPr>
                <w:p w14:paraId="0090A15D">
                  <w:pPr>
                    <w:spacing w:line="0" w:lineRule="atLeast"/>
                    <w:jc w:val="center"/>
                    <w:rPr>
                      <w:b/>
                      <w:szCs w:val="21"/>
                    </w:rPr>
                  </w:pPr>
                  <w:r>
                    <w:rPr>
                      <w:b/>
                      <w:szCs w:val="21"/>
                    </w:rPr>
                    <w:t>有无水力联系</w:t>
                  </w:r>
                </w:p>
              </w:tc>
            </w:tr>
            <w:tr w14:paraId="3377AB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473" w:type="pct"/>
                  <w:vAlign w:val="center"/>
                </w:tcPr>
                <w:p w14:paraId="3C3F8018">
                  <w:pPr>
                    <w:spacing w:line="0" w:lineRule="atLeast"/>
                    <w:ind w:left="-78" w:leftChars="-37" w:right="-86" w:rightChars="-41"/>
                    <w:jc w:val="center"/>
                    <w:rPr>
                      <w:szCs w:val="21"/>
                    </w:rPr>
                  </w:pPr>
                  <w:r>
                    <w:rPr>
                      <w:szCs w:val="21"/>
                    </w:rPr>
                    <w:t>水环境</w:t>
                  </w:r>
                </w:p>
              </w:tc>
              <w:tc>
                <w:tcPr>
                  <w:tcW w:w="801" w:type="pct"/>
                  <w:vAlign w:val="center"/>
                </w:tcPr>
                <w:p w14:paraId="6B21FC72">
                  <w:pPr>
                    <w:jc w:val="center"/>
                    <w:rPr>
                      <w:szCs w:val="21"/>
                    </w:rPr>
                  </w:pPr>
                  <w:r>
                    <w:rPr>
                      <w:szCs w:val="21"/>
                    </w:rPr>
                    <w:t>蒸水</w:t>
                  </w:r>
                  <w:r>
                    <w:rPr>
                      <w:rFonts w:hint="eastAsia"/>
                      <w:szCs w:val="21"/>
                    </w:rPr>
                    <w:t>（英陂拦河坝至湘江入河口段）</w:t>
                  </w:r>
                </w:p>
              </w:tc>
              <w:tc>
                <w:tcPr>
                  <w:tcW w:w="604" w:type="pct"/>
                  <w:vAlign w:val="center"/>
                </w:tcPr>
                <w:p w14:paraId="11DE988E">
                  <w:pPr>
                    <w:ind w:firstLine="27" w:firstLineChars="13"/>
                    <w:jc w:val="center"/>
                    <w:rPr>
                      <w:szCs w:val="21"/>
                    </w:rPr>
                  </w:pPr>
                  <w:r>
                    <w:rPr>
                      <w:szCs w:val="21"/>
                    </w:rPr>
                    <w:t>工业用水区</w:t>
                  </w:r>
                </w:p>
              </w:tc>
              <w:tc>
                <w:tcPr>
                  <w:tcW w:w="604" w:type="pct"/>
                  <w:vAlign w:val="center"/>
                </w:tcPr>
                <w:p w14:paraId="238F2BDF">
                  <w:pPr>
                    <w:jc w:val="center"/>
                    <w:rPr>
                      <w:szCs w:val="21"/>
                    </w:rPr>
                  </w:pPr>
                  <w:r>
                    <w:rPr>
                      <w:szCs w:val="21"/>
                    </w:rPr>
                    <w:t>东南</w:t>
                  </w:r>
                </w:p>
              </w:tc>
              <w:tc>
                <w:tcPr>
                  <w:tcW w:w="680" w:type="pct"/>
                  <w:vAlign w:val="center"/>
                </w:tcPr>
                <w:p w14:paraId="4692CAE6">
                  <w:pPr>
                    <w:jc w:val="center"/>
                    <w:rPr>
                      <w:szCs w:val="21"/>
                    </w:rPr>
                  </w:pPr>
                  <w:r>
                    <w:rPr>
                      <w:rFonts w:hint="eastAsia"/>
                      <w:szCs w:val="21"/>
                    </w:rPr>
                    <w:t>1330m</w:t>
                  </w:r>
                </w:p>
              </w:tc>
              <w:tc>
                <w:tcPr>
                  <w:tcW w:w="982" w:type="pct"/>
                  <w:vAlign w:val="center"/>
                </w:tcPr>
                <w:p w14:paraId="087EBEF0">
                  <w:pPr>
                    <w:spacing w:line="0" w:lineRule="atLeast"/>
                    <w:jc w:val="center"/>
                    <w:rPr>
                      <w:szCs w:val="21"/>
                    </w:rPr>
                  </w:pPr>
                  <w:r>
                    <w:rPr>
                      <w:rFonts w:hint="eastAsia"/>
                      <w:bCs/>
                      <w:szCs w:val="21"/>
                    </w:rPr>
                    <w:t>（GB3838-2002）中Ⅳ类标准</w:t>
                  </w:r>
                </w:p>
              </w:tc>
              <w:tc>
                <w:tcPr>
                  <w:tcW w:w="855" w:type="pct"/>
                  <w:vAlign w:val="center"/>
                </w:tcPr>
                <w:p w14:paraId="016FA774">
                  <w:pPr>
                    <w:spacing w:line="0" w:lineRule="atLeast"/>
                    <w:jc w:val="center"/>
                    <w:rPr>
                      <w:szCs w:val="21"/>
                    </w:rPr>
                  </w:pPr>
                  <w:r>
                    <w:rPr>
                      <w:szCs w:val="21"/>
                    </w:rPr>
                    <w:t>纳污水体</w:t>
                  </w:r>
                </w:p>
              </w:tc>
            </w:tr>
          </w:tbl>
          <w:p w14:paraId="10F4E3CE">
            <w:pPr>
              <w:adjustRightInd w:val="0"/>
              <w:snapToGrid w:val="0"/>
              <w:spacing w:line="360" w:lineRule="auto"/>
              <w:ind w:firstLine="482" w:firstLineChars="200"/>
              <w:rPr>
                <w:b/>
                <w:kern w:val="0"/>
                <w:sz w:val="24"/>
              </w:rPr>
            </w:pPr>
            <w:r>
              <w:rPr>
                <w:rFonts w:hint="eastAsia"/>
                <w:b/>
                <w:kern w:val="0"/>
                <w:sz w:val="24"/>
              </w:rPr>
              <w:t>三、声环境保护目标</w:t>
            </w:r>
          </w:p>
          <w:p w14:paraId="1DD4017C">
            <w:pPr>
              <w:adjustRightInd w:val="0"/>
              <w:snapToGrid w:val="0"/>
              <w:spacing w:line="360" w:lineRule="auto"/>
              <w:ind w:firstLine="480" w:firstLineChars="200"/>
              <w:rPr>
                <w:color w:val="FF0000"/>
                <w:kern w:val="0"/>
                <w:sz w:val="24"/>
              </w:rPr>
            </w:pPr>
            <w:r>
              <w:rPr>
                <w:rFonts w:hint="eastAsia"/>
                <w:kern w:val="0"/>
                <w:sz w:val="24"/>
              </w:rPr>
              <w:t>厂界外50m范围内大气环境敏感点主要为居住区等，具体情况见下表，敏感点分布情况见附表3-7及附图10。</w:t>
            </w:r>
          </w:p>
          <w:p w14:paraId="6949B13F">
            <w:pPr>
              <w:autoSpaceDE w:val="0"/>
              <w:autoSpaceDN w:val="0"/>
              <w:adjustRightInd w:val="0"/>
              <w:spacing w:before="120" w:beforeLines="50"/>
              <w:jc w:val="center"/>
              <w:rPr>
                <w:b/>
                <w:kern w:val="0"/>
                <w:szCs w:val="21"/>
              </w:rPr>
            </w:pPr>
            <w:r>
              <w:rPr>
                <w:b/>
                <w:kern w:val="0"/>
                <w:szCs w:val="21"/>
              </w:rPr>
              <w:t>表</w:t>
            </w:r>
            <w:r>
              <w:rPr>
                <w:rFonts w:hint="eastAsia"/>
                <w:b/>
                <w:kern w:val="0"/>
                <w:szCs w:val="21"/>
              </w:rPr>
              <w:t xml:space="preserve">3-7 </w:t>
            </w:r>
            <w:r>
              <w:rPr>
                <w:b/>
                <w:kern w:val="0"/>
                <w:szCs w:val="21"/>
              </w:rPr>
              <w:t xml:space="preserve"> 项目环境敏感保护目标一览表</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9"/>
              <w:gridCol w:w="1483"/>
              <w:gridCol w:w="1371"/>
              <w:gridCol w:w="1455"/>
              <w:gridCol w:w="785"/>
              <w:gridCol w:w="952"/>
              <w:gridCol w:w="905"/>
              <w:gridCol w:w="1164"/>
            </w:tblGrid>
            <w:tr w14:paraId="1F3912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6" w:type="pct"/>
                  <w:vMerge w:val="restart"/>
                  <w:shd w:val="clear" w:color="auto" w:fill="auto"/>
                  <w:vAlign w:val="center"/>
                </w:tcPr>
                <w:p w14:paraId="4B21B31D">
                  <w:pPr>
                    <w:autoSpaceDE w:val="0"/>
                    <w:autoSpaceDN w:val="0"/>
                    <w:adjustRightInd w:val="0"/>
                    <w:jc w:val="center"/>
                    <w:rPr>
                      <w:b/>
                      <w:kern w:val="0"/>
                      <w:szCs w:val="21"/>
                    </w:rPr>
                  </w:pPr>
                  <w:r>
                    <w:rPr>
                      <w:b/>
                      <w:kern w:val="0"/>
                      <w:szCs w:val="21"/>
                    </w:rPr>
                    <w:t>名称</w:t>
                  </w:r>
                </w:p>
              </w:tc>
              <w:tc>
                <w:tcPr>
                  <w:tcW w:w="1520" w:type="pct"/>
                  <w:gridSpan w:val="2"/>
                  <w:shd w:val="clear" w:color="auto" w:fill="auto"/>
                  <w:vAlign w:val="center"/>
                </w:tcPr>
                <w:p w14:paraId="66E12D02">
                  <w:pPr>
                    <w:autoSpaceDE w:val="0"/>
                    <w:autoSpaceDN w:val="0"/>
                    <w:adjustRightInd w:val="0"/>
                    <w:jc w:val="center"/>
                    <w:rPr>
                      <w:b/>
                      <w:kern w:val="0"/>
                      <w:szCs w:val="21"/>
                    </w:rPr>
                  </w:pPr>
                  <w:r>
                    <w:rPr>
                      <w:b/>
                      <w:kern w:val="0"/>
                      <w:szCs w:val="21"/>
                    </w:rPr>
                    <w:t>坐标</w:t>
                  </w:r>
                  <w:r>
                    <w:rPr>
                      <w:rFonts w:hint="eastAsia"/>
                      <w:b/>
                      <w:kern w:val="0"/>
                      <w:szCs w:val="21"/>
                    </w:rPr>
                    <w:t>/m</w:t>
                  </w:r>
                </w:p>
              </w:tc>
              <w:tc>
                <w:tcPr>
                  <w:tcW w:w="775" w:type="pct"/>
                  <w:vMerge w:val="restart"/>
                  <w:shd w:val="clear" w:color="auto" w:fill="auto"/>
                  <w:vAlign w:val="center"/>
                </w:tcPr>
                <w:p w14:paraId="67889EE2">
                  <w:pPr>
                    <w:autoSpaceDE w:val="0"/>
                    <w:autoSpaceDN w:val="0"/>
                    <w:adjustRightInd w:val="0"/>
                    <w:jc w:val="center"/>
                    <w:rPr>
                      <w:b/>
                      <w:kern w:val="0"/>
                      <w:szCs w:val="21"/>
                    </w:rPr>
                  </w:pPr>
                  <w:r>
                    <w:rPr>
                      <w:b/>
                      <w:kern w:val="0"/>
                      <w:szCs w:val="21"/>
                    </w:rPr>
                    <w:t>保护对象</w:t>
                  </w:r>
                </w:p>
              </w:tc>
              <w:tc>
                <w:tcPr>
                  <w:tcW w:w="418" w:type="pct"/>
                  <w:vMerge w:val="restart"/>
                  <w:shd w:val="clear" w:color="auto" w:fill="auto"/>
                  <w:vAlign w:val="center"/>
                </w:tcPr>
                <w:p w14:paraId="7F443949">
                  <w:pPr>
                    <w:autoSpaceDE w:val="0"/>
                    <w:autoSpaceDN w:val="0"/>
                    <w:adjustRightInd w:val="0"/>
                    <w:jc w:val="center"/>
                    <w:rPr>
                      <w:b/>
                      <w:kern w:val="0"/>
                      <w:szCs w:val="21"/>
                    </w:rPr>
                  </w:pPr>
                  <w:r>
                    <w:rPr>
                      <w:b/>
                      <w:kern w:val="0"/>
                      <w:szCs w:val="21"/>
                    </w:rPr>
                    <w:t>保护内容</w:t>
                  </w:r>
                </w:p>
              </w:tc>
              <w:tc>
                <w:tcPr>
                  <w:tcW w:w="507" w:type="pct"/>
                  <w:vMerge w:val="restart"/>
                  <w:shd w:val="clear" w:color="auto" w:fill="auto"/>
                  <w:vAlign w:val="center"/>
                </w:tcPr>
                <w:p w14:paraId="7756A904">
                  <w:pPr>
                    <w:autoSpaceDE w:val="0"/>
                    <w:autoSpaceDN w:val="0"/>
                    <w:adjustRightInd w:val="0"/>
                    <w:jc w:val="center"/>
                    <w:rPr>
                      <w:b/>
                      <w:kern w:val="0"/>
                      <w:szCs w:val="21"/>
                    </w:rPr>
                  </w:pPr>
                  <w:r>
                    <w:rPr>
                      <w:b/>
                      <w:kern w:val="0"/>
                      <w:szCs w:val="21"/>
                    </w:rPr>
                    <w:t>环境功能区</w:t>
                  </w:r>
                </w:p>
              </w:tc>
              <w:tc>
                <w:tcPr>
                  <w:tcW w:w="482" w:type="pct"/>
                  <w:vMerge w:val="restart"/>
                  <w:shd w:val="clear" w:color="auto" w:fill="auto"/>
                  <w:vAlign w:val="center"/>
                </w:tcPr>
                <w:p w14:paraId="529EF643">
                  <w:pPr>
                    <w:autoSpaceDE w:val="0"/>
                    <w:autoSpaceDN w:val="0"/>
                    <w:adjustRightInd w:val="0"/>
                    <w:jc w:val="center"/>
                    <w:rPr>
                      <w:b/>
                      <w:kern w:val="0"/>
                      <w:szCs w:val="21"/>
                    </w:rPr>
                  </w:pPr>
                  <w:r>
                    <w:rPr>
                      <w:b/>
                      <w:kern w:val="0"/>
                      <w:szCs w:val="21"/>
                    </w:rPr>
                    <w:t>相对厂址方位</w:t>
                  </w:r>
                </w:p>
              </w:tc>
              <w:tc>
                <w:tcPr>
                  <w:tcW w:w="620" w:type="pct"/>
                  <w:vMerge w:val="restart"/>
                  <w:shd w:val="clear" w:color="auto" w:fill="auto"/>
                  <w:vAlign w:val="center"/>
                </w:tcPr>
                <w:p w14:paraId="375A5343">
                  <w:pPr>
                    <w:autoSpaceDE w:val="0"/>
                    <w:autoSpaceDN w:val="0"/>
                    <w:adjustRightInd w:val="0"/>
                    <w:jc w:val="center"/>
                    <w:rPr>
                      <w:b/>
                      <w:kern w:val="0"/>
                      <w:szCs w:val="21"/>
                    </w:rPr>
                  </w:pPr>
                  <w:r>
                    <w:rPr>
                      <w:b/>
                      <w:kern w:val="0"/>
                      <w:szCs w:val="21"/>
                    </w:rPr>
                    <w:t>相对厂界最近距离</w:t>
                  </w:r>
                  <w:r>
                    <w:rPr>
                      <w:rFonts w:hint="eastAsia"/>
                      <w:b/>
                      <w:kern w:val="0"/>
                      <w:szCs w:val="21"/>
                    </w:rPr>
                    <w:t>/m</w:t>
                  </w:r>
                </w:p>
              </w:tc>
            </w:tr>
            <w:tr w14:paraId="54855F1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6" w:type="pct"/>
                  <w:vMerge w:val="continue"/>
                  <w:shd w:val="clear" w:color="auto" w:fill="auto"/>
                  <w:vAlign w:val="center"/>
                </w:tcPr>
                <w:p w14:paraId="6B96C80F">
                  <w:pPr>
                    <w:autoSpaceDE w:val="0"/>
                    <w:autoSpaceDN w:val="0"/>
                    <w:adjustRightInd w:val="0"/>
                    <w:jc w:val="center"/>
                    <w:rPr>
                      <w:b/>
                      <w:kern w:val="0"/>
                      <w:szCs w:val="21"/>
                    </w:rPr>
                  </w:pPr>
                </w:p>
              </w:tc>
              <w:tc>
                <w:tcPr>
                  <w:tcW w:w="790" w:type="pct"/>
                  <w:shd w:val="clear" w:color="auto" w:fill="auto"/>
                  <w:vAlign w:val="center"/>
                </w:tcPr>
                <w:p w14:paraId="1285E4BB">
                  <w:pPr>
                    <w:autoSpaceDE w:val="0"/>
                    <w:autoSpaceDN w:val="0"/>
                    <w:adjustRightInd w:val="0"/>
                    <w:jc w:val="center"/>
                    <w:rPr>
                      <w:b/>
                      <w:kern w:val="0"/>
                      <w:szCs w:val="21"/>
                    </w:rPr>
                  </w:pPr>
                  <w:r>
                    <w:rPr>
                      <w:rFonts w:hint="eastAsia"/>
                      <w:b/>
                      <w:kern w:val="0"/>
                      <w:szCs w:val="21"/>
                    </w:rPr>
                    <w:t>X</w:t>
                  </w:r>
                </w:p>
              </w:tc>
              <w:tc>
                <w:tcPr>
                  <w:tcW w:w="729" w:type="pct"/>
                  <w:shd w:val="clear" w:color="auto" w:fill="auto"/>
                  <w:vAlign w:val="center"/>
                </w:tcPr>
                <w:p w14:paraId="35A4A862">
                  <w:pPr>
                    <w:autoSpaceDE w:val="0"/>
                    <w:autoSpaceDN w:val="0"/>
                    <w:adjustRightInd w:val="0"/>
                    <w:jc w:val="center"/>
                    <w:rPr>
                      <w:b/>
                      <w:kern w:val="0"/>
                      <w:szCs w:val="21"/>
                    </w:rPr>
                  </w:pPr>
                  <w:r>
                    <w:rPr>
                      <w:rFonts w:hint="eastAsia"/>
                      <w:b/>
                      <w:kern w:val="0"/>
                      <w:szCs w:val="21"/>
                    </w:rPr>
                    <w:t>Y</w:t>
                  </w:r>
                </w:p>
              </w:tc>
              <w:tc>
                <w:tcPr>
                  <w:tcW w:w="775" w:type="pct"/>
                  <w:vMerge w:val="continue"/>
                  <w:shd w:val="clear" w:color="auto" w:fill="auto"/>
                  <w:vAlign w:val="center"/>
                </w:tcPr>
                <w:p w14:paraId="08DC9843">
                  <w:pPr>
                    <w:autoSpaceDE w:val="0"/>
                    <w:autoSpaceDN w:val="0"/>
                    <w:adjustRightInd w:val="0"/>
                    <w:jc w:val="center"/>
                    <w:rPr>
                      <w:b/>
                      <w:kern w:val="0"/>
                      <w:szCs w:val="21"/>
                    </w:rPr>
                  </w:pPr>
                </w:p>
              </w:tc>
              <w:tc>
                <w:tcPr>
                  <w:tcW w:w="418" w:type="pct"/>
                  <w:vMerge w:val="continue"/>
                  <w:shd w:val="clear" w:color="auto" w:fill="auto"/>
                  <w:vAlign w:val="center"/>
                </w:tcPr>
                <w:p w14:paraId="11CA01F5">
                  <w:pPr>
                    <w:autoSpaceDE w:val="0"/>
                    <w:autoSpaceDN w:val="0"/>
                    <w:adjustRightInd w:val="0"/>
                    <w:jc w:val="center"/>
                    <w:rPr>
                      <w:b/>
                      <w:kern w:val="0"/>
                      <w:szCs w:val="21"/>
                    </w:rPr>
                  </w:pPr>
                </w:p>
              </w:tc>
              <w:tc>
                <w:tcPr>
                  <w:tcW w:w="507" w:type="pct"/>
                  <w:vMerge w:val="continue"/>
                  <w:shd w:val="clear" w:color="auto" w:fill="auto"/>
                  <w:vAlign w:val="center"/>
                </w:tcPr>
                <w:p w14:paraId="0DB9CFA6">
                  <w:pPr>
                    <w:autoSpaceDE w:val="0"/>
                    <w:autoSpaceDN w:val="0"/>
                    <w:adjustRightInd w:val="0"/>
                    <w:jc w:val="center"/>
                    <w:rPr>
                      <w:b/>
                      <w:kern w:val="0"/>
                      <w:szCs w:val="21"/>
                    </w:rPr>
                  </w:pPr>
                </w:p>
              </w:tc>
              <w:tc>
                <w:tcPr>
                  <w:tcW w:w="482" w:type="pct"/>
                  <w:vMerge w:val="continue"/>
                  <w:shd w:val="clear" w:color="auto" w:fill="auto"/>
                  <w:vAlign w:val="center"/>
                </w:tcPr>
                <w:p w14:paraId="2C5FDD43">
                  <w:pPr>
                    <w:autoSpaceDE w:val="0"/>
                    <w:autoSpaceDN w:val="0"/>
                    <w:adjustRightInd w:val="0"/>
                    <w:jc w:val="center"/>
                    <w:rPr>
                      <w:b/>
                      <w:kern w:val="0"/>
                      <w:szCs w:val="21"/>
                    </w:rPr>
                  </w:pPr>
                </w:p>
              </w:tc>
              <w:tc>
                <w:tcPr>
                  <w:tcW w:w="620" w:type="pct"/>
                  <w:vMerge w:val="continue"/>
                  <w:shd w:val="clear" w:color="auto" w:fill="auto"/>
                  <w:vAlign w:val="center"/>
                </w:tcPr>
                <w:p w14:paraId="74B81187">
                  <w:pPr>
                    <w:autoSpaceDE w:val="0"/>
                    <w:autoSpaceDN w:val="0"/>
                    <w:adjustRightInd w:val="0"/>
                    <w:jc w:val="center"/>
                    <w:rPr>
                      <w:b/>
                      <w:kern w:val="0"/>
                      <w:szCs w:val="21"/>
                    </w:rPr>
                  </w:pPr>
                </w:p>
              </w:tc>
            </w:tr>
            <w:tr w14:paraId="458899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6" w:type="pct"/>
                  <w:shd w:val="clear" w:color="auto" w:fill="auto"/>
                  <w:vAlign w:val="center"/>
                </w:tcPr>
                <w:p w14:paraId="1B9E5A6A">
                  <w:pPr>
                    <w:autoSpaceDE w:val="0"/>
                    <w:autoSpaceDN w:val="0"/>
                    <w:adjustRightInd w:val="0"/>
                    <w:jc w:val="center"/>
                    <w:rPr>
                      <w:kern w:val="0"/>
                      <w:szCs w:val="21"/>
                    </w:rPr>
                  </w:pPr>
                  <w:r>
                    <w:rPr>
                      <w:rFonts w:hint="eastAsia"/>
                      <w:kern w:val="0"/>
                      <w:szCs w:val="21"/>
                    </w:rPr>
                    <w:t>南侧居民点（豆陂村）</w:t>
                  </w:r>
                </w:p>
              </w:tc>
              <w:tc>
                <w:tcPr>
                  <w:tcW w:w="790" w:type="pct"/>
                  <w:shd w:val="clear" w:color="auto" w:fill="auto"/>
                  <w:vAlign w:val="center"/>
                </w:tcPr>
                <w:p w14:paraId="24FF528D">
                  <w:pPr>
                    <w:autoSpaceDE w:val="0"/>
                    <w:autoSpaceDN w:val="0"/>
                    <w:adjustRightInd w:val="0"/>
                    <w:jc w:val="center"/>
                    <w:rPr>
                      <w:kern w:val="0"/>
                      <w:szCs w:val="21"/>
                    </w:rPr>
                  </w:pPr>
                  <w:r>
                    <w:rPr>
                      <w:rFonts w:hint="eastAsia"/>
                      <w:kern w:val="0"/>
                      <w:szCs w:val="21"/>
                    </w:rPr>
                    <w:t>112.425274°</w:t>
                  </w:r>
                </w:p>
              </w:tc>
              <w:tc>
                <w:tcPr>
                  <w:tcW w:w="729" w:type="pct"/>
                  <w:shd w:val="clear" w:color="auto" w:fill="auto"/>
                  <w:vAlign w:val="center"/>
                </w:tcPr>
                <w:p w14:paraId="720EADFB">
                  <w:pPr>
                    <w:autoSpaceDE w:val="0"/>
                    <w:autoSpaceDN w:val="0"/>
                    <w:adjustRightInd w:val="0"/>
                    <w:jc w:val="center"/>
                    <w:rPr>
                      <w:kern w:val="0"/>
                      <w:szCs w:val="21"/>
                    </w:rPr>
                  </w:pPr>
                  <w:r>
                    <w:rPr>
                      <w:rFonts w:hint="eastAsia"/>
                      <w:kern w:val="0"/>
                      <w:szCs w:val="21"/>
                    </w:rPr>
                    <w:t>26.939270°</w:t>
                  </w:r>
                </w:p>
              </w:tc>
              <w:tc>
                <w:tcPr>
                  <w:tcW w:w="775" w:type="pct"/>
                  <w:shd w:val="clear" w:color="auto" w:fill="auto"/>
                  <w:vAlign w:val="center"/>
                </w:tcPr>
                <w:p w14:paraId="38357051">
                  <w:pPr>
                    <w:autoSpaceDE w:val="0"/>
                    <w:autoSpaceDN w:val="0"/>
                    <w:adjustRightInd w:val="0"/>
                    <w:jc w:val="center"/>
                    <w:rPr>
                      <w:kern w:val="0"/>
                      <w:szCs w:val="21"/>
                    </w:rPr>
                  </w:pPr>
                  <w:r>
                    <w:rPr>
                      <w:rFonts w:hint="eastAsia"/>
                      <w:kern w:val="0"/>
                      <w:szCs w:val="21"/>
                    </w:rPr>
                    <w:t>居民，3户10人</w:t>
                  </w:r>
                </w:p>
              </w:tc>
              <w:tc>
                <w:tcPr>
                  <w:tcW w:w="418" w:type="pct"/>
                  <w:shd w:val="clear" w:color="auto" w:fill="auto"/>
                  <w:vAlign w:val="center"/>
                </w:tcPr>
                <w:p w14:paraId="7522B042">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4ED0D634">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3CB6570B">
                  <w:pPr>
                    <w:autoSpaceDE w:val="0"/>
                    <w:autoSpaceDN w:val="0"/>
                    <w:adjustRightInd w:val="0"/>
                    <w:jc w:val="center"/>
                    <w:rPr>
                      <w:kern w:val="0"/>
                      <w:szCs w:val="21"/>
                    </w:rPr>
                  </w:pPr>
                  <w:r>
                    <w:rPr>
                      <w:rFonts w:hint="eastAsia"/>
                      <w:kern w:val="0"/>
                      <w:szCs w:val="21"/>
                    </w:rPr>
                    <w:t>南</w:t>
                  </w:r>
                </w:p>
              </w:tc>
              <w:tc>
                <w:tcPr>
                  <w:tcW w:w="620" w:type="pct"/>
                  <w:shd w:val="clear" w:color="auto" w:fill="auto"/>
                  <w:vAlign w:val="center"/>
                </w:tcPr>
                <w:p w14:paraId="3A3605C8">
                  <w:pPr>
                    <w:autoSpaceDE w:val="0"/>
                    <w:autoSpaceDN w:val="0"/>
                    <w:adjustRightInd w:val="0"/>
                    <w:jc w:val="center"/>
                    <w:rPr>
                      <w:kern w:val="0"/>
                      <w:szCs w:val="21"/>
                    </w:rPr>
                  </w:pPr>
                  <w:r>
                    <w:rPr>
                      <w:rFonts w:hint="eastAsia"/>
                      <w:kern w:val="0"/>
                      <w:szCs w:val="21"/>
                    </w:rPr>
                    <w:t>13</w:t>
                  </w:r>
                </w:p>
              </w:tc>
            </w:tr>
            <w:tr w14:paraId="00A193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6" w:type="pct"/>
                  <w:shd w:val="clear" w:color="auto" w:fill="auto"/>
                  <w:vAlign w:val="center"/>
                </w:tcPr>
                <w:p w14:paraId="247F619F">
                  <w:pPr>
                    <w:autoSpaceDE w:val="0"/>
                    <w:autoSpaceDN w:val="0"/>
                    <w:adjustRightInd w:val="0"/>
                    <w:jc w:val="center"/>
                    <w:rPr>
                      <w:kern w:val="0"/>
                      <w:szCs w:val="21"/>
                    </w:rPr>
                  </w:pPr>
                  <w:r>
                    <w:rPr>
                      <w:rFonts w:hint="eastAsia"/>
                      <w:kern w:val="0"/>
                      <w:szCs w:val="21"/>
                    </w:rPr>
                    <w:t>西侧居民点（豆陂村）</w:t>
                  </w:r>
                </w:p>
              </w:tc>
              <w:tc>
                <w:tcPr>
                  <w:tcW w:w="790" w:type="pct"/>
                  <w:shd w:val="clear" w:color="auto" w:fill="auto"/>
                  <w:vAlign w:val="center"/>
                </w:tcPr>
                <w:p w14:paraId="45D0E8CD">
                  <w:pPr>
                    <w:autoSpaceDE w:val="0"/>
                    <w:autoSpaceDN w:val="0"/>
                    <w:adjustRightInd w:val="0"/>
                    <w:jc w:val="center"/>
                    <w:rPr>
                      <w:kern w:val="0"/>
                      <w:szCs w:val="21"/>
                    </w:rPr>
                  </w:pPr>
                  <w:r>
                    <w:rPr>
                      <w:rFonts w:hint="eastAsia"/>
                      <w:kern w:val="0"/>
                      <w:szCs w:val="21"/>
                    </w:rPr>
                    <w:t>112.422834°</w:t>
                  </w:r>
                </w:p>
              </w:tc>
              <w:tc>
                <w:tcPr>
                  <w:tcW w:w="729" w:type="pct"/>
                  <w:shd w:val="clear" w:color="auto" w:fill="auto"/>
                  <w:vAlign w:val="center"/>
                </w:tcPr>
                <w:p w14:paraId="7A7FEAB8">
                  <w:pPr>
                    <w:autoSpaceDE w:val="0"/>
                    <w:autoSpaceDN w:val="0"/>
                    <w:adjustRightInd w:val="0"/>
                    <w:jc w:val="center"/>
                    <w:rPr>
                      <w:kern w:val="0"/>
                      <w:szCs w:val="21"/>
                    </w:rPr>
                  </w:pPr>
                  <w:r>
                    <w:rPr>
                      <w:rFonts w:hint="eastAsia"/>
                      <w:kern w:val="0"/>
                      <w:szCs w:val="21"/>
                    </w:rPr>
                    <w:t>26.939329°</w:t>
                  </w:r>
                </w:p>
              </w:tc>
              <w:tc>
                <w:tcPr>
                  <w:tcW w:w="775" w:type="pct"/>
                  <w:shd w:val="clear" w:color="auto" w:fill="auto"/>
                  <w:vAlign w:val="center"/>
                </w:tcPr>
                <w:p w14:paraId="185C846A">
                  <w:pPr>
                    <w:autoSpaceDE w:val="0"/>
                    <w:autoSpaceDN w:val="0"/>
                    <w:adjustRightInd w:val="0"/>
                    <w:jc w:val="center"/>
                    <w:rPr>
                      <w:kern w:val="0"/>
                      <w:szCs w:val="21"/>
                    </w:rPr>
                  </w:pPr>
                  <w:r>
                    <w:rPr>
                      <w:rFonts w:hint="eastAsia"/>
                      <w:kern w:val="0"/>
                      <w:szCs w:val="21"/>
                    </w:rPr>
                    <w:t>居民，1户3人</w:t>
                  </w:r>
                </w:p>
              </w:tc>
              <w:tc>
                <w:tcPr>
                  <w:tcW w:w="418" w:type="pct"/>
                  <w:shd w:val="clear" w:color="auto" w:fill="auto"/>
                  <w:vAlign w:val="center"/>
                </w:tcPr>
                <w:p w14:paraId="30509BD1">
                  <w:pPr>
                    <w:autoSpaceDE w:val="0"/>
                    <w:autoSpaceDN w:val="0"/>
                    <w:adjustRightInd w:val="0"/>
                    <w:jc w:val="center"/>
                    <w:rPr>
                      <w:kern w:val="0"/>
                      <w:szCs w:val="21"/>
                    </w:rPr>
                  </w:pPr>
                  <w:r>
                    <w:rPr>
                      <w:kern w:val="0"/>
                      <w:szCs w:val="21"/>
                    </w:rPr>
                    <w:t>人群</w:t>
                  </w:r>
                </w:p>
              </w:tc>
              <w:tc>
                <w:tcPr>
                  <w:tcW w:w="507" w:type="pct"/>
                  <w:shd w:val="clear" w:color="auto" w:fill="auto"/>
                  <w:vAlign w:val="center"/>
                </w:tcPr>
                <w:p w14:paraId="1F767B71">
                  <w:pPr>
                    <w:autoSpaceDE w:val="0"/>
                    <w:autoSpaceDN w:val="0"/>
                    <w:adjustRightInd w:val="0"/>
                    <w:jc w:val="center"/>
                    <w:rPr>
                      <w:kern w:val="0"/>
                      <w:szCs w:val="21"/>
                    </w:rPr>
                  </w:pPr>
                  <w:r>
                    <w:rPr>
                      <w:kern w:val="0"/>
                      <w:szCs w:val="21"/>
                    </w:rPr>
                    <w:t>二类区</w:t>
                  </w:r>
                </w:p>
              </w:tc>
              <w:tc>
                <w:tcPr>
                  <w:tcW w:w="482" w:type="pct"/>
                  <w:shd w:val="clear" w:color="auto" w:fill="auto"/>
                  <w:vAlign w:val="center"/>
                </w:tcPr>
                <w:p w14:paraId="1F6A61B7">
                  <w:pPr>
                    <w:autoSpaceDE w:val="0"/>
                    <w:autoSpaceDN w:val="0"/>
                    <w:adjustRightInd w:val="0"/>
                    <w:jc w:val="center"/>
                    <w:rPr>
                      <w:kern w:val="0"/>
                      <w:szCs w:val="21"/>
                    </w:rPr>
                  </w:pPr>
                  <w:r>
                    <w:rPr>
                      <w:rFonts w:hint="eastAsia"/>
                      <w:kern w:val="0"/>
                      <w:szCs w:val="21"/>
                    </w:rPr>
                    <w:t>西</w:t>
                  </w:r>
                </w:p>
              </w:tc>
              <w:tc>
                <w:tcPr>
                  <w:tcW w:w="620" w:type="pct"/>
                  <w:shd w:val="clear" w:color="auto" w:fill="auto"/>
                  <w:vAlign w:val="center"/>
                </w:tcPr>
                <w:p w14:paraId="4F335DC8">
                  <w:pPr>
                    <w:autoSpaceDE w:val="0"/>
                    <w:autoSpaceDN w:val="0"/>
                    <w:adjustRightInd w:val="0"/>
                    <w:jc w:val="center"/>
                    <w:rPr>
                      <w:kern w:val="0"/>
                      <w:szCs w:val="21"/>
                    </w:rPr>
                  </w:pPr>
                  <w:r>
                    <w:rPr>
                      <w:rFonts w:hint="eastAsia"/>
                      <w:kern w:val="0"/>
                      <w:szCs w:val="21"/>
                    </w:rPr>
                    <w:t>45</w:t>
                  </w:r>
                </w:p>
              </w:tc>
            </w:tr>
          </w:tbl>
          <w:p w14:paraId="519AF709">
            <w:pPr>
              <w:adjustRightInd w:val="0"/>
              <w:snapToGrid w:val="0"/>
              <w:spacing w:line="360" w:lineRule="auto"/>
              <w:ind w:firstLine="482" w:firstLineChars="200"/>
              <w:rPr>
                <w:b/>
                <w:kern w:val="0"/>
                <w:sz w:val="24"/>
              </w:rPr>
            </w:pPr>
            <w:r>
              <w:rPr>
                <w:rFonts w:hint="eastAsia"/>
                <w:b/>
                <w:kern w:val="0"/>
                <w:sz w:val="24"/>
              </w:rPr>
              <w:t>四、其它环境保护目标</w:t>
            </w:r>
          </w:p>
          <w:p w14:paraId="4103E69E">
            <w:pPr>
              <w:adjustRightInd w:val="0"/>
              <w:snapToGrid w:val="0"/>
              <w:spacing w:line="360" w:lineRule="auto"/>
              <w:ind w:firstLine="480" w:firstLineChars="200"/>
              <w:rPr>
                <w:kern w:val="0"/>
                <w:sz w:val="24"/>
              </w:rPr>
            </w:pPr>
            <w:r>
              <w:rPr>
                <w:rFonts w:hint="eastAsia"/>
                <w:kern w:val="0"/>
                <w:sz w:val="24"/>
              </w:rPr>
              <w:t>项目厂界外500m范围内无地下水集中式使用水水源和热水、矿泉水、温泉等特殊地下水资源，无生态环境保护目标。</w:t>
            </w:r>
          </w:p>
        </w:tc>
      </w:tr>
      <w:tr w14:paraId="22DB0B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tcMar>
              <w:left w:w="28" w:type="dxa"/>
              <w:right w:w="28" w:type="dxa"/>
            </w:tcMar>
            <w:vAlign w:val="center"/>
          </w:tcPr>
          <w:p w14:paraId="69CF9C01">
            <w:pPr>
              <w:adjustRightInd w:val="0"/>
              <w:snapToGrid w:val="0"/>
              <w:jc w:val="center"/>
              <w:rPr>
                <w:rFonts w:hint="eastAsia" w:ascii="宋体" w:hAnsi="宋体" w:cs="宋体"/>
                <w:b/>
                <w:kern w:val="0"/>
                <w:sz w:val="24"/>
              </w:rPr>
            </w:pPr>
            <w:r>
              <w:rPr>
                <w:rFonts w:hint="eastAsia" w:ascii="宋体" w:hAnsi="宋体" w:cs="宋体"/>
                <w:b/>
                <w:kern w:val="0"/>
                <w:sz w:val="24"/>
              </w:rPr>
              <w:t>污染</w:t>
            </w:r>
          </w:p>
          <w:p w14:paraId="5CA0B724">
            <w:pPr>
              <w:adjustRightInd w:val="0"/>
              <w:snapToGrid w:val="0"/>
              <w:jc w:val="center"/>
              <w:rPr>
                <w:rFonts w:hint="eastAsia" w:ascii="宋体" w:hAnsi="宋体" w:cs="宋体"/>
                <w:b/>
                <w:kern w:val="0"/>
                <w:sz w:val="24"/>
              </w:rPr>
            </w:pPr>
            <w:r>
              <w:rPr>
                <w:rFonts w:hint="eastAsia" w:ascii="宋体" w:hAnsi="宋体" w:cs="宋体"/>
                <w:b/>
                <w:kern w:val="0"/>
                <w:sz w:val="24"/>
              </w:rPr>
              <w:t>物排</w:t>
            </w:r>
          </w:p>
          <w:p w14:paraId="1C9EC5AF">
            <w:pPr>
              <w:adjustRightInd w:val="0"/>
              <w:snapToGrid w:val="0"/>
              <w:jc w:val="center"/>
              <w:rPr>
                <w:rFonts w:hint="eastAsia" w:ascii="宋体" w:hAnsi="宋体" w:cs="宋体"/>
                <w:b/>
                <w:kern w:val="0"/>
                <w:sz w:val="24"/>
              </w:rPr>
            </w:pPr>
            <w:r>
              <w:rPr>
                <w:rFonts w:hint="eastAsia" w:ascii="宋体" w:hAnsi="宋体" w:cs="宋体"/>
                <w:b/>
                <w:kern w:val="0"/>
                <w:sz w:val="24"/>
              </w:rPr>
              <w:t>放控</w:t>
            </w:r>
          </w:p>
          <w:p w14:paraId="121289BE">
            <w:pPr>
              <w:adjustRightInd w:val="0"/>
              <w:snapToGrid w:val="0"/>
              <w:jc w:val="center"/>
              <w:rPr>
                <w:rFonts w:hint="eastAsia" w:ascii="宋体" w:hAnsi="宋体" w:cs="宋体"/>
                <w:b/>
                <w:kern w:val="0"/>
                <w:sz w:val="24"/>
              </w:rPr>
            </w:pPr>
            <w:r>
              <w:rPr>
                <w:rFonts w:hint="eastAsia" w:ascii="宋体" w:hAnsi="宋体" w:cs="宋体"/>
                <w:b/>
                <w:kern w:val="0"/>
                <w:sz w:val="24"/>
              </w:rPr>
              <w:t>制标</w:t>
            </w:r>
          </w:p>
          <w:p w14:paraId="6C3AF638">
            <w:pPr>
              <w:adjustRightInd w:val="0"/>
              <w:snapToGrid w:val="0"/>
              <w:jc w:val="center"/>
              <w:rPr>
                <w:rFonts w:hint="eastAsia" w:ascii="宋体" w:hAnsi="宋体" w:cs="宋体"/>
                <w:b/>
                <w:kern w:val="0"/>
                <w:sz w:val="24"/>
              </w:rPr>
            </w:pPr>
            <w:r>
              <w:rPr>
                <w:rFonts w:hint="eastAsia" w:ascii="宋体" w:hAnsi="宋体" w:cs="宋体"/>
                <w:b/>
                <w:kern w:val="0"/>
                <w:sz w:val="24"/>
              </w:rPr>
              <w:t>准</w:t>
            </w:r>
          </w:p>
        </w:tc>
        <w:tc>
          <w:tcPr>
            <w:tcW w:w="4718" w:type="pct"/>
            <w:vAlign w:val="center"/>
          </w:tcPr>
          <w:p w14:paraId="2D04A507">
            <w:pPr>
              <w:adjustRightInd w:val="0"/>
              <w:snapToGrid w:val="0"/>
              <w:spacing w:line="360" w:lineRule="auto"/>
              <w:ind w:firstLine="482" w:firstLineChars="200"/>
              <w:rPr>
                <w:rFonts w:hint="eastAsia" w:ascii="宋体" w:hAnsi="宋体" w:cs="宋体"/>
                <w:b/>
                <w:kern w:val="0"/>
                <w:sz w:val="24"/>
              </w:rPr>
            </w:pPr>
            <w:r>
              <w:rPr>
                <w:rFonts w:ascii="宋体" w:hAnsi="宋体" w:cs="宋体"/>
                <w:b/>
                <w:kern w:val="0"/>
                <w:sz w:val="24"/>
              </w:rPr>
              <w:t>一、废气</w:t>
            </w:r>
          </w:p>
          <w:p w14:paraId="263BB990">
            <w:pPr>
              <w:spacing w:line="360" w:lineRule="auto"/>
              <w:ind w:firstLine="482" w:firstLineChars="200"/>
              <w:rPr>
                <w:b/>
                <w:sz w:val="24"/>
                <w:szCs w:val="24"/>
              </w:rPr>
            </w:pPr>
            <w:r>
              <w:rPr>
                <w:b/>
                <w:sz w:val="24"/>
                <w:szCs w:val="24"/>
              </w:rPr>
              <w:t>1、大气污染物</w:t>
            </w:r>
          </w:p>
          <w:p w14:paraId="5C4A8FBE">
            <w:pPr>
              <w:spacing w:line="360" w:lineRule="auto"/>
              <w:ind w:firstLine="480" w:firstLineChars="200"/>
              <w:rPr>
                <w:sz w:val="24"/>
              </w:rPr>
            </w:pPr>
            <w:r>
              <w:rPr>
                <w:bCs/>
                <w:sz w:val="24"/>
              </w:rPr>
              <w:t>①项目施工期产生的无组织粉尘</w:t>
            </w:r>
            <w:r>
              <w:rPr>
                <w:sz w:val="24"/>
                <w:szCs w:val="22"/>
              </w:rPr>
              <w:t>执行《大气污染物综合排放</w:t>
            </w:r>
            <w:r>
              <w:rPr>
                <w:sz w:val="24"/>
              </w:rPr>
              <w:t>标准》（GB16297-1996）表2中的无组织排放浓度监控标准，具体标准值见表3-</w:t>
            </w:r>
            <w:r>
              <w:rPr>
                <w:rFonts w:hint="eastAsia"/>
                <w:sz w:val="24"/>
              </w:rPr>
              <w:t>8</w:t>
            </w:r>
            <w:r>
              <w:rPr>
                <w:sz w:val="24"/>
              </w:rPr>
              <w:t>。</w:t>
            </w:r>
          </w:p>
          <w:p w14:paraId="33796256">
            <w:pPr>
              <w:jc w:val="center"/>
              <w:rPr>
                <w:b/>
                <w:szCs w:val="21"/>
              </w:rPr>
            </w:pPr>
            <w:r>
              <w:rPr>
                <w:b/>
                <w:szCs w:val="21"/>
              </w:rPr>
              <w:t>表3-</w:t>
            </w:r>
            <w:r>
              <w:rPr>
                <w:rFonts w:hint="eastAsia"/>
                <w:b/>
                <w:szCs w:val="21"/>
              </w:rPr>
              <w:t>8</w:t>
            </w:r>
            <w:r>
              <w:rPr>
                <w:b/>
                <w:szCs w:val="21"/>
              </w:rPr>
              <w:t xml:space="preserve"> </w:t>
            </w:r>
            <w:r>
              <w:rPr>
                <w:b/>
                <w:szCs w:val="21"/>
                <w:lang w:val="zh-CN"/>
              </w:rPr>
              <w:t>大气污染物综合排放标准</w:t>
            </w:r>
          </w:p>
          <w:tbl>
            <w:tblPr>
              <w:tblStyle w:val="2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201"/>
              <w:gridCol w:w="7076"/>
            </w:tblGrid>
            <w:tr w14:paraId="6C8E4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201" w:type="dxa"/>
                  <w:vAlign w:val="center"/>
                </w:tcPr>
                <w:p w14:paraId="52BE4FD0">
                  <w:pPr>
                    <w:jc w:val="center"/>
                    <w:rPr>
                      <w:b/>
                      <w:bCs/>
                      <w:szCs w:val="21"/>
                    </w:rPr>
                  </w:pPr>
                  <w:r>
                    <w:rPr>
                      <w:b/>
                      <w:bCs/>
                      <w:szCs w:val="21"/>
                    </w:rPr>
                    <w:t>污染物</w:t>
                  </w:r>
                </w:p>
              </w:tc>
              <w:tc>
                <w:tcPr>
                  <w:tcW w:w="7076" w:type="dxa"/>
                  <w:vAlign w:val="center"/>
                </w:tcPr>
                <w:p w14:paraId="6A08BED8">
                  <w:pPr>
                    <w:jc w:val="center"/>
                    <w:rPr>
                      <w:b/>
                      <w:bCs/>
                      <w:szCs w:val="21"/>
                    </w:rPr>
                  </w:pPr>
                  <w:r>
                    <w:rPr>
                      <w:b/>
                      <w:bCs/>
                      <w:szCs w:val="21"/>
                    </w:rPr>
                    <w:t>无组织排放监控浓度限值浓度（mg/m</w:t>
                  </w:r>
                  <w:r>
                    <w:rPr>
                      <w:b/>
                      <w:bCs/>
                      <w:szCs w:val="21"/>
                      <w:vertAlign w:val="superscript"/>
                    </w:rPr>
                    <w:t>3</w:t>
                  </w:r>
                  <w:r>
                    <w:rPr>
                      <w:b/>
                      <w:bCs/>
                      <w:szCs w:val="21"/>
                    </w:rPr>
                    <w:t>）</w:t>
                  </w:r>
                </w:p>
              </w:tc>
            </w:tr>
            <w:tr w14:paraId="560F85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2201" w:type="dxa"/>
                  <w:vAlign w:val="center"/>
                </w:tcPr>
                <w:p w14:paraId="2A51F358">
                  <w:pPr>
                    <w:jc w:val="center"/>
                    <w:rPr>
                      <w:szCs w:val="21"/>
                    </w:rPr>
                  </w:pPr>
                  <w:r>
                    <w:rPr>
                      <w:szCs w:val="21"/>
                    </w:rPr>
                    <w:t>颗粒物</w:t>
                  </w:r>
                </w:p>
              </w:tc>
              <w:tc>
                <w:tcPr>
                  <w:tcW w:w="7076" w:type="dxa"/>
                  <w:vAlign w:val="center"/>
                </w:tcPr>
                <w:p w14:paraId="24F13F20">
                  <w:pPr>
                    <w:jc w:val="center"/>
                    <w:rPr>
                      <w:szCs w:val="21"/>
                    </w:rPr>
                  </w:pPr>
                  <w:r>
                    <w:rPr>
                      <w:szCs w:val="21"/>
                    </w:rPr>
                    <w:t>1.0</w:t>
                  </w:r>
                </w:p>
              </w:tc>
            </w:tr>
          </w:tbl>
          <w:p w14:paraId="2C7D3435">
            <w:pPr>
              <w:spacing w:line="360" w:lineRule="auto"/>
              <w:ind w:firstLine="480" w:firstLineChars="200"/>
              <w:rPr>
                <w:sz w:val="24"/>
              </w:rPr>
            </w:pPr>
            <w:r>
              <w:rPr>
                <w:sz w:val="24"/>
              </w:rPr>
              <w:t>②</w:t>
            </w:r>
            <w:r>
              <w:rPr>
                <w:rFonts w:hint="eastAsia"/>
                <w:sz w:val="24"/>
              </w:rPr>
              <w:t>本项目锅炉燃料为生物质燃料，锅炉废气排放参照《锅炉大气污染物排放标准》（GB13271-2014）表2中燃煤锅炉标准要求。</w:t>
            </w:r>
            <w:r>
              <w:rPr>
                <w:sz w:val="24"/>
              </w:rPr>
              <w:t>排放限值详见表3-</w:t>
            </w:r>
            <w:r>
              <w:rPr>
                <w:rFonts w:hint="eastAsia"/>
                <w:sz w:val="24"/>
              </w:rPr>
              <w:t>9</w:t>
            </w:r>
            <w:r>
              <w:rPr>
                <w:sz w:val="24"/>
              </w:rPr>
              <w:t>。</w:t>
            </w:r>
          </w:p>
          <w:p w14:paraId="5A4897CA">
            <w:pPr>
              <w:jc w:val="center"/>
              <w:rPr>
                <w:b/>
                <w:bCs/>
                <w:szCs w:val="21"/>
              </w:rPr>
            </w:pPr>
            <w:r>
              <w:rPr>
                <w:b/>
                <w:bCs/>
                <w:szCs w:val="21"/>
              </w:rPr>
              <w:t>表3-</w:t>
            </w:r>
            <w:r>
              <w:rPr>
                <w:rFonts w:hint="eastAsia"/>
                <w:b/>
                <w:bCs/>
                <w:szCs w:val="21"/>
              </w:rPr>
              <w:t>9</w:t>
            </w:r>
            <w:r>
              <w:rPr>
                <w:b/>
                <w:bCs/>
                <w:szCs w:val="21"/>
              </w:rPr>
              <w:t xml:space="preserve"> </w:t>
            </w:r>
            <w:r>
              <w:rPr>
                <w:rFonts w:hint="eastAsia"/>
                <w:b/>
                <w:bCs/>
                <w:szCs w:val="21"/>
              </w:rPr>
              <w:t>锅炉大气污染物排放浓度限值  单位：mg/m</w:t>
            </w:r>
            <w:r>
              <w:rPr>
                <w:rFonts w:hint="eastAsia"/>
                <w:b/>
                <w:bCs/>
                <w:szCs w:val="21"/>
                <w:vertAlign w:val="superscript"/>
              </w:rPr>
              <w:t>3</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1"/>
              <w:gridCol w:w="2967"/>
              <w:gridCol w:w="2351"/>
              <w:gridCol w:w="2351"/>
            </w:tblGrid>
            <w:tr w14:paraId="79506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1" w:type="pct"/>
                  <w:vAlign w:val="center"/>
                </w:tcPr>
                <w:p w14:paraId="2DF4059D">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锅炉类型</w:t>
                  </w:r>
                </w:p>
              </w:tc>
              <w:tc>
                <w:tcPr>
                  <w:tcW w:w="1578" w:type="pct"/>
                  <w:vAlign w:val="center"/>
                </w:tcPr>
                <w:p w14:paraId="05881ABA">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污染物项目</w:t>
                  </w:r>
                </w:p>
              </w:tc>
              <w:tc>
                <w:tcPr>
                  <w:tcW w:w="1250" w:type="pct"/>
                  <w:vAlign w:val="center"/>
                </w:tcPr>
                <w:p w14:paraId="5175F802">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标准值</w:t>
                  </w:r>
                </w:p>
              </w:tc>
              <w:tc>
                <w:tcPr>
                  <w:tcW w:w="1250" w:type="pct"/>
                  <w:vAlign w:val="center"/>
                </w:tcPr>
                <w:p w14:paraId="35B84589">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污染物排放监控位置</w:t>
                  </w:r>
                </w:p>
              </w:tc>
            </w:tr>
            <w:tr w14:paraId="681E6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1" w:type="pct"/>
                  <w:vMerge w:val="restart"/>
                  <w:vAlign w:val="center"/>
                </w:tcPr>
                <w:p w14:paraId="1C72318E">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燃煤锅炉</w:t>
                  </w:r>
                </w:p>
              </w:tc>
              <w:tc>
                <w:tcPr>
                  <w:tcW w:w="1578" w:type="pct"/>
                  <w:vAlign w:val="center"/>
                </w:tcPr>
                <w:p w14:paraId="63E3DF70">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烟尘</w:t>
                  </w:r>
                </w:p>
              </w:tc>
              <w:tc>
                <w:tcPr>
                  <w:tcW w:w="1250" w:type="pct"/>
                  <w:vAlign w:val="center"/>
                </w:tcPr>
                <w:p w14:paraId="37FFB723">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1250" w:type="pct"/>
                  <w:vMerge w:val="restart"/>
                  <w:vAlign w:val="center"/>
                </w:tcPr>
                <w:p w14:paraId="68217F52">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烟囱或烟道</w:t>
                  </w:r>
                </w:p>
              </w:tc>
            </w:tr>
            <w:tr w14:paraId="7C6DF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1" w:type="pct"/>
                  <w:vMerge w:val="continue"/>
                  <w:vAlign w:val="center"/>
                </w:tcPr>
                <w:p w14:paraId="70CF8EE2">
                  <w:pPr>
                    <w:pStyle w:val="32"/>
                    <w:rPr>
                      <w:color w:val="000000" w:themeColor="text1"/>
                      <w14:textFill>
                        <w14:solidFill>
                          <w14:schemeClr w14:val="tx1"/>
                        </w14:solidFill>
                      </w14:textFill>
                    </w:rPr>
                  </w:pPr>
                </w:p>
              </w:tc>
              <w:tc>
                <w:tcPr>
                  <w:tcW w:w="1578" w:type="pct"/>
                  <w:vAlign w:val="center"/>
                </w:tcPr>
                <w:p w14:paraId="65A976A0">
                  <w:pPr>
                    <w:pStyle w:val="32"/>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250" w:type="pct"/>
                  <w:vAlign w:val="center"/>
                </w:tcPr>
                <w:p w14:paraId="3138C226">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1250" w:type="pct"/>
                  <w:vMerge w:val="continue"/>
                  <w:vAlign w:val="center"/>
                </w:tcPr>
                <w:p w14:paraId="697D0677">
                  <w:pPr>
                    <w:pStyle w:val="32"/>
                    <w:rPr>
                      <w:color w:val="000000" w:themeColor="text1"/>
                      <w14:textFill>
                        <w14:solidFill>
                          <w14:schemeClr w14:val="tx1"/>
                        </w14:solidFill>
                      </w14:textFill>
                    </w:rPr>
                  </w:pPr>
                </w:p>
              </w:tc>
            </w:tr>
            <w:tr w14:paraId="423BE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1" w:type="pct"/>
                  <w:vMerge w:val="continue"/>
                  <w:vAlign w:val="center"/>
                </w:tcPr>
                <w:p w14:paraId="224A5939">
                  <w:pPr>
                    <w:pStyle w:val="32"/>
                    <w:rPr>
                      <w:color w:val="000000" w:themeColor="text1"/>
                      <w14:textFill>
                        <w14:solidFill>
                          <w14:schemeClr w14:val="tx1"/>
                        </w14:solidFill>
                      </w14:textFill>
                    </w:rPr>
                  </w:pPr>
                </w:p>
              </w:tc>
              <w:tc>
                <w:tcPr>
                  <w:tcW w:w="1578" w:type="pct"/>
                  <w:vAlign w:val="center"/>
                </w:tcPr>
                <w:p w14:paraId="194DB20E">
                  <w:pPr>
                    <w:pStyle w:val="32"/>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X</w:t>
                  </w:r>
                </w:p>
              </w:tc>
              <w:tc>
                <w:tcPr>
                  <w:tcW w:w="1250" w:type="pct"/>
                  <w:vAlign w:val="center"/>
                </w:tcPr>
                <w:p w14:paraId="54B48E76">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1250" w:type="pct"/>
                  <w:vMerge w:val="continue"/>
                  <w:vAlign w:val="center"/>
                </w:tcPr>
                <w:p w14:paraId="2DCA3ABB">
                  <w:pPr>
                    <w:pStyle w:val="32"/>
                    <w:rPr>
                      <w:color w:val="000000" w:themeColor="text1"/>
                      <w14:textFill>
                        <w14:solidFill>
                          <w14:schemeClr w14:val="tx1"/>
                        </w14:solidFill>
                      </w14:textFill>
                    </w:rPr>
                  </w:pPr>
                </w:p>
              </w:tc>
            </w:tr>
            <w:tr w14:paraId="5DDCD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1" w:type="pct"/>
                  <w:vMerge w:val="continue"/>
                  <w:vAlign w:val="center"/>
                </w:tcPr>
                <w:p w14:paraId="0F1BFD19">
                  <w:pPr>
                    <w:pStyle w:val="32"/>
                    <w:rPr>
                      <w:color w:val="000000" w:themeColor="text1"/>
                      <w14:textFill>
                        <w14:solidFill>
                          <w14:schemeClr w14:val="tx1"/>
                        </w14:solidFill>
                      </w14:textFill>
                    </w:rPr>
                  </w:pPr>
                </w:p>
              </w:tc>
              <w:tc>
                <w:tcPr>
                  <w:tcW w:w="1578" w:type="pct"/>
                  <w:vAlign w:val="center"/>
                </w:tcPr>
                <w:p w14:paraId="3FC968F8">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汞及其化合物</w:t>
                  </w:r>
                </w:p>
              </w:tc>
              <w:tc>
                <w:tcPr>
                  <w:tcW w:w="1250" w:type="pct"/>
                  <w:vAlign w:val="center"/>
                </w:tcPr>
                <w:p w14:paraId="2CCCD779">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1250" w:type="pct"/>
                  <w:vMerge w:val="continue"/>
                  <w:vAlign w:val="center"/>
                </w:tcPr>
                <w:p w14:paraId="49730D94">
                  <w:pPr>
                    <w:pStyle w:val="32"/>
                    <w:rPr>
                      <w:color w:val="000000" w:themeColor="text1"/>
                      <w14:textFill>
                        <w14:solidFill>
                          <w14:schemeClr w14:val="tx1"/>
                        </w14:solidFill>
                      </w14:textFill>
                    </w:rPr>
                  </w:pPr>
                </w:p>
              </w:tc>
            </w:tr>
            <w:tr w14:paraId="0DE2F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1" w:type="pct"/>
                  <w:vMerge w:val="continue"/>
                  <w:vAlign w:val="center"/>
                </w:tcPr>
                <w:p w14:paraId="7B652E7E">
                  <w:pPr>
                    <w:pStyle w:val="32"/>
                    <w:rPr>
                      <w:color w:val="000000" w:themeColor="text1"/>
                      <w14:textFill>
                        <w14:solidFill>
                          <w14:schemeClr w14:val="tx1"/>
                        </w14:solidFill>
                      </w14:textFill>
                    </w:rPr>
                  </w:pPr>
                </w:p>
              </w:tc>
              <w:tc>
                <w:tcPr>
                  <w:tcW w:w="1578" w:type="pct"/>
                  <w:vAlign w:val="center"/>
                </w:tcPr>
                <w:p w14:paraId="73B584A4">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烟气黑度（林格曼黑度）</w:t>
                  </w:r>
                </w:p>
              </w:tc>
              <w:tc>
                <w:tcPr>
                  <w:tcW w:w="1250" w:type="pct"/>
                  <w:vAlign w:val="center"/>
                </w:tcPr>
                <w:p w14:paraId="15AE84F0">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250" w:type="pct"/>
                  <w:vAlign w:val="center"/>
                </w:tcPr>
                <w:p w14:paraId="632E9A51">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烟囱排放口</w:t>
                  </w:r>
                </w:p>
              </w:tc>
            </w:tr>
          </w:tbl>
          <w:p w14:paraId="5774A4B1">
            <w:pPr>
              <w:spacing w:line="360" w:lineRule="auto"/>
              <w:ind w:firstLine="480" w:firstLineChars="200"/>
              <w:rPr>
                <w:sz w:val="24"/>
              </w:rPr>
            </w:pPr>
            <w:r>
              <w:rPr>
                <w:rFonts w:ascii="Calibri" w:hAnsi="Calibri" w:cs="Calibri"/>
                <w:kern w:val="0"/>
                <w:sz w:val="24"/>
              </w:rPr>
              <w:t>③</w:t>
            </w:r>
            <w:r>
              <w:rPr>
                <w:rFonts w:hint="eastAsia"/>
                <w:sz w:val="24"/>
              </w:rPr>
              <w:t>废水处理站异味执行《恶臭污染物排放标准》（GB14554-93）表1新改扩建项目恶臭污染物二级标准浓度限值，具体标准值</w:t>
            </w:r>
            <w:r>
              <w:rPr>
                <w:sz w:val="24"/>
              </w:rPr>
              <w:t>详见表3-</w:t>
            </w:r>
            <w:r>
              <w:rPr>
                <w:rFonts w:hint="eastAsia"/>
                <w:sz w:val="24"/>
              </w:rPr>
              <w:t>10</w:t>
            </w:r>
            <w:r>
              <w:rPr>
                <w:sz w:val="24"/>
              </w:rPr>
              <w:t>。</w:t>
            </w:r>
          </w:p>
          <w:p w14:paraId="30DEF929">
            <w:pPr>
              <w:jc w:val="center"/>
              <w:rPr>
                <w:b/>
                <w:bCs/>
                <w:szCs w:val="21"/>
              </w:rPr>
            </w:pPr>
            <w:r>
              <w:rPr>
                <w:b/>
                <w:bCs/>
                <w:szCs w:val="21"/>
              </w:rPr>
              <w:t>表3-</w:t>
            </w:r>
            <w:r>
              <w:rPr>
                <w:rFonts w:hint="eastAsia"/>
                <w:b/>
                <w:bCs/>
                <w:szCs w:val="21"/>
              </w:rPr>
              <w:t>10</w:t>
            </w:r>
            <w:r>
              <w:rPr>
                <w:b/>
                <w:bCs/>
                <w:szCs w:val="21"/>
              </w:rPr>
              <w:t xml:space="preserve"> </w:t>
            </w:r>
            <w:r>
              <w:rPr>
                <w:rFonts w:hint="eastAsia"/>
                <w:b/>
                <w:bCs/>
                <w:szCs w:val="21"/>
              </w:rPr>
              <w:t xml:space="preserve"> 《恶臭污染物排放标准》（</w:t>
            </w:r>
            <w:r>
              <w:rPr>
                <w:b/>
                <w:bCs/>
                <w:szCs w:val="21"/>
              </w:rPr>
              <w:t>GB14554-93</w:t>
            </w:r>
            <w:r>
              <w:rPr>
                <w:rFonts w:hint="eastAsia"/>
                <w:b/>
                <w:bCs/>
                <w:szCs w:val="21"/>
              </w:rPr>
              <w:t>）</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2"/>
              <w:gridCol w:w="3476"/>
              <w:gridCol w:w="3476"/>
            </w:tblGrid>
            <w:tr w14:paraId="6D2C7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4" w:type="pct"/>
                  <w:vMerge w:val="restart"/>
                  <w:vAlign w:val="center"/>
                </w:tcPr>
                <w:p w14:paraId="75097215">
                  <w:pPr>
                    <w:pStyle w:val="32"/>
                  </w:pPr>
                  <w:r>
                    <w:rPr>
                      <w:rFonts w:hint="eastAsia"/>
                    </w:rPr>
                    <w:t>污染物</w:t>
                  </w:r>
                </w:p>
              </w:tc>
              <w:tc>
                <w:tcPr>
                  <w:tcW w:w="1848" w:type="pct"/>
                  <w:vMerge w:val="restart"/>
                  <w:vAlign w:val="center"/>
                </w:tcPr>
                <w:p w14:paraId="066A87D1">
                  <w:pPr>
                    <w:pStyle w:val="32"/>
                  </w:pPr>
                  <w:r>
                    <w:rPr>
                      <w:rFonts w:hint="eastAsia"/>
                    </w:rPr>
                    <w:t>单位</w:t>
                  </w:r>
                </w:p>
              </w:tc>
              <w:tc>
                <w:tcPr>
                  <w:tcW w:w="1848" w:type="pct"/>
                  <w:vAlign w:val="center"/>
                </w:tcPr>
                <w:p w14:paraId="3FE91DE4">
                  <w:pPr>
                    <w:pStyle w:val="32"/>
                  </w:pPr>
                  <w:r>
                    <w:rPr>
                      <w:rFonts w:hint="eastAsia"/>
                    </w:rPr>
                    <w:t>二级</w:t>
                  </w:r>
                </w:p>
              </w:tc>
            </w:tr>
            <w:tr w14:paraId="535B3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304" w:type="pct"/>
                  <w:vMerge w:val="continue"/>
                  <w:vAlign w:val="center"/>
                </w:tcPr>
                <w:p w14:paraId="5E49ED10">
                  <w:pPr>
                    <w:pStyle w:val="32"/>
                  </w:pPr>
                </w:p>
              </w:tc>
              <w:tc>
                <w:tcPr>
                  <w:tcW w:w="1848" w:type="pct"/>
                  <w:vMerge w:val="continue"/>
                  <w:vAlign w:val="center"/>
                </w:tcPr>
                <w:p w14:paraId="55186A2F">
                  <w:pPr>
                    <w:pStyle w:val="32"/>
                  </w:pPr>
                </w:p>
              </w:tc>
              <w:tc>
                <w:tcPr>
                  <w:tcW w:w="1848" w:type="pct"/>
                  <w:vAlign w:val="center"/>
                </w:tcPr>
                <w:p w14:paraId="24AE7214">
                  <w:pPr>
                    <w:pStyle w:val="32"/>
                  </w:pPr>
                  <w:r>
                    <w:rPr>
                      <w:rFonts w:hint="eastAsia"/>
                    </w:rPr>
                    <w:t>新改扩建</w:t>
                  </w:r>
                </w:p>
              </w:tc>
            </w:tr>
            <w:tr w14:paraId="66F8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1304" w:type="pct"/>
                  <w:vAlign w:val="center"/>
                </w:tcPr>
                <w:p w14:paraId="6E4FBE4F">
                  <w:pPr>
                    <w:pStyle w:val="32"/>
                  </w:pPr>
                  <w:r>
                    <w:t>NH</w:t>
                  </w:r>
                  <w:r>
                    <w:rPr>
                      <w:rFonts w:hint="eastAsia"/>
                      <w:vertAlign w:val="subscript"/>
                    </w:rPr>
                    <w:t>3</w:t>
                  </w:r>
                </w:p>
              </w:tc>
              <w:tc>
                <w:tcPr>
                  <w:tcW w:w="1848" w:type="pct"/>
                  <w:vAlign w:val="center"/>
                </w:tcPr>
                <w:p w14:paraId="0444BC63">
                  <w:pPr>
                    <w:pStyle w:val="32"/>
                  </w:pPr>
                  <w:r>
                    <w:rPr>
                      <w:rFonts w:hint="eastAsia"/>
                    </w:rPr>
                    <w:t>mg/m</w:t>
                  </w:r>
                  <w:r>
                    <w:rPr>
                      <w:rFonts w:hint="eastAsia"/>
                      <w:vertAlign w:val="superscript"/>
                    </w:rPr>
                    <w:t>3</w:t>
                  </w:r>
                </w:p>
              </w:tc>
              <w:tc>
                <w:tcPr>
                  <w:tcW w:w="1848" w:type="pct"/>
                  <w:vAlign w:val="center"/>
                </w:tcPr>
                <w:p w14:paraId="5BFBD3CA">
                  <w:pPr>
                    <w:pStyle w:val="32"/>
                  </w:pPr>
                  <w:r>
                    <w:rPr>
                      <w:rFonts w:hint="eastAsia"/>
                    </w:rPr>
                    <w:t>1.5</w:t>
                  </w:r>
                </w:p>
              </w:tc>
            </w:tr>
            <w:tr w14:paraId="01498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4" w:type="pct"/>
                  <w:vAlign w:val="center"/>
                </w:tcPr>
                <w:p w14:paraId="75657600">
                  <w:pPr>
                    <w:pStyle w:val="32"/>
                  </w:pPr>
                  <w:r>
                    <w:t>H</w:t>
                  </w:r>
                  <w:r>
                    <w:rPr>
                      <w:vertAlign w:val="subscript"/>
                    </w:rPr>
                    <w:t>2</w:t>
                  </w:r>
                  <w:r>
                    <w:t>S</w:t>
                  </w:r>
                </w:p>
              </w:tc>
              <w:tc>
                <w:tcPr>
                  <w:tcW w:w="1848" w:type="pct"/>
                  <w:vAlign w:val="center"/>
                </w:tcPr>
                <w:p w14:paraId="506CCA58">
                  <w:pPr>
                    <w:pStyle w:val="32"/>
                  </w:pPr>
                  <w:r>
                    <w:rPr>
                      <w:rFonts w:hint="eastAsia"/>
                    </w:rPr>
                    <w:t>mg/m</w:t>
                  </w:r>
                  <w:r>
                    <w:rPr>
                      <w:rFonts w:hint="eastAsia"/>
                      <w:vertAlign w:val="superscript"/>
                    </w:rPr>
                    <w:t>3</w:t>
                  </w:r>
                </w:p>
              </w:tc>
              <w:tc>
                <w:tcPr>
                  <w:tcW w:w="1848" w:type="pct"/>
                  <w:vAlign w:val="center"/>
                </w:tcPr>
                <w:p w14:paraId="789B84FB">
                  <w:pPr>
                    <w:pStyle w:val="32"/>
                  </w:pPr>
                  <w:r>
                    <w:rPr>
                      <w:rFonts w:hint="eastAsia"/>
                    </w:rPr>
                    <w:t>0.06</w:t>
                  </w:r>
                </w:p>
              </w:tc>
            </w:tr>
            <w:tr w14:paraId="0CA7E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04" w:type="pct"/>
                  <w:vAlign w:val="center"/>
                </w:tcPr>
                <w:p w14:paraId="7D5000CF">
                  <w:pPr>
                    <w:pStyle w:val="32"/>
                  </w:pPr>
                  <w:r>
                    <w:rPr>
                      <w:rFonts w:hint="eastAsia"/>
                    </w:rPr>
                    <w:t>臭气浓度（无量纲）</w:t>
                  </w:r>
                </w:p>
              </w:tc>
              <w:tc>
                <w:tcPr>
                  <w:tcW w:w="1848" w:type="pct"/>
                  <w:vAlign w:val="center"/>
                </w:tcPr>
                <w:p w14:paraId="013C1285">
                  <w:pPr>
                    <w:pStyle w:val="32"/>
                  </w:pPr>
                  <w:r>
                    <w:rPr>
                      <w:rFonts w:hint="eastAsia"/>
                    </w:rPr>
                    <w:t>无量纲</w:t>
                  </w:r>
                </w:p>
              </w:tc>
              <w:tc>
                <w:tcPr>
                  <w:tcW w:w="1848" w:type="pct"/>
                  <w:vAlign w:val="center"/>
                </w:tcPr>
                <w:p w14:paraId="789F26FE">
                  <w:pPr>
                    <w:pStyle w:val="32"/>
                  </w:pPr>
                  <w:r>
                    <w:rPr>
                      <w:rFonts w:hint="eastAsia"/>
                    </w:rPr>
                    <w:t>20</w:t>
                  </w:r>
                </w:p>
              </w:tc>
            </w:tr>
          </w:tbl>
          <w:p w14:paraId="1FFD60CD">
            <w:pPr>
              <w:adjustRightInd w:val="0"/>
              <w:snapToGrid w:val="0"/>
              <w:spacing w:line="360" w:lineRule="auto"/>
              <w:ind w:firstLine="480" w:firstLineChars="200"/>
            </w:pPr>
            <w:r>
              <w:rPr>
                <w:rFonts w:hint="eastAsia" w:ascii="宋体" w:hAnsi="宋体" w:cs="宋体"/>
                <w:kern w:val="0"/>
                <w:sz w:val="24"/>
              </w:rPr>
              <w:t>④</w:t>
            </w:r>
            <w:r>
              <w:rPr>
                <w:rFonts w:hint="eastAsia"/>
                <w:kern w:val="0"/>
                <w:sz w:val="24"/>
              </w:rPr>
              <w:t>食堂油烟执行《饮食业油烟排放标准》（GB18484-2001）</w:t>
            </w:r>
            <w:r>
              <w:rPr>
                <w:rFonts w:hint="eastAsia"/>
                <w:sz w:val="24"/>
              </w:rPr>
              <w:t>，具体标准值</w:t>
            </w:r>
            <w:r>
              <w:rPr>
                <w:sz w:val="24"/>
              </w:rPr>
              <w:t>详见表3-</w:t>
            </w:r>
            <w:r>
              <w:rPr>
                <w:rFonts w:hint="eastAsia"/>
                <w:sz w:val="24"/>
              </w:rPr>
              <w:t>10</w:t>
            </w:r>
            <w:r>
              <w:rPr>
                <w:sz w:val="24"/>
              </w:rPr>
              <w:t>。</w:t>
            </w:r>
          </w:p>
          <w:p w14:paraId="56774DAC">
            <w:pPr>
              <w:pStyle w:val="6"/>
              <w:spacing w:before="120" w:beforeLines="50"/>
              <w:rPr>
                <w:rFonts w:ascii="Times New Roman" w:hAnsi="Times New Roman"/>
                <w:color w:val="auto"/>
                <w:sz w:val="21"/>
              </w:rPr>
            </w:pPr>
            <w:r>
              <w:rPr>
                <w:rFonts w:ascii="Times New Roman" w:hAnsi="Times New Roman"/>
                <w:color w:val="auto"/>
                <w:sz w:val="21"/>
              </w:rPr>
              <w:t>表</w:t>
            </w:r>
            <w:r>
              <w:rPr>
                <w:rFonts w:hint="eastAsia" w:ascii="Times New Roman" w:hAnsi="Times New Roman"/>
                <w:color w:val="auto"/>
                <w:sz w:val="21"/>
              </w:rPr>
              <w:t>3-11</w:t>
            </w:r>
            <w:r>
              <w:rPr>
                <w:rFonts w:ascii="Times New Roman" w:hAnsi="Times New Roman"/>
                <w:color w:val="auto"/>
                <w:sz w:val="21"/>
              </w:rPr>
              <w:t xml:space="preserve">  《饮食业油烟排放标准》（</w:t>
            </w:r>
            <w:r>
              <w:rPr>
                <w:rFonts w:hint="eastAsia" w:ascii="Times New Roman" w:hAnsi="Times New Roman"/>
                <w:color w:val="auto"/>
                <w:sz w:val="21"/>
              </w:rPr>
              <w:t>GB18483-2001</w:t>
            </w:r>
            <w:r>
              <w:rPr>
                <w:rFonts w:ascii="Times New Roman" w:hAnsi="Times New Roman"/>
                <w:color w:val="auto"/>
                <w:sz w:val="21"/>
              </w:rPr>
              <w:t>）</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692"/>
              <w:gridCol w:w="4692"/>
            </w:tblGrid>
            <w:tr w14:paraId="02FBC4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500" w:type="pct"/>
                  <w:vAlign w:val="center"/>
                </w:tcPr>
                <w:p w14:paraId="39EB97FA">
                  <w:pPr>
                    <w:jc w:val="center"/>
                  </w:pPr>
                  <w:r>
                    <w:t>规模</w:t>
                  </w:r>
                </w:p>
              </w:tc>
              <w:tc>
                <w:tcPr>
                  <w:tcW w:w="2500" w:type="pct"/>
                  <w:vAlign w:val="center"/>
                </w:tcPr>
                <w:p w14:paraId="1E321928">
                  <w:pPr>
                    <w:jc w:val="center"/>
                  </w:pPr>
                  <w:r>
                    <w:t>小型</w:t>
                  </w:r>
                </w:p>
              </w:tc>
            </w:tr>
            <w:tr w14:paraId="334B3D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500" w:type="pct"/>
                  <w:vAlign w:val="center"/>
                </w:tcPr>
                <w:p w14:paraId="0F9B6E93">
                  <w:pPr>
                    <w:jc w:val="center"/>
                  </w:pPr>
                  <w:r>
                    <w:t>最高允许排放浓度（</w:t>
                  </w:r>
                  <w:r>
                    <w:rPr>
                      <w:rFonts w:hint="eastAsia"/>
                    </w:rPr>
                    <w:t>mg/m</w:t>
                  </w:r>
                  <w:r>
                    <w:rPr>
                      <w:rFonts w:hint="eastAsia"/>
                      <w:vertAlign w:val="superscript"/>
                    </w:rPr>
                    <w:t>3</w:t>
                  </w:r>
                  <w:r>
                    <w:t>）</w:t>
                  </w:r>
                </w:p>
              </w:tc>
              <w:tc>
                <w:tcPr>
                  <w:tcW w:w="2500" w:type="pct"/>
                  <w:vAlign w:val="center"/>
                </w:tcPr>
                <w:p w14:paraId="58EDBBD2">
                  <w:pPr>
                    <w:jc w:val="center"/>
                  </w:pPr>
                  <w:r>
                    <w:rPr>
                      <w:rFonts w:hint="eastAsia"/>
                    </w:rPr>
                    <w:t>2.0</w:t>
                  </w:r>
                </w:p>
              </w:tc>
            </w:tr>
            <w:tr w14:paraId="3D6B3F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2500" w:type="pct"/>
                  <w:vAlign w:val="center"/>
                </w:tcPr>
                <w:p w14:paraId="688466DE">
                  <w:pPr>
                    <w:jc w:val="center"/>
                  </w:pPr>
                  <w:r>
                    <w:rPr>
                      <w:rFonts w:hint="eastAsia"/>
                    </w:rPr>
                    <w:t>净化设施最低去除效率（%）</w:t>
                  </w:r>
                </w:p>
              </w:tc>
              <w:tc>
                <w:tcPr>
                  <w:tcW w:w="2500" w:type="pct"/>
                  <w:vAlign w:val="center"/>
                </w:tcPr>
                <w:p w14:paraId="3A6B3208">
                  <w:pPr>
                    <w:jc w:val="center"/>
                  </w:pPr>
                  <w:r>
                    <w:rPr>
                      <w:rFonts w:hint="eastAsia"/>
                    </w:rPr>
                    <w:t>60</w:t>
                  </w:r>
                </w:p>
              </w:tc>
            </w:tr>
          </w:tbl>
          <w:p w14:paraId="56705FED">
            <w:pPr>
              <w:adjustRightInd w:val="0"/>
              <w:snapToGrid w:val="0"/>
              <w:spacing w:line="360" w:lineRule="auto"/>
              <w:ind w:firstLine="482" w:firstLineChars="200"/>
              <w:rPr>
                <w:rFonts w:hint="eastAsia" w:ascii="宋体" w:hAnsi="宋体" w:cs="宋体"/>
                <w:b/>
                <w:kern w:val="0"/>
                <w:sz w:val="24"/>
              </w:rPr>
            </w:pPr>
            <w:r>
              <w:rPr>
                <w:rFonts w:ascii="宋体" w:hAnsi="宋体" w:cs="宋体"/>
                <w:b/>
                <w:kern w:val="0"/>
                <w:sz w:val="24"/>
              </w:rPr>
              <w:t>二、废水</w:t>
            </w:r>
          </w:p>
          <w:p w14:paraId="301CF10C">
            <w:pPr>
              <w:adjustRightInd w:val="0"/>
              <w:snapToGrid w:val="0"/>
              <w:spacing w:line="360" w:lineRule="auto"/>
              <w:ind w:firstLine="480" w:firstLineChars="200"/>
              <w:rPr>
                <w:bCs/>
                <w:sz w:val="24"/>
              </w:rPr>
            </w:pPr>
            <w:r>
              <w:rPr>
                <w:rFonts w:hint="eastAsia"/>
                <w:sz w:val="24"/>
                <w:lang w:val="zh-CN"/>
              </w:rPr>
              <w:t>本</w:t>
            </w:r>
            <w:r>
              <w:rPr>
                <w:rFonts w:hint="eastAsia"/>
                <w:sz w:val="24"/>
              </w:rPr>
              <w:t>改扩建</w:t>
            </w:r>
            <w:r>
              <w:rPr>
                <w:rFonts w:hint="eastAsia"/>
                <w:sz w:val="24"/>
                <w:lang w:val="zh-CN"/>
              </w:rPr>
              <w:t>项目营运期废水主要是洗涤废水及员工生活污水，</w:t>
            </w:r>
            <w:r>
              <w:rPr>
                <w:rFonts w:hint="eastAsia"/>
                <w:sz w:val="24"/>
              </w:rPr>
              <w:t>各车间生产废水经车间外预处理，后统一经厂区废水处理站生化+消毒处理，</w:t>
            </w:r>
            <w:r>
              <w:rPr>
                <w:rFonts w:hint="eastAsia"/>
                <w:sz w:val="24"/>
                <w:lang w:val="zh-CN"/>
              </w:rPr>
              <w:t>处理</w:t>
            </w:r>
            <w:r>
              <w:rPr>
                <w:rFonts w:hint="eastAsia"/>
                <w:sz w:val="24"/>
              </w:rPr>
              <w:t>达《医疗机构水污染物排放标准》（GB18466-2005）中表2预处理排放标准与</w:t>
            </w:r>
            <w:r>
              <w:rPr>
                <w:sz w:val="24"/>
              </w:rPr>
              <w:t>《污水综合排放标准》（GB8978-1996）表4中三级标准</w:t>
            </w:r>
            <w:r>
              <w:rPr>
                <w:rFonts w:hint="eastAsia"/>
                <w:sz w:val="24"/>
              </w:rPr>
              <w:t>两者中较严者，生活污水经化粪池处理达</w:t>
            </w:r>
            <w:r>
              <w:rPr>
                <w:sz w:val="24"/>
              </w:rPr>
              <w:t>《污水综合排放标准》（GB8978-1996）表4中三级标准</w:t>
            </w:r>
            <w:r>
              <w:rPr>
                <w:rFonts w:hint="eastAsia"/>
                <w:sz w:val="24"/>
              </w:rPr>
              <w:t>，两股废水一并经</w:t>
            </w:r>
            <w:r>
              <w:rPr>
                <w:rFonts w:hint="eastAsia"/>
                <w:sz w:val="24"/>
                <w:lang w:val="zh-CN"/>
              </w:rPr>
              <w:t>通过厂区北侧污水排放口排至市政管网，</w:t>
            </w:r>
            <w:r>
              <w:rPr>
                <w:rFonts w:hint="eastAsia" w:hAnsi="宋体"/>
                <w:kern w:val="0"/>
                <w:sz w:val="24"/>
              </w:rPr>
              <w:t>纳入衡阳西渡高新区污水处理厂深度处理后排入蒸水，尾水排放可达《城镇污水处理厂污染物排放标准》（GB18918-2002）中的一级A标准</w:t>
            </w:r>
            <w:r>
              <w:rPr>
                <w:rFonts w:hint="eastAsia"/>
                <w:bCs/>
                <w:sz w:val="24"/>
              </w:rPr>
              <w:t>。</w:t>
            </w:r>
            <w:r>
              <w:rPr>
                <w:rFonts w:hint="eastAsia"/>
                <w:sz w:val="24"/>
              </w:rPr>
              <w:t>具体标准值见表3-12。</w:t>
            </w:r>
          </w:p>
          <w:p w14:paraId="61582D0D">
            <w:pPr>
              <w:adjustRightInd w:val="0"/>
              <w:snapToGrid w:val="0"/>
              <w:spacing w:before="120" w:beforeLines="50"/>
              <w:jc w:val="center"/>
              <w:rPr>
                <w:b/>
                <w:szCs w:val="21"/>
              </w:rPr>
            </w:pPr>
            <w:r>
              <w:rPr>
                <w:b/>
                <w:szCs w:val="21"/>
              </w:rPr>
              <w:t>表</w:t>
            </w:r>
            <w:r>
              <w:rPr>
                <w:rFonts w:hint="eastAsia"/>
                <w:b/>
                <w:szCs w:val="21"/>
              </w:rPr>
              <w:t>3-12  废水排放</w:t>
            </w:r>
            <w:r>
              <w:rPr>
                <w:b/>
                <w:szCs w:val="21"/>
              </w:rPr>
              <w:t>标准</w:t>
            </w:r>
          </w:p>
          <w:tbl>
            <w:tblPr>
              <w:tblStyle w:val="20"/>
              <w:tblW w:w="4995"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63"/>
              <w:gridCol w:w="1701"/>
              <w:gridCol w:w="1170"/>
              <w:gridCol w:w="1165"/>
              <w:gridCol w:w="1169"/>
              <w:gridCol w:w="1165"/>
              <w:gridCol w:w="1167"/>
            </w:tblGrid>
            <w:tr w14:paraId="27E2EB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vMerge w:val="restart"/>
                  <w:shd w:val="clear" w:color="auto" w:fill="auto"/>
                  <w:vAlign w:val="center"/>
                </w:tcPr>
                <w:p w14:paraId="0EC547CF">
                  <w:pPr>
                    <w:adjustRightInd w:val="0"/>
                    <w:snapToGrid w:val="0"/>
                    <w:jc w:val="center"/>
                    <w:rPr>
                      <w:b/>
                      <w:kern w:val="0"/>
                      <w:szCs w:val="21"/>
                    </w:rPr>
                  </w:pPr>
                  <w:r>
                    <w:rPr>
                      <w:b/>
                      <w:kern w:val="0"/>
                      <w:szCs w:val="21"/>
                    </w:rPr>
                    <w:t>序号</w:t>
                  </w:r>
                </w:p>
              </w:tc>
              <w:tc>
                <w:tcPr>
                  <w:tcW w:w="620" w:type="pct"/>
                  <w:vMerge w:val="restart"/>
                  <w:shd w:val="clear" w:color="auto" w:fill="auto"/>
                  <w:vAlign w:val="center"/>
                </w:tcPr>
                <w:p w14:paraId="41607BE2">
                  <w:pPr>
                    <w:adjustRightInd w:val="0"/>
                    <w:snapToGrid w:val="0"/>
                    <w:jc w:val="center"/>
                    <w:rPr>
                      <w:b/>
                      <w:kern w:val="0"/>
                      <w:szCs w:val="21"/>
                    </w:rPr>
                  </w:pPr>
                  <w:r>
                    <w:rPr>
                      <w:b/>
                      <w:kern w:val="0"/>
                      <w:szCs w:val="21"/>
                    </w:rPr>
                    <w:t>控制项目</w:t>
                  </w:r>
                </w:p>
              </w:tc>
              <w:tc>
                <w:tcPr>
                  <w:tcW w:w="1531" w:type="pct"/>
                  <w:gridSpan w:val="2"/>
                  <w:shd w:val="clear" w:color="auto" w:fill="auto"/>
                  <w:vAlign w:val="center"/>
                </w:tcPr>
                <w:p w14:paraId="2D7D62F9">
                  <w:pPr>
                    <w:adjustRightInd w:val="0"/>
                    <w:snapToGrid w:val="0"/>
                    <w:jc w:val="center"/>
                    <w:rPr>
                      <w:b/>
                      <w:bCs/>
                      <w:kern w:val="0"/>
                      <w:szCs w:val="21"/>
                    </w:rPr>
                  </w:pPr>
                  <w:r>
                    <w:rPr>
                      <w:b/>
                      <w:bCs/>
                      <w:kern w:val="0"/>
                      <w:szCs w:val="21"/>
                    </w:rPr>
                    <w:t>《污水综合排放标准》（GB 8978-1996）表4中三级标准</w:t>
                  </w:r>
                </w:p>
              </w:tc>
              <w:tc>
                <w:tcPr>
                  <w:tcW w:w="1244" w:type="pct"/>
                  <w:gridSpan w:val="2"/>
                  <w:vAlign w:val="center"/>
                </w:tcPr>
                <w:p w14:paraId="3E4AA414">
                  <w:pPr>
                    <w:adjustRightInd w:val="0"/>
                    <w:snapToGrid w:val="0"/>
                    <w:jc w:val="center"/>
                    <w:rPr>
                      <w:b/>
                      <w:bCs/>
                      <w:kern w:val="0"/>
                      <w:szCs w:val="21"/>
                    </w:rPr>
                  </w:pPr>
                  <w:r>
                    <w:rPr>
                      <w:rFonts w:hint="eastAsia"/>
                      <w:b/>
                      <w:bCs/>
                      <w:kern w:val="0"/>
                      <w:szCs w:val="21"/>
                    </w:rPr>
                    <w:t>《医疗机构水污染物排放标准》（GB18466-2005）中表2预处理</w:t>
                  </w:r>
                </w:p>
              </w:tc>
              <w:tc>
                <w:tcPr>
                  <w:tcW w:w="1243" w:type="pct"/>
                  <w:gridSpan w:val="2"/>
                  <w:vAlign w:val="center"/>
                </w:tcPr>
                <w:p w14:paraId="508560E4">
                  <w:pPr>
                    <w:adjustRightInd w:val="0"/>
                    <w:snapToGrid w:val="0"/>
                    <w:jc w:val="center"/>
                    <w:rPr>
                      <w:b/>
                      <w:bCs/>
                      <w:kern w:val="0"/>
                      <w:szCs w:val="21"/>
                    </w:rPr>
                  </w:pPr>
                  <w:r>
                    <w:rPr>
                      <w:rFonts w:hint="eastAsia"/>
                      <w:b/>
                      <w:bCs/>
                      <w:kern w:val="0"/>
                      <w:szCs w:val="21"/>
                    </w:rPr>
                    <w:t>《城镇污水处理厂污染物排放标准》（GB18918-2002）中的一级A标准</w:t>
                  </w:r>
                </w:p>
              </w:tc>
            </w:tr>
            <w:tr w14:paraId="2943FF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vMerge w:val="continue"/>
                  <w:shd w:val="clear" w:color="auto" w:fill="auto"/>
                  <w:vAlign w:val="center"/>
                </w:tcPr>
                <w:p w14:paraId="4773B9E5">
                  <w:pPr>
                    <w:adjustRightInd w:val="0"/>
                    <w:snapToGrid w:val="0"/>
                    <w:jc w:val="center"/>
                    <w:rPr>
                      <w:b/>
                      <w:kern w:val="0"/>
                      <w:szCs w:val="21"/>
                    </w:rPr>
                  </w:pPr>
                </w:p>
              </w:tc>
              <w:tc>
                <w:tcPr>
                  <w:tcW w:w="620" w:type="pct"/>
                  <w:vMerge w:val="continue"/>
                  <w:shd w:val="clear" w:color="auto" w:fill="auto"/>
                  <w:vAlign w:val="center"/>
                </w:tcPr>
                <w:p w14:paraId="3DAF6414">
                  <w:pPr>
                    <w:adjustRightInd w:val="0"/>
                    <w:snapToGrid w:val="0"/>
                    <w:jc w:val="center"/>
                    <w:rPr>
                      <w:b/>
                      <w:kern w:val="0"/>
                      <w:szCs w:val="21"/>
                    </w:rPr>
                  </w:pPr>
                </w:p>
              </w:tc>
              <w:tc>
                <w:tcPr>
                  <w:tcW w:w="907" w:type="pct"/>
                  <w:shd w:val="clear" w:color="auto" w:fill="auto"/>
                  <w:vAlign w:val="center"/>
                </w:tcPr>
                <w:p w14:paraId="0C9F1D99">
                  <w:pPr>
                    <w:adjustRightInd w:val="0"/>
                    <w:snapToGrid w:val="0"/>
                    <w:jc w:val="center"/>
                    <w:rPr>
                      <w:b/>
                      <w:kern w:val="0"/>
                      <w:szCs w:val="21"/>
                    </w:rPr>
                  </w:pPr>
                  <w:r>
                    <w:rPr>
                      <w:b/>
                      <w:kern w:val="0"/>
                      <w:szCs w:val="21"/>
                    </w:rPr>
                    <w:t>标准值</w:t>
                  </w:r>
                </w:p>
              </w:tc>
              <w:tc>
                <w:tcPr>
                  <w:tcW w:w="623" w:type="pct"/>
                  <w:shd w:val="clear" w:color="auto" w:fill="auto"/>
                  <w:vAlign w:val="center"/>
                </w:tcPr>
                <w:p w14:paraId="4F3F3140">
                  <w:pPr>
                    <w:adjustRightInd w:val="0"/>
                    <w:snapToGrid w:val="0"/>
                    <w:jc w:val="center"/>
                    <w:rPr>
                      <w:b/>
                      <w:kern w:val="0"/>
                      <w:szCs w:val="21"/>
                    </w:rPr>
                  </w:pPr>
                  <w:r>
                    <w:rPr>
                      <w:b/>
                      <w:kern w:val="0"/>
                      <w:szCs w:val="21"/>
                    </w:rPr>
                    <w:t>单位</w:t>
                  </w:r>
                </w:p>
              </w:tc>
              <w:tc>
                <w:tcPr>
                  <w:tcW w:w="621" w:type="pct"/>
                  <w:vAlign w:val="center"/>
                </w:tcPr>
                <w:p w14:paraId="465146B5">
                  <w:pPr>
                    <w:adjustRightInd w:val="0"/>
                    <w:snapToGrid w:val="0"/>
                    <w:jc w:val="center"/>
                    <w:rPr>
                      <w:b/>
                      <w:kern w:val="0"/>
                      <w:szCs w:val="21"/>
                    </w:rPr>
                  </w:pPr>
                  <w:r>
                    <w:rPr>
                      <w:b/>
                      <w:kern w:val="0"/>
                      <w:szCs w:val="21"/>
                    </w:rPr>
                    <w:t>标准值</w:t>
                  </w:r>
                </w:p>
              </w:tc>
              <w:tc>
                <w:tcPr>
                  <w:tcW w:w="623" w:type="pct"/>
                  <w:shd w:val="clear" w:color="auto" w:fill="auto"/>
                  <w:vAlign w:val="center"/>
                </w:tcPr>
                <w:p w14:paraId="37125B28">
                  <w:pPr>
                    <w:adjustRightInd w:val="0"/>
                    <w:snapToGrid w:val="0"/>
                    <w:jc w:val="center"/>
                    <w:rPr>
                      <w:b/>
                      <w:kern w:val="0"/>
                      <w:szCs w:val="21"/>
                    </w:rPr>
                  </w:pPr>
                  <w:r>
                    <w:rPr>
                      <w:b/>
                      <w:kern w:val="0"/>
                      <w:szCs w:val="21"/>
                    </w:rPr>
                    <w:t>单位</w:t>
                  </w:r>
                </w:p>
              </w:tc>
              <w:tc>
                <w:tcPr>
                  <w:tcW w:w="621" w:type="pct"/>
                  <w:shd w:val="clear" w:color="auto" w:fill="auto"/>
                  <w:vAlign w:val="center"/>
                </w:tcPr>
                <w:p w14:paraId="563FD95C">
                  <w:pPr>
                    <w:adjustRightInd w:val="0"/>
                    <w:snapToGrid w:val="0"/>
                    <w:jc w:val="center"/>
                    <w:rPr>
                      <w:b/>
                      <w:kern w:val="0"/>
                      <w:szCs w:val="21"/>
                    </w:rPr>
                  </w:pPr>
                  <w:r>
                    <w:rPr>
                      <w:b/>
                      <w:kern w:val="0"/>
                      <w:szCs w:val="21"/>
                    </w:rPr>
                    <w:t>标准值</w:t>
                  </w:r>
                </w:p>
              </w:tc>
              <w:tc>
                <w:tcPr>
                  <w:tcW w:w="622" w:type="pct"/>
                  <w:shd w:val="clear" w:color="auto" w:fill="auto"/>
                  <w:vAlign w:val="center"/>
                </w:tcPr>
                <w:p w14:paraId="6A82715D">
                  <w:pPr>
                    <w:adjustRightInd w:val="0"/>
                    <w:snapToGrid w:val="0"/>
                    <w:jc w:val="center"/>
                    <w:rPr>
                      <w:b/>
                      <w:kern w:val="0"/>
                      <w:szCs w:val="21"/>
                    </w:rPr>
                  </w:pPr>
                  <w:r>
                    <w:rPr>
                      <w:b/>
                      <w:kern w:val="0"/>
                      <w:szCs w:val="21"/>
                    </w:rPr>
                    <w:t>单位</w:t>
                  </w:r>
                </w:p>
              </w:tc>
            </w:tr>
            <w:tr w14:paraId="63087D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30BD628A">
                  <w:pPr>
                    <w:adjustRightInd w:val="0"/>
                    <w:snapToGrid w:val="0"/>
                    <w:jc w:val="center"/>
                    <w:rPr>
                      <w:kern w:val="0"/>
                      <w:szCs w:val="21"/>
                    </w:rPr>
                  </w:pPr>
                  <w:r>
                    <w:rPr>
                      <w:kern w:val="0"/>
                      <w:szCs w:val="21"/>
                    </w:rPr>
                    <w:t>1</w:t>
                  </w:r>
                </w:p>
              </w:tc>
              <w:tc>
                <w:tcPr>
                  <w:tcW w:w="620" w:type="pct"/>
                  <w:shd w:val="clear" w:color="auto" w:fill="auto"/>
                  <w:vAlign w:val="center"/>
                </w:tcPr>
                <w:p w14:paraId="6C7A1A40">
                  <w:pPr>
                    <w:adjustRightInd w:val="0"/>
                    <w:snapToGrid w:val="0"/>
                    <w:jc w:val="center"/>
                    <w:rPr>
                      <w:kern w:val="0"/>
                      <w:szCs w:val="21"/>
                    </w:rPr>
                  </w:pPr>
                  <w:r>
                    <w:rPr>
                      <w:kern w:val="0"/>
                      <w:szCs w:val="21"/>
                    </w:rPr>
                    <w:t>pH</w:t>
                  </w:r>
                </w:p>
              </w:tc>
              <w:tc>
                <w:tcPr>
                  <w:tcW w:w="907" w:type="pct"/>
                  <w:shd w:val="clear" w:color="auto" w:fill="auto"/>
                  <w:vAlign w:val="center"/>
                </w:tcPr>
                <w:p w14:paraId="234E0C74">
                  <w:pPr>
                    <w:adjustRightInd w:val="0"/>
                    <w:snapToGrid w:val="0"/>
                    <w:jc w:val="center"/>
                    <w:rPr>
                      <w:kern w:val="0"/>
                      <w:szCs w:val="21"/>
                    </w:rPr>
                  </w:pPr>
                  <w:r>
                    <w:rPr>
                      <w:kern w:val="0"/>
                      <w:szCs w:val="21"/>
                    </w:rPr>
                    <w:t>6~9</w:t>
                  </w:r>
                </w:p>
              </w:tc>
              <w:tc>
                <w:tcPr>
                  <w:tcW w:w="623" w:type="pct"/>
                  <w:shd w:val="clear" w:color="auto" w:fill="auto"/>
                  <w:vAlign w:val="center"/>
                </w:tcPr>
                <w:p w14:paraId="044073B8">
                  <w:pPr>
                    <w:adjustRightInd w:val="0"/>
                    <w:snapToGrid w:val="0"/>
                    <w:jc w:val="center"/>
                    <w:rPr>
                      <w:kern w:val="0"/>
                      <w:szCs w:val="21"/>
                    </w:rPr>
                  </w:pPr>
                  <w:r>
                    <w:rPr>
                      <w:kern w:val="0"/>
                      <w:szCs w:val="21"/>
                    </w:rPr>
                    <w:t>无量纲</w:t>
                  </w:r>
                </w:p>
              </w:tc>
              <w:tc>
                <w:tcPr>
                  <w:tcW w:w="621" w:type="pct"/>
                  <w:vAlign w:val="center"/>
                </w:tcPr>
                <w:p w14:paraId="37A40873">
                  <w:pPr>
                    <w:adjustRightInd w:val="0"/>
                    <w:snapToGrid w:val="0"/>
                    <w:jc w:val="center"/>
                    <w:rPr>
                      <w:kern w:val="0"/>
                      <w:szCs w:val="21"/>
                    </w:rPr>
                  </w:pPr>
                  <w:r>
                    <w:rPr>
                      <w:kern w:val="0"/>
                      <w:szCs w:val="21"/>
                    </w:rPr>
                    <w:t>6~9</w:t>
                  </w:r>
                </w:p>
              </w:tc>
              <w:tc>
                <w:tcPr>
                  <w:tcW w:w="623" w:type="pct"/>
                  <w:shd w:val="clear" w:color="auto" w:fill="auto"/>
                  <w:vAlign w:val="center"/>
                </w:tcPr>
                <w:p w14:paraId="2AE4FCDE">
                  <w:pPr>
                    <w:adjustRightInd w:val="0"/>
                    <w:snapToGrid w:val="0"/>
                    <w:jc w:val="center"/>
                    <w:rPr>
                      <w:kern w:val="0"/>
                      <w:szCs w:val="21"/>
                    </w:rPr>
                  </w:pPr>
                  <w:r>
                    <w:rPr>
                      <w:kern w:val="0"/>
                      <w:szCs w:val="21"/>
                    </w:rPr>
                    <w:t>无量纲</w:t>
                  </w:r>
                </w:p>
              </w:tc>
              <w:tc>
                <w:tcPr>
                  <w:tcW w:w="621" w:type="pct"/>
                  <w:shd w:val="clear" w:color="auto" w:fill="auto"/>
                  <w:vAlign w:val="center"/>
                </w:tcPr>
                <w:p w14:paraId="2DC5A95D">
                  <w:pPr>
                    <w:adjustRightInd w:val="0"/>
                    <w:snapToGrid w:val="0"/>
                    <w:jc w:val="center"/>
                    <w:rPr>
                      <w:kern w:val="0"/>
                      <w:szCs w:val="21"/>
                    </w:rPr>
                  </w:pPr>
                  <w:r>
                    <w:rPr>
                      <w:kern w:val="0"/>
                      <w:szCs w:val="21"/>
                    </w:rPr>
                    <w:t>6~9</w:t>
                  </w:r>
                </w:p>
              </w:tc>
              <w:tc>
                <w:tcPr>
                  <w:tcW w:w="622" w:type="pct"/>
                  <w:shd w:val="clear" w:color="auto" w:fill="auto"/>
                  <w:vAlign w:val="center"/>
                </w:tcPr>
                <w:p w14:paraId="12FF3106">
                  <w:pPr>
                    <w:adjustRightInd w:val="0"/>
                    <w:snapToGrid w:val="0"/>
                    <w:jc w:val="center"/>
                    <w:rPr>
                      <w:kern w:val="0"/>
                      <w:szCs w:val="21"/>
                    </w:rPr>
                  </w:pPr>
                  <w:r>
                    <w:rPr>
                      <w:kern w:val="0"/>
                      <w:szCs w:val="21"/>
                    </w:rPr>
                    <w:t>无量纲</w:t>
                  </w:r>
                </w:p>
              </w:tc>
            </w:tr>
            <w:tr w14:paraId="55FD4A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57C98500">
                  <w:pPr>
                    <w:adjustRightInd w:val="0"/>
                    <w:snapToGrid w:val="0"/>
                    <w:jc w:val="center"/>
                    <w:rPr>
                      <w:kern w:val="0"/>
                      <w:szCs w:val="21"/>
                    </w:rPr>
                  </w:pPr>
                  <w:r>
                    <w:rPr>
                      <w:kern w:val="0"/>
                      <w:szCs w:val="21"/>
                    </w:rPr>
                    <w:t>2</w:t>
                  </w:r>
                </w:p>
              </w:tc>
              <w:tc>
                <w:tcPr>
                  <w:tcW w:w="620" w:type="pct"/>
                  <w:shd w:val="clear" w:color="auto" w:fill="auto"/>
                  <w:vAlign w:val="center"/>
                </w:tcPr>
                <w:p w14:paraId="69002B36">
                  <w:pPr>
                    <w:adjustRightInd w:val="0"/>
                    <w:snapToGrid w:val="0"/>
                    <w:jc w:val="center"/>
                    <w:rPr>
                      <w:kern w:val="0"/>
                      <w:szCs w:val="21"/>
                    </w:rPr>
                  </w:pPr>
                  <w:r>
                    <w:rPr>
                      <w:kern w:val="0"/>
                      <w:szCs w:val="21"/>
                    </w:rPr>
                    <w:t>COD</w:t>
                  </w:r>
                  <w:r>
                    <w:rPr>
                      <w:kern w:val="0"/>
                      <w:szCs w:val="21"/>
                      <w:vertAlign w:val="subscript"/>
                    </w:rPr>
                    <w:t>Cr</w:t>
                  </w:r>
                </w:p>
              </w:tc>
              <w:tc>
                <w:tcPr>
                  <w:tcW w:w="907" w:type="pct"/>
                  <w:shd w:val="clear" w:color="auto" w:fill="auto"/>
                  <w:vAlign w:val="center"/>
                </w:tcPr>
                <w:p w14:paraId="4686AB21">
                  <w:pPr>
                    <w:adjustRightInd w:val="0"/>
                    <w:snapToGrid w:val="0"/>
                    <w:jc w:val="center"/>
                    <w:rPr>
                      <w:kern w:val="0"/>
                      <w:szCs w:val="21"/>
                    </w:rPr>
                  </w:pPr>
                  <w:r>
                    <w:rPr>
                      <w:rFonts w:hint="eastAsia"/>
                      <w:kern w:val="0"/>
                      <w:szCs w:val="21"/>
                    </w:rPr>
                    <w:t>500</w:t>
                  </w:r>
                </w:p>
              </w:tc>
              <w:tc>
                <w:tcPr>
                  <w:tcW w:w="623" w:type="pct"/>
                  <w:shd w:val="clear" w:color="auto" w:fill="auto"/>
                  <w:vAlign w:val="center"/>
                </w:tcPr>
                <w:p w14:paraId="375FFC23">
                  <w:pPr>
                    <w:adjustRightInd w:val="0"/>
                    <w:snapToGrid w:val="0"/>
                    <w:jc w:val="center"/>
                    <w:rPr>
                      <w:kern w:val="0"/>
                      <w:szCs w:val="21"/>
                    </w:rPr>
                  </w:pPr>
                  <w:r>
                    <w:rPr>
                      <w:kern w:val="0"/>
                      <w:szCs w:val="21"/>
                    </w:rPr>
                    <w:t>mg/L</w:t>
                  </w:r>
                </w:p>
              </w:tc>
              <w:tc>
                <w:tcPr>
                  <w:tcW w:w="621" w:type="pct"/>
                  <w:vAlign w:val="center"/>
                </w:tcPr>
                <w:p w14:paraId="78589ACF">
                  <w:pPr>
                    <w:adjustRightInd w:val="0"/>
                    <w:snapToGrid w:val="0"/>
                    <w:jc w:val="center"/>
                    <w:rPr>
                      <w:kern w:val="0"/>
                      <w:szCs w:val="21"/>
                    </w:rPr>
                  </w:pPr>
                  <w:r>
                    <w:rPr>
                      <w:rFonts w:hint="eastAsia"/>
                      <w:kern w:val="0"/>
                      <w:szCs w:val="21"/>
                    </w:rPr>
                    <w:t>250</w:t>
                  </w:r>
                </w:p>
              </w:tc>
              <w:tc>
                <w:tcPr>
                  <w:tcW w:w="623" w:type="pct"/>
                  <w:shd w:val="clear" w:color="auto" w:fill="auto"/>
                  <w:vAlign w:val="center"/>
                </w:tcPr>
                <w:p w14:paraId="7A37FE11">
                  <w:pPr>
                    <w:adjustRightInd w:val="0"/>
                    <w:snapToGrid w:val="0"/>
                    <w:jc w:val="center"/>
                    <w:rPr>
                      <w:kern w:val="0"/>
                      <w:szCs w:val="21"/>
                    </w:rPr>
                  </w:pPr>
                  <w:r>
                    <w:rPr>
                      <w:kern w:val="0"/>
                      <w:szCs w:val="21"/>
                    </w:rPr>
                    <w:t>mg/L</w:t>
                  </w:r>
                </w:p>
              </w:tc>
              <w:tc>
                <w:tcPr>
                  <w:tcW w:w="621" w:type="pct"/>
                  <w:shd w:val="clear" w:color="auto" w:fill="auto"/>
                  <w:vAlign w:val="center"/>
                </w:tcPr>
                <w:p w14:paraId="511AD094">
                  <w:pPr>
                    <w:adjustRightInd w:val="0"/>
                    <w:snapToGrid w:val="0"/>
                    <w:jc w:val="center"/>
                    <w:rPr>
                      <w:kern w:val="0"/>
                      <w:szCs w:val="21"/>
                    </w:rPr>
                  </w:pPr>
                  <w:r>
                    <w:rPr>
                      <w:rFonts w:hint="eastAsia"/>
                      <w:kern w:val="0"/>
                      <w:szCs w:val="21"/>
                    </w:rPr>
                    <w:t>50</w:t>
                  </w:r>
                </w:p>
              </w:tc>
              <w:tc>
                <w:tcPr>
                  <w:tcW w:w="622" w:type="pct"/>
                  <w:shd w:val="clear" w:color="auto" w:fill="auto"/>
                  <w:vAlign w:val="center"/>
                </w:tcPr>
                <w:p w14:paraId="0CC0A818">
                  <w:pPr>
                    <w:adjustRightInd w:val="0"/>
                    <w:snapToGrid w:val="0"/>
                    <w:jc w:val="center"/>
                    <w:rPr>
                      <w:kern w:val="0"/>
                      <w:szCs w:val="21"/>
                    </w:rPr>
                  </w:pPr>
                  <w:r>
                    <w:rPr>
                      <w:kern w:val="0"/>
                      <w:szCs w:val="21"/>
                    </w:rPr>
                    <w:t>mg/L</w:t>
                  </w:r>
                </w:p>
              </w:tc>
            </w:tr>
            <w:tr w14:paraId="4F9750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71210484">
                  <w:pPr>
                    <w:adjustRightInd w:val="0"/>
                    <w:snapToGrid w:val="0"/>
                    <w:jc w:val="center"/>
                    <w:rPr>
                      <w:kern w:val="0"/>
                      <w:szCs w:val="21"/>
                    </w:rPr>
                  </w:pPr>
                  <w:r>
                    <w:rPr>
                      <w:kern w:val="0"/>
                      <w:szCs w:val="21"/>
                    </w:rPr>
                    <w:t>3</w:t>
                  </w:r>
                </w:p>
              </w:tc>
              <w:tc>
                <w:tcPr>
                  <w:tcW w:w="620" w:type="pct"/>
                  <w:shd w:val="clear" w:color="auto" w:fill="auto"/>
                  <w:vAlign w:val="center"/>
                </w:tcPr>
                <w:p w14:paraId="1AB7363D">
                  <w:pPr>
                    <w:adjustRightInd w:val="0"/>
                    <w:snapToGrid w:val="0"/>
                    <w:jc w:val="center"/>
                    <w:rPr>
                      <w:kern w:val="0"/>
                      <w:szCs w:val="21"/>
                    </w:rPr>
                  </w:pPr>
                  <w:r>
                    <w:rPr>
                      <w:kern w:val="0"/>
                      <w:szCs w:val="21"/>
                    </w:rPr>
                    <w:t>SS</w:t>
                  </w:r>
                </w:p>
              </w:tc>
              <w:tc>
                <w:tcPr>
                  <w:tcW w:w="907" w:type="pct"/>
                  <w:shd w:val="clear" w:color="auto" w:fill="auto"/>
                  <w:vAlign w:val="center"/>
                </w:tcPr>
                <w:p w14:paraId="01A8866D">
                  <w:pPr>
                    <w:adjustRightInd w:val="0"/>
                    <w:snapToGrid w:val="0"/>
                    <w:jc w:val="center"/>
                    <w:rPr>
                      <w:kern w:val="0"/>
                      <w:szCs w:val="21"/>
                    </w:rPr>
                  </w:pPr>
                  <w:r>
                    <w:rPr>
                      <w:rFonts w:hint="eastAsia"/>
                      <w:kern w:val="0"/>
                      <w:szCs w:val="21"/>
                    </w:rPr>
                    <w:t>400</w:t>
                  </w:r>
                </w:p>
              </w:tc>
              <w:tc>
                <w:tcPr>
                  <w:tcW w:w="623" w:type="pct"/>
                  <w:shd w:val="clear" w:color="auto" w:fill="auto"/>
                  <w:vAlign w:val="center"/>
                </w:tcPr>
                <w:p w14:paraId="3939A2EB">
                  <w:pPr>
                    <w:adjustRightInd w:val="0"/>
                    <w:snapToGrid w:val="0"/>
                    <w:jc w:val="center"/>
                    <w:rPr>
                      <w:kern w:val="0"/>
                      <w:szCs w:val="21"/>
                    </w:rPr>
                  </w:pPr>
                  <w:r>
                    <w:rPr>
                      <w:kern w:val="0"/>
                      <w:szCs w:val="21"/>
                    </w:rPr>
                    <w:t>mg/L</w:t>
                  </w:r>
                </w:p>
              </w:tc>
              <w:tc>
                <w:tcPr>
                  <w:tcW w:w="621" w:type="pct"/>
                  <w:vAlign w:val="center"/>
                </w:tcPr>
                <w:p w14:paraId="732BE85C">
                  <w:pPr>
                    <w:adjustRightInd w:val="0"/>
                    <w:snapToGrid w:val="0"/>
                    <w:jc w:val="center"/>
                    <w:rPr>
                      <w:kern w:val="0"/>
                      <w:szCs w:val="21"/>
                    </w:rPr>
                  </w:pPr>
                  <w:r>
                    <w:rPr>
                      <w:rFonts w:hint="eastAsia"/>
                      <w:kern w:val="0"/>
                      <w:szCs w:val="21"/>
                    </w:rPr>
                    <w:t>60</w:t>
                  </w:r>
                </w:p>
              </w:tc>
              <w:tc>
                <w:tcPr>
                  <w:tcW w:w="623" w:type="pct"/>
                  <w:shd w:val="clear" w:color="auto" w:fill="auto"/>
                  <w:vAlign w:val="center"/>
                </w:tcPr>
                <w:p w14:paraId="767E18AA">
                  <w:pPr>
                    <w:adjustRightInd w:val="0"/>
                    <w:snapToGrid w:val="0"/>
                    <w:jc w:val="center"/>
                    <w:rPr>
                      <w:kern w:val="0"/>
                      <w:szCs w:val="21"/>
                    </w:rPr>
                  </w:pPr>
                  <w:r>
                    <w:rPr>
                      <w:kern w:val="0"/>
                      <w:szCs w:val="21"/>
                    </w:rPr>
                    <w:t>mg/L</w:t>
                  </w:r>
                </w:p>
              </w:tc>
              <w:tc>
                <w:tcPr>
                  <w:tcW w:w="621" w:type="pct"/>
                  <w:shd w:val="clear" w:color="auto" w:fill="auto"/>
                  <w:vAlign w:val="center"/>
                </w:tcPr>
                <w:p w14:paraId="5E852CB7">
                  <w:pPr>
                    <w:adjustRightInd w:val="0"/>
                    <w:snapToGrid w:val="0"/>
                    <w:jc w:val="center"/>
                    <w:rPr>
                      <w:kern w:val="0"/>
                      <w:szCs w:val="21"/>
                    </w:rPr>
                  </w:pPr>
                  <w:r>
                    <w:rPr>
                      <w:rFonts w:hint="eastAsia"/>
                      <w:kern w:val="0"/>
                      <w:szCs w:val="21"/>
                    </w:rPr>
                    <w:t>10</w:t>
                  </w:r>
                </w:p>
              </w:tc>
              <w:tc>
                <w:tcPr>
                  <w:tcW w:w="622" w:type="pct"/>
                  <w:shd w:val="clear" w:color="auto" w:fill="auto"/>
                  <w:vAlign w:val="center"/>
                </w:tcPr>
                <w:p w14:paraId="3611452B">
                  <w:pPr>
                    <w:adjustRightInd w:val="0"/>
                    <w:snapToGrid w:val="0"/>
                    <w:jc w:val="center"/>
                    <w:rPr>
                      <w:kern w:val="0"/>
                      <w:szCs w:val="21"/>
                    </w:rPr>
                  </w:pPr>
                  <w:r>
                    <w:rPr>
                      <w:kern w:val="0"/>
                      <w:szCs w:val="21"/>
                    </w:rPr>
                    <w:t>mg/L</w:t>
                  </w:r>
                </w:p>
              </w:tc>
            </w:tr>
            <w:tr w14:paraId="32240B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7AF9E119">
                  <w:pPr>
                    <w:adjustRightInd w:val="0"/>
                    <w:snapToGrid w:val="0"/>
                    <w:jc w:val="center"/>
                    <w:rPr>
                      <w:kern w:val="0"/>
                      <w:szCs w:val="21"/>
                    </w:rPr>
                  </w:pPr>
                  <w:r>
                    <w:rPr>
                      <w:kern w:val="0"/>
                      <w:szCs w:val="21"/>
                    </w:rPr>
                    <w:t>4</w:t>
                  </w:r>
                </w:p>
              </w:tc>
              <w:tc>
                <w:tcPr>
                  <w:tcW w:w="620" w:type="pct"/>
                  <w:shd w:val="clear" w:color="auto" w:fill="auto"/>
                  <w:vAlign w:val="center"/>
                </w:tcPr>
                <w:p w14:paraId="5F3D7EE8">
                  <w:pPr>
                    <w:adjustRightInd w:val="0"/>
                    <w:snapToGrid w:val="0"/>
                    <w:jc w:val="center"/>
                    <w:rPr>
                      <w:kern w:val="0"/>
                      <w:szCs w:val="21"/>
                    </w:rPr>
                  </w:pPr>
                  <w:r>
                    <w:rPr>
                      <w:kern w:val="0"/>
                      <w:szCs w:val="21"/>
                    </w:rPr>
                    <w:t>BOD</w:t>
                  </w:r>
                  <w:r>
                    <w:rPr>
                      <w:kern w:val="0"/>
                      <w:szCs w:val="21"/>
                      <w:vertAlign w:val="subscript"/>
                    </w:rPr>
                    <w:t>5</w:t>
                  </w:r>
                </w:p>
              </w:tc>
              <w:tc>
                <w:tcPr>
                  <w:tcW w:w="907" w:type="pct"/>
                  <w:shd w:val="clear" w:color="auto" w:fill="auto"/>
                  <w:vAlign w:val="center"/>
                </w:tcPr>
                <w:p w14:paraId="553A69D0">
                  <w:pPr>
                    <w:adjustRightInd w:val="0"/>
                    <w:snapToGrid w:val="0"/>
                    <w:jc w:val="center"/>
                    <w:rPr>
                      <w:kern w:val="0"/>
                      <w:szCs w:val="21"/>
                    </w:rPr>
                  </w:pPr>
                  <w:r>
                    <w:rPr>
                      <w:rFonts w:hint="eastAsia"/>
                      <w:kern w:val="0"/>
                      <w:szCs w:val="21"/>
                    </w:rPr>
                    <w:t>300</w:t>
                  </w:r>
                </w:p>
              </w:tc>
              <w:tc>
                <w:tcPr>
                  <w:tcW w:w="623" w:type="pct"/>
                  <w:shd w:val="clear" w:color="auto" w:fill="auto"/>
                  <w:vAlign w:val="center"/>
                </w:tcPr>
                <w:p w14:paraId="3CFA411B">
                  <w:pPr>
                    <w:adjustRightInd w:val="0"/>
                    <w:snapToGrid w:val="0"/>
                    <w:jc w:val="center"/>
                    <w:rPr>
                      <w:kern w:val="0"/>
                      <w:szCs w:val="21"/>
                    </w:rPr>
                  </w:pPr>
                  <w:r>
                    <w:rPr>
                      <w:kern w:val="0"/>
                      <w:szCs w:val="21"/>
                    </w:rPr>
                    <w:t>mg/L</w:t>
                  </w:r>
                </w:p>
              </w:tc>
              <w:tc>
                <w:tcPr>
                  <w:tcW w:w="621" w:type="pct"/>
                  <w:vAlign w:val="center"/>
                </w:tcPr>
                <w:p w14:paraId="67A07BE7">
                  <w:pPr>
                    <w:adjustRightInd w:val="0"/>
                    <w:snapToGrid w:val="0"/>
                    <w:jc w:val="center"/>
                    <w:rPr>
                      <w:kern w:val="0"/>
                      <w:szCs w:val="21"/>
                    </w:rPr>
                  </w:pPr>
                  <w:r>
                    <w:rPr>
                      <w:rFonts w:hint="eastAsia"/>
                      <w:kern w:val="0"/>
                      <w:szCs w:val="21"/>
                    </w:rPr>
                    <w:t>100</w:t>
                  </w:r>
                </w:p>
              </w:tc>
              <w:tc>
                <w:tcPr>
                  <w:tcW w:w="623" w:type="pct"/>
                  <w:shd w:val="clear" w:color="auto" w:fill="auto"/>
                  <w:vAlign w:val="center"/>
                </w:tcPr>
                <w:p w14:paraId="12BE379E">
                  <w:pPr>
                    <w:adjustRightInd w:val="0"/>
                    <w:snapToGrid w:val="0"/>
                    <w:jc w:val="center"/>
                    <w:rPr>
                      <w:kern w:val="0"/>
                      <w:szCs w:val="21"/>
                    </w:rPr>
                  </w:pPr>
                  <w:r>
                    <w:rPr>
                      <w:kern w:val="0"/>
                      <w:szCs w:val="21"/>
                    </w:rPr>
                    <w:t>mg/L</w:t>
                  </w:r>
                </w:p>
              </w:tc>
              <w:tc>
                <w:tcPr>
                  <w:tcW w:w="621" w:type="pct"/>
                  <w:shd w:val="clear" w:color="auto" w:fill="auto"/>
                  <w:vAlign w:val="center"/>
                </w:tcPr>
                <w:p w14:paraId="2668750D">
                  <w:pPr>
                    <w:adjustRightInd w:val="0"/>
                    <w:snapToGrid w:val="0"/>
                    <w:jc w:val="center"/>
                    <w:rPr>
                      <w:kern w:val="0"/>
                      <w:szCs w:val="21"/>
                    </w:rPr>
                  </w:pPr>
                  <w:r>
                    <w:rPr>
                      <w:rFonts w:hint="eastAsia"/>
                      <w:kern w:val="0"/>
                      <w:szCs w:val="21"/>
                    </w:rPr>
                    <w:t>10</w:t>
                  </w:r>
                </w:p>
              </w:tc>
              <w:tc>
                <w:tcPr>
                  <w:tcW w:w="622" w:type="pct"/>
                  <w:shd w:val="clear" w:color="auto" w:fill="auto"/>
                  <w:vAlign w:val="center"/>
                </w:tcPr>
                <w:p w14:paraId="105F4699">
                  <w:pPr>
                    <w:adjustRightInd w:val="0"/>
                    <w:snapToGrid w:val="0"/>
                    <w:jc w:val="center"/>
                    <w:rPr>
                      <w:kern w:val="0"/>
                      <w:szCs w:val="21"/>
                    </w:rPr>
                  </w:pPr>
                  <w:r>
                    <w:rPr>
                      <w:kern w:val="0"/>
                      <w:szCs w:val="21"/>
                    </w:rPr>
                    <w:t>mg/L</w:t>
                  </w:r>
                </w:p>
              </w:tc>
            </w:tr>
            <w:tr w14:paraId="4A3275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2BC74B1B">
                  <w:pPr>
                    <w:adjustRightInd w:val="0"/>
                    <w:snapToGrid w:val="0"/>
                    <w:jc w:val="center"/>
                    <w:rPr>
                      <w:kern w:val="0"/>
                      <w:szCs w:val="21"/>
                    </w:rPr>
                  </w:pPr>
                  <w:r>
                    <w:rPr>
                      <w:kern w:val="0"/>
                      <w:szCs w:val="21"/>
                    </w:rPr>
                    <w:t>5</w:t>
                  </w:r>
                </w:p>
              </w:tc>
              <w:tc>
                <w:tcPr>
                  <w:tcW w:w="620" w:type="pct"/>
                  <w:shd w:val="clear" w:color="auto" w:fill="auto"/>
                  <w:vAlign w:val="center"/>
                </w:tcPr>
                <w:p w14:paraId="17991C8F">
                  <w:pPr>
                    <w:adjustRightInd w:val="0"/>
                    <w:snapToGrid w:val="0"/>
                    <w:jc w:val="center"/>
                    <w:rPr>
                      <w:kern w:val="0"/>
                      <w:szCs w:val="21"/>
                    </w:rPr>
                  </w:pPr>
                  <w:r>
                    <w:rPr>
                      <w:kern w:val="0"/>
                      <w:szCs w:val="21"/>
                    </w:rPr>
                    <w:t>氨氮</w:t>
                  </w:r>
                </w:p>
              </w:tc>
              <w:tc>
                <w:tcPr>
                  <w:tcW w:w="907" w:type="pct"/>
                  <w:shd w:val="clear" w:color="auto" w:fill="auto"/>
                  <w:vAlign w:val="center"/>
                </w:tcPr>
                <w:p w14:paraId="67E953F1">
                  <w:pPr>
                    <w:adjustRightInd w:val="0"/>
                    <w:snapToGrid w:val="0"/>
                    <w:jc w:val="center"/>
                    <w:rPr>
                      <w:kern w:val="0"/>
                      <w:szCs w:val="21"/>
                    </w:rPr>
                  </w:pPr>
                  <w:r>
                    <w:rPr>
                      <w:rFonts w:hint="eastAsia"/>
                      <w:kern w:val="0"/>
                      <w:szCs w:val="21"/>
                    </w:rPr>
                    <w:t>/</w:t>
                  </w:r>
                </w:p>
              </w:tc>
              <w:tc>
                <w:tcPr>
                  <w:tcW w:w="623" w:type="pct"/>
                  <w:shd w:val="clear" w:color="auto" w:fill="auto"/>
                  <w:vAlign w:val="center"/>
                </w:tcPr>
                <w:p w14:paraId="7D463504">
                  <w:pPr>
                    <w:adjustRightInd w:val="0"/>
                    <w:snapToGrid w:val="0"/>
                    <w:jc w:val="center"/>
                    <w:rPr>
                      <w:kern w:val="0"/>
                      <w:szCs w:val="21"/>
                    </w:rPr>
                  </w:pPr>
                  <w:r>
                    <w:rPr>
                      <w:kern w:val="0"/>
                      <w:szCs w:val="21"/>
                    </w:rPr>
                    <w:t>mg/L</w:t>
                  </w:r>
                </w:p>
              </w:tc>
              <w:tc>
                <w:tcPr>
                  <w:tcW w:w="621" w:type="pct"/>
                  <w:vAlign w:val="center"/>
                </w:tcPr>
                <w:p w14:paraId="096CCCF2">
                  <w:pPr>
                    <w:adjustRightInd w:val="0"/>
                    <w:snapToGrid w:val="0"/>
                    <w:jc w:val="center"/>
                    <w:rPr>
                      <w:kern w:val="0"/>
                      <w:szCs w:val="21"/>
                    </w:rPr>
                  </w:pPr>
                  <w:r>
                    <w:rPr>
                      <w:rFonts w:hint="eastAsia"/>
                      <w:kern w:val="0"/>
                      <w:szCs w:val="21"/>
                    </w:rPr>
                    <w:t>/</w:t>
                  </w:r>
                </w:p>
              </w:tc>
              <w:tc>
                <w:tcPr>
                  <w:tcW w:w="623" w:type="pct"/>
                  <w:shd w:val="clear" w:color="auto" w:fill="auto"/>
                  <w:vAlign w:val="center"/>
                </w:tcPr>
                <w:p w14:paraId="2DFF285F">
                  <w:pPr>
                    <w:adjustRightInd w:val="0"/>
                    <w:snapToGrid w:val="0"/>
                    <w:jc w:val="center"/>
                    <w:rPr>
                      <w:kern w:val="0"/>
                      <w:szCs w:val="21"/>
                    </w:rPr>
                  </w:pPr>
                  <w:r>
                    <w:rPr>
                      <w:kern w:val="0"/>
                      <w:szCs w:val="21"/>
                    </w:rPr>
                    <w:t>mg/L</w:t>
                  </w:r>
                </w:p>
              </w:tc>
              <w:tc>
                <w:tcPr>
                  <w:tcW w:w="621" w:type="pct"/>
                  <w:shd w:val="clear" w:color="auto" w:fill="auto"/>
                  <w:vAlign w:val="center"/>
                </w:tcPr>
                <w:p w14:paraId="30BC90CA">
                  <w:pPr>
                    <w:adjustRightInd w:val="0"/>
                    <w:snapToGrid w:val="0"/>
                    <w:jc w:val="center"/>
                    <w:rPr>
                      <w:kern w:val="0"/>
                      <w:szCs w:val="21"/>
                    </w:rPr>
                  </w:pPr>
                  <w:r>
                    <w:rPr>
                      <w:rFonts w:hint="eastAsia"/>
                      <w:kern w:val="0"/>
                      <w:szCs w:val="21"/>
                    </w:rPr>
                    <w:t>5（8）</w:t>
                  </w:r>
                </w:p>
              </w:tc>
              <w:tc>
                <w:tcPr>
                  <w:tcW w:w="622" w:type="pct"/>
                  <w:shd w:val="clear" w:color="auto" w:fill="auto"/>
                  <w:vAlign w:val="center"/>
                </w:tcPr>
                <w:p w14:paraId="4D0B6BC6">
                  <w:pPr>
                    <w:adjustRightInd w:val="0"/>
                    <w:snapToGrid w:val="0"/>
                    <w:jc w:val="center"/>
                    <w:rPr>
                      <w:kern w:val="0"/>
                      <w:szCs w:val="21"/>
                    </w:rPr>
                  </w:pPr>
                  <w:r>
                    <w:rPr>
                      <w:kern w:val="0"/>
                      <w:szCs w:val="21"/>
                    </w:rPr>
                    <w:t>mg/L</w:t>
                  </w:r>
                </w:p>
              </w:tc>
            </w:tr>
            <w:tr w14:paraId="0E87E5C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0CCBEEA9">
                  <w:pPr>
                    <w:adjustRightInd w:val="0"/>
                    <w:snapToGrid w:val="0"/>
                    <w:jc w:val="center"/>
                    <w:rPr>
                      <w:kern w:val="0"/>
                      <w:szCs w:val="21"/>
                    </w:rPr>
                  </w:pPr>
                  <w:r>
                    <w:rPr>
                      <w:kern w:val="0"/>
                      <w:szCs w:val="21"/>
                    </w:rPr>
                    <w:t>6</w:t>
                  </w:r>
                </w:p>
              </w:tc>
              <w:tc>
                <w:tcPr>
                  <w:tcW w:w="620" w:type="pct"/>
                  <w:shd w:val="clear" w:color="auto" w:fill="auto"/>
                  <w:vAlign w:val="center"/>
                </w:tcPr>
                <w:p w14:paraId="068F8664">
                  <w:pPr>
                    <w:adjustRightInd w:val="0"/>
                    <w:snapToGrid w:val="0"/>
                    <w:jc w:val="center"/>
                    <w:rPr>
                      <w:kern w:val="0"/>
                      <w:szCs w:val="21"/>
                    </w:rPr>
                  </w:pPr>
                  <w:r>
                    <w:rPr>
                      <w:kern w:val="0"/>
                      <w:szCs w:val="21"/>
                    </w:rPr>
                    <w:t>动植物油</w:t>
                  </w:r>
                </w:p>
              </w:tc>
              <w:tc>
                <w:tcPr>
                  <w:tcW w:w="907" w:type="pct"/>
                  <w:shd w:val="clear" w:color="auto" w:fill="auto"/>
                  <w:vAlign w:val="center"/>
                </w:tcPr>
                <w:p w14:paraId="4B235842">
                  <w:pPr>
                    <w:adjustRightInd w:val="0"/>
                    <w:snapToGrid w:val="0"/>
                    <w:jc w:val="center"/>
                    <w:rPr>
                      <w:kern w:val="0"/>
                      <w:szCs w:val="21"/>
                    </w:rPr>
                  </w:pPr>
                  <w:r>
                    <w:rPr>
                      <w:rFonts w:hint="eastAsia"/>
                      <w:kern w:val="0"/>
                      <w:szCs w:val="21"/>
                    </w:rPr>
                    <w:t>100</w:t>
                  </w:r>
                </w:p>
              </w:tc>
              <w:tc>
                <w:tcPr>
                  <w:tcW w:w="623" w:type="pct"/>
                  <w:shd w:val="clear" w:color="auto" w:fill="auto"/>
                  <w:vAlign w:val="center"/>
                </w:tcPr>
                <w:p w14:paraId="25FDC314">
                  <w:pPr>
                    <w:adjustRightInd w:val="0"/>
                    <w:snapToGrid w:val="0"/>
                    <w:jc w:val="center"/>
                    <w:rPr>
                      <w:kern w:val="0"/>
                      <w:szCs w:val="21"/>
                    </w:rPr>
                  </w:pPr>
                  <w:r>
                    <w:rPr>
                      <w:kern w:val="0"/>
                      <w:szCs w:val="21"/>
                    </w:rPr>
                    <w:t>mg/L</w:t>
                  </w:r>
                </w:p>
              </w:tc>
              <w:tc>
                <w:tcPr>
                  <w:tcW w:w="621" w:type="pct"/>
                  <w:vAlign w:val="center"/>
                </w:tcPr>
                <w:p w14:paraId="1331ADB6">
                  <w:pPr>
                    <w:adjustRightInd w:val="0"/>
                    <w:snapToGrid w:val="0"/>
                    <w:jc w:val="center"/>
                    <w:rPr>
                      <w:kern w:val="0"/>
                      <w:szCs w:val="21"/>
                    </w:rPr>
                  </w:pPr>
                  <w:r>
                    <w:rPr>
                      <w:rFonts w:hint="eastAsia"/>
                      <w:kern w:val="0"/>
                      <w:szCs w:val="21"/>
                    </w:rPr>
                    <w:t>20</w:t>
                  </w:r>
                </w:p>
              </w:tc>
              <w:tc>
                <w:tcPr>
                  <w:tcW w:w="623" w:type="pct"/>
                  <w:shd w:val="clear" w:color="auto" w:fill="auto"/>
                  <w:vAlign w:val="center"/>
                </w:tcPr>
                <w:p w14:paraId="73E1D19E">
                  <w:pPr>
                    <w:adjustRightInd w:val="0"/>
                    <w:snapToGrid w:val="0"/>
                    <w:jc w:val="center"/>
                    <w:rPr>
                      <w:kern w:val="0"/>
                      <w:szCs w:val="21"/>
                    </w:rPr>
                  </w:pPr>
                  <w:r>
                    <w:rPr>
                      <w:kern w:val="0"/>
                      <w:szCs w:val="21"/>
                    </w:rPr>
                    <w:t>mg/L</w:t>
                  </w:r>
                </w:p>
              </w:tc>
              <w:tc>
                <w:tcPr>
                  <w:tcW w:w="621" w:type="pct"/>
                  <w:shd w:val="clear" w:color="auto" w:fill="auto"/>
                  <w:vAlign w:val="center"/>
                </w:tcPr>
                <w:p w14:paraId="39338493">
                  <w:pPr>
                    <w:adjustRightInd w:val="0"/>
                    <w:snapToGrid w:val="0"/>
                    <w:jc w:val="center"/>
                    <w:rPr>
                      <w:kern w:val="0"/>
                      <w:szCs w:val="21"/>
                    </w:rPr>
                  </w:pPr>
                  <w:r>
                    <w:rPr>
                      <w:rFonts w:hint="eastAsia"/>
                      <w:kern w:val="0"/>
                      <w:szCs w:val="21"/>
                    </w:rPr>
                    <w:t>1</w:t>
                  </w:r>
                </w:p>
              </w:tc>
              <w:tc>
                <w:tcPr>
                  <w:tcW w:w="622" w:type="pct"/>
                  <w:shd w:val="clear" w:color="auto" w:fill="auto"/>
                  <w:vAlign w:val="center"/>
                </w:tcPr>
                <w:p w14:paraId="0871BDB8">
                  <w:pPr>
                    <w:adjustRightInd w:val="0"/>
                    <w:snapToGrid w:val="0"/>
                    <w:jc w:val="center"/>
                    <w:rPr>
                      <w:kern w:val="0"/>
                      <w:szCs w:val="21"/>
                    </w:rPr>
                  </w:pPr>
                  <w:r>
                    <w:rPr>
                      <w:kern w:val="0"/>
                      <w:szCs w:val="21"/>
                    </w:rPr>
                    <w:t>mg/L</w:t>
                  </w:r>
                </w:p>
              </w:tc>
            </w:tr>
            <w:tr w14:paraId="3A926F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0E87DEE3">
                  <w:pPr>
                    <w:adjustRightInd w:val="0"/>
                    <w:snapToGrid w:val="0"/>
                    <w:jc w:val="center"/>
                    <w:rPr>
                      <w:kern w:val="0"/>
                      <w:szCs w:val="21"/>
                    </w:rPr>
                  </w:pPr>
                  <w:r>
                    <w:rPr>
                      <w:rFonts w:hint="eastAsia"/>
                      <w:kern w:val="0"/>
                      <w:szCs w:val="21"/>
                    </w:rPr>
                    <w:t>7</w:t>
                  </w:r>
                </w:p>
              </w:tc>
              <w:tc>
                <w:tcPr>
                  <w:tcW w:w="620" w:type="pct"/>
                  <w:shd w:val="clear" w:color="auto" w:fill="auto"/>
                  <w:vAlign w:val="center"/>
                </w:tcPr>
                <w:p w14:paraId="0D7E7625">
                  <w:pPr>
                    <w:adjustRightInd w:val="0"/>
                    <w:snapToGrid w:val="0"/>
                    <w:jc w:val="center"/>
                    <w:rPr>
                      <w:kern w:val="0"/>
                      <w:szCs w:val="21"/>
                    </w:rPr>
                  </w:pPr>
                  <w:r>
                    <w:rPr>
                      <w:rFonts w:hint="eastAsia"/>
                      <w:kern w:val="0"/>
                      <w:szCs w:val="21"/>
                    </w:rPr>
                    <w:t>LAS</w:t>
                  </w:r>
                </w:p>
              </w:tc>
              <w:tc>
                <w:tcPr>
                  <w:tcW w:w="907" w:type="pct"/>
                  <w:shd w:val="clear" w:color="auto" w:fill="auto"/>
                  <w:vAlign w:val="center"/>
                </w:tcPr>
                <w:p w14:paraId="47872E73">
                  <w:pPr>
                    <w:adjustRightInd w:val="0"/>
                    <w:snapToGrid w:val="0"/>
                    <w:jc w:val="center"/>
                    <w:rPr>
                      <w:kern w:val="0"/>
                      <w:szCs w:val="21"/>
                    </w:rPr>
                  </w:pPr>
                  <w:r>
                    <w:rPr>
                      <w:rFonts w:hint="eastAsia"/>
                      <w:kern w:val="0"/>
                      <w:szCs w:val="21"/>
                    </w:rPr>
                    <w:t>20</w:t>
                  </w:r>
                </w:p>
              </w:tc>
              <w:tc>
                <w:tcPr>
                  <w:tcW w:w="623" w:type="pct"/>
                  <w:shd w:val="clear" w:color="auto" w:fill="auto"/>
                  <w:vAlign w:val="center"/>
                </w:tcPr>
                <w:p w14:paraId="280DD6C8">
                  <w:pPr>
                    <w:adjustRightInd w:val="0"/>
                    <w:snapToGrid w:val="0"/>
                    <w:jc w:val="center"/>
                    <w:rPr>
                      <w:kern w:val="0"/>
                      <w:szCs w:val="21"/>
                    </w:rPr>
                  </w:pPr>
                  <w:r>
                    <w:rPr>
                      <w:kern w:val="0"/>
                      <w:szCs w:val="21"/>
                    </w:rPr>
                    <w:t>mg/L</w:t>
                  </w:r>
                </w:p>
              </w:tc>
              <w:tc>
                <w:tcPr>
                  <w:tcW w:w="621" w:type="pct"/>
                  <w:vAlign w:val="center"/>
                </w:tcPr>
                <w:p w14:paraId="35F58ACD">
                  <w:pPr>
                    <w:adjustRightInd w:val="0"/>
                    <w:snapToGrid w:val="0"/>
                    <w:jc w:val="center"/>
                    <w:rPr>
                      <w:kern w:val="0"/>
                      <w:szCs w:val="21"/>
                    </w:rPr>
                  </w:pPr>
                  <w:r>
                    <w:rPr>
                      <w:rFonts w:hint="eastAsia"/>
                      <w:kern w:val="0"/>
                      <w:szCs w:val="21"/>
                    </w:rPr>
                    <w:t>10</w:t>
                  </w:r>
                </w:p>
              </w:tc>
              <w:tc>
                <w:tcPr>
                  <w:tcW w:w="623" w:type="pct"/>
                  <w:vAlign w:val="center"/>
                </w:tcPr>
                <w:p w14:paraId="27DAB3A4">
                  <w:pPr>
                    <w:adjustRightInd w:val="0"/>
                    <w:snapToGrid w:val="0"/>
                    <w:jc w:val="center"/>
                    <w:rPr>
                      <w:kern w:val="0"/>
                      <w:szCs w:val="21"/>
                    </w:rPr>
                  </w:pPr>
                  <w:r>
                    <w:rPr>
                      <w:kern w:val="0"/>
                      <w:szCs w:val="21"/>
                    </w:rPr>
                    <w:t>mg/L</w:t>
                  </w:r>
                </w:p>
              </w:tc>
              <w:tc>
                <w:tcPr>
                  <w:tcW w:w="621" w:type="pct"/>
                  <w:shd w:val="clear" w:color="auto" w:fill="auto"/>
                  <w:vAlign w:val="center"/>
                </w:tcPr>
                <w:p w14:paraId="0C2A53E7">
                  <w:pPr>
                    <w:adjustRightInd w:val="0"/>
                    <w:snapToGrid w:val="0"/>
                    <w:jc w:val="center"/>
                    <w:rPr>
                      <w:kern w:val="0"/>
                      <w:szCs w:val="21"/>
                    </w:rPr>
                  </w:pPr>
                  <w:r>
                    <w:rPr>
                      <w:rFonts w:hint="eastAsia"/>
                      <w:kern w:val="0"/>
                      <w:szCs w:val="21"/>
                    </w:rPr>
                    <w:t>0.5</w:t>
                  </w:r>
                </w:p>
              </w:tc>
              <w:tc>
                <w:tcPr>
                  <w:tcW w:w="622" w:type="pct"/>
                  <w:shd w:val="clear" w:color="auto" w:fill="auto"/>
                  <w:vAlign w:val="center"/>
                </w:tcPr>
                <w:p w14:paraId="4EE176AB">
                  <w:pPr>
                    <w:adjustRightInd w:val="0"/>
                    <w:snapToGrid w:val="0"/>
                    <w:jc w:val="center"/>
                    <w:rPr>
                      <w:kern w:val="0"/>
                      <w:szCs w:val="21"/>
                    </w:rPr>
                  </w:pPr>
                  <w:r>
                    <w:rPr>
                      <w:kern w:val="0"/>
                      <w:szCs w:val="21"/>
                    </w:rPr>
                    <w:t>mg/L</w:t>
                  </w:r>
                </w:p>
              </w:tc>
            </w:tr>
            <w:tr w14:paraId="6C592C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1EC621B1">
                  <w:pPr>
                    <w:adjustRightInd w:val="0"/>
                    <w:snapToGrid w:val="0"/>
                    <w:jc w:val="center"/>
                    <w:rPr>
                      <w:kern w:val="0"/>
                      <w:szCs w:val="21"/>
                    </w:rPr>
                  </w:pPr>
                  <w:r>
                    <w:rPr>
                      <w:rFonts w:hint="eastAsia"/>
                      <w:kern w:val="0"/>
                      <w:szCs w:val="21"/>
                    </w:rPr>
                    <w:t>8</w:t>
                  </w:r>
                </w:p>
              </w:tc>
              <w:tc>
                <w:tcPr>
                  <w:tcW w:w="620" w:type="pct"/>
                  <w:shd w:val="clear" w:color="auto" w:fill="auto"/>
                  <w:vAlign w:val="center"/>
                </w:tcPr>
                <w:p w14:paraId="320748E9">
                  <w:pPr>
                    <w:adjustRightInd w:val="0"/>
                    <w:snapToGrid w:val="0"/>
                    <w:jc w:val="center"/>
                    <w:rPr>
                      <w:kern w:val="0"/>
                      <w:szCs w:val="21"/>
                    </w:rPr>
                  </w:pPr>
                  <w:r>
                    <w:rPr>
                      <w:rFonts w:hint="eastAsia"/>
                      <w:kern w:val="0"/>
                      <w:szCs w:val="21"/>
                    </w:rPr>
                    <w:t>粪大肠菌群</w:t>
                  </w:r>
                </w:p>
              </w:tc>
              <w:tc>
                <w:tcPr>
                  <w:tcW w:w="907" w:type="pct"/>
                  <w:shd w:val="clear" w:color="auto" w:fill="auto"/>
                  <w:vAlign w:val="center"/>
                </w:tcPr>
                <w:p w14:paraId="5C84E2AB">
                  <w:pPr>
                    <w:adjustRightInd w:val="0"/>
                    <w:snapToGrid w:val="0"/>
                    <w:jc w:val="center"/>
                    <w:rPr>
                      <w:kern w:val="0"/>
                      <w:szCs w:val="21"/>
                    </w:rPr>
                  </w:pPr>
                  <w:r>
                    <w:rPr>
                      <w:rFonts w:hint="eastAsia"/>
                      <w:kern w:val="0"/>
                      <w:szCs w:val="21"/>
                    </w:rPr>
                    <w:t>5000</w:t>
                  </w:r>
                </w:p>
              </w:tc>
              <w:tc>
                <w:tcPr>
                  <w:tcW w:w="623" w:type="pct"/>
                  <w:shd w:val="clear" w:color="auto" w:fill="auto"/>
                  <w:vAlign w:val="center"/>
                </w:tcPr>
                <w:p w14:paraId="70F893A8">
                  <w:pPr>
                    <w:adjustRightInd w:val="0"/>
                    <w:snapToGrid w:val="0"/>
                    <w:jc w:val="center"/>
                    <w:rPr>
                      <w:kern w:val="0"/>
                      <w:szCs w:val="21"/>
                    </w:rPr>
                  </w:pPr>
                  <w:r>
                    <w:rPr>
                      <w:rFonts w:hint="eastAsia"/>
                      <w:kern w:val="0"/>
                      <w:szCs w:val="21"/>
                    </w:rPr>
                    <w:t>MPN/L</w:t>
                  </w:r>
                </w:p>
              </w:tc>
              <w:tc>
                <w:tcPr>
                  <w:tcW w:w="621" w:type="pct"/>
                  <w:vAlign w:val="center"/>
                </w:tcPr>
                <w:p w14:paraId="0B45968F">
                  <w:pPr>
                    <w:adjustRightInd w:val="0"/>
                    <w:snapToGrid w:val="0"/>
                    <w:jc w:val="center"/>
                    <w:rPr>
                      <w:kern w:val="0"/>
                      <w:szCs w:val="21"/>
                    </w:rPr>
                  </w:pPr>
                  <w:r>
                    <w:rPr>
                      <w:rFonts w:hint="eastAsia"/>
                      <w:kern w:val="0"/>
                      <w:szCs w:val="21"/>
                    </w:rPr>
                    <w:t>5000</w:t>
                  </w:r>
                </w:p>
              </w:tc>
              <w:tc>
                <w:tcPr>
                  <w:tcW w:w="623" w:type="pct"/>
                  <w:vAlign w:val="center"/>
                </w:tcPr>
                <w:p w14:paraId="07ADAF9D">
                  <w:pPr>
                    <w:adjustRightInd w:val="0"/>
                    <w:snapToGrid w:val="0"/>
                    <w:jc w:val="center"/>
                    <w:rPr>
                      <w:kern w:val="0"/>
                      <w:szCs w:val="21"/>
                    </w:rPr>
                  </w:pPr>
                  <w:r>
                    <w:rPr>
                      <w:rFonts w:hint="eastAsia"/>
                      <w:kern w:val="0"/>
                      <w:szCs w:val="21"/>
                    </w:rPr>
                    <w:t>MPN/L</w:t>
                  </w:r>
                </w:p>
              </w:tc>
              <w:tc>
                <w:tcPr>
                  <w:tcW w:w="621" w:type="pct"/>
                  <w:shd w:val="clear" w:color="auto" w:fill="auto"/>
                  <w:vAlign w:val="center"/>
                </w:tcPr>
                <w:p w14:paraId="2D36CE56">
                  <w:pPr>
                    <w:adjustRightInd w:val="0"/>
                    <w:snapToGrid w:val="0"/>
                    <w:jc w:val="center"/>
                    <w:rPr>
                      <w:kern w:val="0"/>
                      <w:szCs w:val="21"/>
                    </w:rPr>
                  </w:pPr>
                  <w:r>
                    <w:rPr>
                      <w:rFonts w:hint="eastAsia"/>
                      <w:kern w:val="0"/>
                      <w:szCs w:val="21"/>
                    </w:rPr>
                    <w:t>1000</w:t>
                  </w:r>
                </w:p>
              </w:tc>
              <w:tc>
                <w:tcPr>
                  <w:tcW w:w="622" w:type="pct"/>
                  <w:shd w:val="clear" w:color="auto" w:fill="auto"/>
                  <w:vAlign w:val="center"/>
                </w:tcPr>
                <w:p w14:paraId="2A968AD7">
                  <w:pPr>
                    <w:adjustRightInd w:val="0"/>
                    <w:snapToGrid w:val="0"/>
                    <w:jc w:val="center"/>
                    <w:rPr>
                      <w:kern w:val="0"/>
                      <w:szCs w:val="21"/>
                    </w:rPr>
                  </w:pPr>
                  <w:r>
                    <w:rPr>
                      <w:rFonts w:hint="eastAsia"/>
                      <w:kern w:val="0"/>
                      <w:szCs w:val="21"/>
                    </w:rPr>
                    <w:t>MPN/L</w:t>
                  </w:r>
                </w:p>
              </w:tc>
            </w:tr>
            <w:tr w14:paraId="7AC345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360" w:type="pct"/>
                  <w:shd w:val="clear" w:color="auto" w:fill="auto"/>
                  <w:vAlign w:val="center"/>
                </w:tcPr>
                <w:p w14:paraId="340E0964">
                  <w:pPr>
                    <w:adjustRightInd w:val="0"/>
                    <w:snapToGrid w:val="0"/>
                    <w:jc w:val="center"/>
                    <w:rPr>
                      <w:kern w:val="0"/>
                      <w:szCs w:val="21"/>
                    </w:rPr>
                  </w:pPr>
                  <w:r>
                    <w:rPr>
                      <w:rFonts w:hint="eastAsia"/>
                      <w:kern w:val="0"/>
                      <w:szCs w:val="21"/>
                    </w:rPr>
                    <w:t>9</w:t>
                  </w:r>
                </w:p>
              </w:tc>
              <w:tc>
                <w:tcPr>
                  <w:tcW w:w="620" w:type="pct"/>
                  <w:shd w:val="clear" w:color="auto" w:fill="auto"/>
                  <w:vAlign w:val="center"/>
                </w:tcPr>
                <w:p w14:paraId="198B0CC9">
                  <w:pPr>
                    <w:adjustRightInd w:val="0"/>
                    <w:snapToGrid w:val="0"/>
                    <w:jc w:val="center"/>
                    <w:rPr>
                      <w:kern w:val="0"/>
                      <w:szCs w:val="21"/>
                    </w:rPr>
                  </w:pPr>
                  <w:r>
                    <w:rPr>
                      <w:rFonts w:hint="eastAsia"/>
                      <w:kern w:val="0"/>
                      <w:szCs w:val="21"/>
                    </w:rPr>
                    <w:t>总余氯</w:t>
                  </w:r>
                </w:p>
              </w:tc>
              <w:tc>
                <w:tcPr>
                  <w:tcW w:w="907" w:type="pct"/>
                  <w:shd w:val="clear" w:color="auto" w:fill="auto"/>
                  <w:vAlign w:val="center"/>
                </w:tcPr>
                <w:p w14:paraId="06762B21">
                  <w:pPr>
                    <w:adjustRightInd w:val="0"/>
                    <w:snapToGrid w:val="0"/>
                    <w:jc w:val="center"/>
                    <w:rPr>
                      <w:kern w:val="0"/>
                      <w:szCs w:val="21"/>
                    </w:rPr>
                  </w:pPr>
                  <w:r>
                    <w:rPr>
                      <w:rFonts w:hint="eastAsia"/>
                      <w:kern w:val="0"/>
                      <w:szCs w:val="21"/>
                    </w:rPr>
                    <w:t>2</w:t>
                  </w:r>
                </w:p>
              </w:tc>
              <w:tc>
                <w:tcPr>
                  <w:tcW w:w="623" w:type="pct"/>
                  <w:shd w:val="clear" w:color="auto" w:fill="auto"/>
                  <w:vAlign w:val="center"/>
                </w:tcPr>
                <w:p w14:paraId="7E6135A0">
                  <w:pPr>
                    <w:adjustRightInd w:val="0"/>
                    <w:snapToGrid w:val="0"/>
                    <w:jc w:val="center"/>
                    <w:rPr>
                      <w:kern w:val="0"/>
                      <w:szCs w:val="21"/>
                    </w:rPr>
                  </w:pPr>
                  <w:r>
                    <w:rPr>
                      <w:kern w:val="0"/>
                      <w:szCs w:val="21"/>
                    </w:rPr>
                    <w:t>mg/L</w:t>
                  </w:r>
                </w:p>
              </w:tc>
              <w:tc>
                <w:tcPr>
                  <w:tcW w:w="621" w:type="pct"/>
                  <w:vAlign w:val="center"/>
                </w:tcPr>
                <w:p w14:paraId="72533482">
                  <w:pPr>
                    <w:adjustRightInd w:val="0"/>
                    <w:snapToGrid w:val="0"/>
                    <w:jc w:val="center"/>
                    <w:rPr>
                      <w:kern w:val="0"/>
                      <w:szCs w:val="21"/>
                    </w:rPr>
                  </w:pPr>
                  <w:r>
                    <w:rPr>
                      <w:rFonts w:hint="eastAsia"/>
                      <w:kern w:val="0"/>
                      <w:szCs w:val="21"/>
                    </w:rPr>
                    <w:t>/</w:t>
                  </w:r>
                </w:p>
              </w:tc>
              <w:tc>
                <w:tcPr>
                  <w:tcW w:w="623" w:type="pct"/>
                  <w:vAlign w:val="center"/>
                </w:tcPr>
                <w:p w14:paraId="7D1242F4">
                  <w:pPr>
                    <w:adjustRightInd w:val="0"/>
                    <w:snapToGrid w:val="0"/>
                    <w:jc w:val="center"/>
                    <w:rPr>
                      <w:kern w:val="0"/>
                      <w:szCs w:val="21"/>
                    </w:rPr>
                  </w:pPr>
                  <w:r>
                    <w:rPr>
                      <w:kern w:val="0"/>
                      <w:szCs w:val="21"/>
                    </w:rPr>
                    <w:t>mg/L</w:t>
                  </w:r>
                </w:p>
              </w:tc>
              <w:tc>
                <w:tcPr>
                  <w:tcW w:w="621" w:type="pct"/>
                  <w:shd w:val="clear" w:color="auto" w:fill="auto"/>
                  <w:vAlign w:val="center"/>
                </w:tcPr>
                <w:p w14:paraId="409F81DA">
                  <w:pPr>
                    <w:adjustRightInd w:val="0"/>
                    <w:snapToGrid w:val="0"/>
                    <w:jc w:val="center"/>
                    <w:rPr>
                      <w:kern w:val="0"/>
                      <w:szCs w:val="21"/>
                    </w:rPr>
                  </w:pPr>
                  <w:r>
                    <w:rPr>
                      <w:rFonts w:hint="eastAsia"/>
                      <w:kern w:val="0"/>
                      <w:szCs w:val="21"/>
                    </w:rPr>
                    <w:t>/</w:t>
                  </w:r>
                </w:p>
              </w:tc>
              <w:tc>
                <w:tcPr>
                  <w:tcW w:w="622" w:type="pct"/>
                  <w:shd w:val="clear" w:color="auto" w:fill="auto"/>
                  <w:vAlign w:val="center"/>
                </w:tcPr>
                <w:p w14:paraId="424561BC">
                  <w:pPr>
                    <w:adjustRightInd w:val="0"/>
                    <w:snapToGrid w:val="0"/>
                    <w:jc w:val="center"/>
                    <w:rPr>
                      <w:kern w:val="0"/>
                      <w:szCs w:val="21"/>
                    </w:rPr>
                  </w:pPr>
                  <w:r>
                    <w:rPr>
                      <w:kern w:val="0"/>
                      <w:szCs w:val="21"/>
                    </w:rPr>
                    <w:t>mg/L</w:t>
                  </w:r>
                </w:p>
              </w:tc>
            </w:tr>
          </w:tbl>
          <w:p w14:paraId="304C8361">
            <w:pPr>
              <w:adjustRightInd w:val="0"/>
              <w:snapToGrid w:val="0"/>
              <w:spacing w:line="360" w:lineRule="auto"/>
              <w:ind w:firstLine="482" w:firstLineChars="200"/>
              <w:rPr>
                <w:rFonts w:hint="eastAsia" w:ascii="宋体" w:hAnsi="宋体" w:cs="宋体"/>
                <w:b/>
                <w:kern w:val="0"/>
                <w:sz w:val="24"/>
              </w:rPr>
            </w:pPr>
            <w:r>
              <w:rPr>
                <w:rFonts w:hint="eastAsia" w:ascii="宋体" w:hAnsi="宋体" w:cs="宋体"/>
                <w:b/>
                <w:kern w:val="0"/>
                <w:sz w:val="24"/>
              </w:rPr>
              <w:t>三、噪声</w:t>
            </w:r>
          </w:p>
          <w:p w14:paraId="0258ED0B">
            <w:pPr>
              <w:adjustRightInd w:val="0"/>
              <w:snapToGrid w:val="0"/>
              <w:spacing w:line="360" w:lineRule="auto"/>
              <w:ind w:firstLine="480" w:firstLineChars="200"/>
              <w:rPr>
                <w:sz w:val="24"/>
              </w:rPr>
            </w:pPr>
            <w:r>
              <w:rPr>
                <w:rFonts w:hint="eastAsia"/>
                <w:sz w:val="24"/>
              </w:rPr>
              <w:t>项目施工期执行《建筑施工场界环境噪声排放标准》（</w:t>
            </w:r>
            <w:r>
              <w:rPr>
                <w:sz w:val="24"/>
              </w:rPr>
              <w:t>GB12523-2011</w:t>
            </w:r>
            <w:r>
              <w:rPr>
                <w:rFonts w:hint="eastAsia"/>
                <w:sz w:val="24"/>
              </w:rPr>
              <w:t>）；</w:t>
            </w:r>
            <w:r>
              <w:rPr>
                <w:sz w:val="24"/>
              </w:rPr>
              <w:t>项目运营期</w:t>
            </w:r>
            <w:r>
              <w:rPr>
                <w:rFonts w:hint="eastAsia"/>
                <w:sz w:val="24"/>
              </w:rPr>
              <w:t>东侧</w:t>
            </w:r>
            <w:r>
              <w:rPr>
                <w:sz w:val="24"/>
              </w:rPr>
              <w:t>厂界噪声执行《工业企业厂界环境噪声排放标准》（GB12348-2008）</w:t>
            </w:r>
            <w:r>
              <w:rPr>
                <w:rFonts w:hint="eastAsia"/>
                <w:sz w:val="24"/>
              </w:rPr>
              <w:t>4</w:t>
            </w:r>
            <w:r>
              <w:rPr>
                <w:sz w:val="24"/>
              </w:rPr>
              <w:t>类标准，</w:t>
            </w:r>
            <w:r>
              <w:rPr>
                <w:rFonts w:hint="eastAsia"/>
                <w:sz w:val="24"/>
              </w:rPr>
              <w:t>西、南、北</w:t>
            </w:r>
            <w:r>
              <w:rPr>
                <w:sz w:val="24"/>
              </w:rPr>
              <w:t>厂界噪声执行《工业企业厂界环境噪声排放标准》（GB12348-2008）</w:t>
            </w:r>
            <w:r>
              <w:rPr>
                <w:rFonts w:hint="eastAsia"/>
                <w:sz w:val="24"/>
              </w:rPr>
              <w:t>3</w:t>
            </w:r>
            <w:r>
              <w:rPr>
                <w:sz w:val="24"/>
              </w:rPr>
              <w:t>类标准。具体标准值见表</w:t>
            </w:r>
            <w:r>
              <w:rPr>
                <w:rFonts w:hint="eastAsia"/>
                <w:sz w:val="24"/>
              </w:rPr>
              <w:t>3-13、3-14</w:t>
            </w:r>
            <w:r>
              <w:rPr>
                <w:sz w:val="24"/>
              </w:rPr>
              <w:t>。</w:t>
            </w:r>
          </w:p>
          <w:p w14:paraId="288A7971">
            <w:pPr>
              <w:pStyle w:val="6"/>
              <w:spacing w:before="120" w:beforeLines="50"/>
              <w:rPr>
                <w:rFonts w:ascii="Times New Roman" w:hAnsi="Times New Roman"/>
                <w:color w:val="auto"/>
                <w:sz w:val="21"/>
              </w:rPr>
            </w:pPr>
            <w:r>
              <w:rPr>
                <w:rFonts w:ascii="Times New Roman" w:hAnsi="Times New Roman"/>
                <w:color w:val="auto"/>
                <w:sz w:val="21"/>
              </w:rPr>
              <w:t>表</w:t>
            </w:r>
            <w:r>
              <w:rPr>
                <w:rFonts w:hint="eastAsia" w:ascii="Times New Roman" w:hAnsi="Times New Roman"/>
                <w:color w:val="auto"/>
                <w:sz w:val="21"/>
              </w:rPr>
              <w:t xml:space="preserve">3-13  </w:t>
            </w:r>
            <w:r>
              <w:rPr>
                <w:rFonts w:ascii="Times New Roman" w:hAnsi="Times New Roman"/>
                <w:color w:val="auto"/>
                <w:sz w:val="21"/>
              </w:rPr>
              <w:t>项目施工期噪声排放执行标准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18"/>
              <w:gridCol w:w="2444"/>
              <w:gridCol w:w="2322"/>
            </w:tblGrid>
            <w:tr w14:paraId="06369B1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2461" w:type="pct"/>
                  <w:vMerge w:val="restart"/>
                  <w:vAlign w:val="center"/>
                </w:tcPr>
                <w:p w14:paraId="6361B19A">
                  <w:pPr>
                    <w:pStyle w:val="37"/>
                    <w:spacing w:line="240" w:lineRule="auto"/>
                    <w:jc w:val="center"/>
                    <w:rPr>
                      <w:rFonts w:eastAsia="宋体"/>
                      <w:b/>
                      <w:sz w:val="21"/>
                      <w:szCs w:val="21"/>
                    </w:rPr>
                  </w:pPr>
                  <w:r>
                    <w:rPr>
                      <w:rFonts w:eastAsia="宋体"/>
                      <w:b/>
                      <w:sz w:val="21"/>
                      <w:szCs w:val="21"/>
                    </w:rPr>
                    <w:t>类别</w:t>
                  </w:r>
                </w:p>
              </w:tc>
              <w:tc>
                <w:tcPr>
                  <w:tcW w:w="2539" w:type="pct"/>
                  <w:gridSpan w:val="2"/>
                  <w:vAlign w:val="center"/>
                </w:tcPr>
                <w:p w14:paraId="35E751B7">
                  <w:pPr>
                    <w:pStyle w:val="37"/>
                    <w:spacing w:line="240" w:lineRule="auto"/>
                    <w:jc w:val="center"/>
                    <w:rPr>
                      <w:rFonts w:eastAsia="宋体"/>
                      <w:b/>
                      <w:sz w:val="21"/>
                      <w:szCs w:val="21"/>
                    </w:rPr>
                  </w:pPr>
                  <w:r>
                    <w:rPr>
                      <w:rFonts w:eastAsia="宋体"/>
                      <w:b/>
                      <w:sz w:val="21"/>
                      <w:szCs w:val="21"/>
                    </w:rPr>
                    <w:t>标准值dB（</w:t>
                  </w:r>
                  <w:r>
                    <w:rPr>
                      <w:rFonts w:hint="eastAsia" w:eastAsia="宋体"/>
                      <w:b/>
                      <w:sz w:val="21"/>
                      <w:szCs w:val="21"/>
                    </w:rPr>
                    <w:t>A</w:t>
                  </w:r>
                  <w:r>
                    <w:rPr>
                      <w:rFonts w:eastAsia="宋体"/>
                      <w:b/>
                      <w:sz w:val="21"/>
                      <w:szCs w:val="21"/>
                    </w:rPr>
                    <w:t>）</w:t>
                  </w:r>
                </w:p>
              </w:tc>
            </w:tr>
            <w:tr w14:paraId="1B78B6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1" w:type="pct"/>
                  <w:vMerge w:val="continue"/>
                  <w:vAlign w:val="center"/>
                </w:tcPr>
                <w:p w14:paraId="77E9AC3B">
                  <w:pPr>
                    <w:pStyle w:val="37"/>
                    <w:spacing w:line="240" w:lineRule="auto"/>
                    <w:jc w:val="center"/>
                    <w:rPr>
                      <w:rFonts w:eastAsia="宋体"/>
                      <w:b/>
                      <w:sz w:val="21"/>
                      <w:szCs w:val="21"/>
                    </w:rPr>
                  </w:pPr>
                </w:p>
              </w:tc>
              <w:tc>
                <w:tcPr>
                  <w:tcW w:w="1302" w:type="pct"/>
                  <w:vAlign w:val="center"/>
                </w:tcPr>
                <w:p w14:paraId="5A814792">
                  <w:pPr>
                    <w:pStyle w:val="37"/>
                    <w:spacing w:line="240" w:lineRule="auto"/>
                    <w:jc w:val="center"/>
                    <w:rPr>
                      <w:rFonts w:eastAsia="宋体"/>
                      <w:b/>
                      <w:sz w:val="21"/>
                      <w:szCs w:val="21"/>
                    </w:rPr>
                  </w:pPr>
                  <w:r>
                    <w:rPr>
                      <w:rFonts w:eastAsia="宋体"/>
                      <w:b/>
                      <w:sz w:val="21"/>
                      <w:szCs w:val="21"/>
                    </w:rPr>
                    <w:t>昼间</w:t>
                  </w:r>
                </w:p>
              </w:tc>
              <w:tc>
                <w:tcPr>
                  <w:tcW w:w="1237" w:type="pct"/>
                  <w:vAlign w:val="center"/>
                </w:tcPr>
                <w:p w14:paraId="2CA39ADC">
                  <w:pPr>
                    <w:pStyle w:val="37"/>
                    <w:spacing w:line="240" w:lineRule="auto"/>
                    <w:jc w:val="center"/>
                    <w:rPr>
                      <w:rFonts w:eastAsia="宋体"/>
                      <w:b/>
                      <w:sz w:val="21"/>
                      <w:szCs w:val="21"/>
                    </w:rPr>
                  </w:pPr>
                  <w:r>
                    <w:rPr>
                      <w:rFonts w:eastAsia="宋体"/>
                      <w:b/>
                      <w:sz w:val="21"/>
                      <w:szCs w:val="21"/>
                    </w:rPr>
                    <w:t>夜间</w:t>
                  </w:r>
                </w:p>
              </w:tc>
            </w:tr>
            <w:tr w14:paraId="16D75B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1" w:type="pct"/>
                  <w:vAlign w:val="center"/>
                </w:tcPr>
                <w:p w14:paraId="00F298ED">
                  <w:pPr>
                    <w:pStyle w:val="37"/>
                    <w:spacing w:line="240" w:lineRule="auto"/>
                    <w:jc w:val="center"/>
                    <w:rPr>
                      <w:rFonts w:eastAsia="宋体"/>
                      <w:sz w:val="21"/>
                      <w:szCs w:val="21"/>
                    </w:rPr>
                  </w:pPr>
                  <w:r>
                    <w:rPr>
                      <w:rFonts w:hint="eastAsia" w:eastAsia="宋体"/>
                      <w:sz w:val="21"/>
                      <w:szCs w:val="21"/>
                    </w:rPr>
                    <w:t>/</w:t>
                  </w:r>
                </w:p>
              </w:tc>
              <w:tc>
                <w:tcPr>
                  <w:tcW w:w="1302" w:type="pct"/>
                  <w:vAlign w:val="center"/>
                </w:tcPr>
                <w:p w14:paraId="75E159C4">
                  <w:pPr>
                    <w:pStyle w:val="37"/>
                    <w:spacing w:line="240" w:lineRule="auto"/>
                    <w:jc w:val="center"/>
                    <w:rPr>
                      <w:rFonts w:eastAsia="宋体"/>
                      <w:sz w:val="21"/>
                      <w:szCs w:val="21"/>
                    </w:rPr>
                  </w:pPr>
                  <w:r>
                    <w:rPr>
                      <w:rFonts w:hint="eastAsia" w:eastAsia="宋体"/>
                      <w:sz w:val="21"/>
                      <w:szCs w:val="21"/>
                    </w:rPr>
                    <w:t>70</w:t>
                  </w:r>
                </w:p>
              </w:tc>
              <w:tc>
                <w:tcPr>
                  <w:tcW w:w="1237" w:type="pct"/>
                  <w:vAlign w:val="center"/>
                </w:tcPr>
                <w:p w14:paraId="613DB1B5">
                  <w:pPr>
                    <w:pStyle w:val="37"/>
                    <w:spacing w:line="240" w:lineRule="auto"/>
                    <w:jc w:val="center"/>
                    <w:rPr>
                      <w:rFonts w:eastAsia="宋体"/>
                      <w:sz w:val="21"/>
                      <w:szCs w:val="21"/>
                    </w:rPr>
                  </w:pPr>
                  <w:r>
                    <w:rPr>
                      <w:rFonts w:hint="eastAsia" w:eastAsia="宋体"/>
                      <w:sz w:val="21"/>
                      <w:szCs w:val="21"/>
                    </w:rPr>
                    <w:t>55</w:t>
                  </w:r>
                </w:p>
              </w:tc>
            </w:tr>
            <w:tr w14:paraId="50F1D7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14:paraId="5EE6A26B">
                  <w:pPr>
                    <w:pStyle w:val="37"/>
                    <w:spacing w:line="240" w:lineRule="auto"/>
                    <w:jc w:val="center"/>
                    <w:rPr>
                      <w:rFonts w:eastAsia="宋体"/>
                      <w:sz w:val="21"/>
                      <w:szCs w:val="21"/>
                    </w:rPr>
                  </w:pPr>
                  <w:r>
                    <w:rPr>
                      <w:rFonts w:hint="eastAsia" w:eastAsia="宋体"/>
                      <w:sz w:val="21"/>
                      <w:szCs w:val="21"/>
                    </w:rPr>
                    <w:t>标准来源：《建筑施工场界环境噪声排放标准》（GB12523-2011）</w:t>
                  </w:r>
                </w:p>
              </w:tc>
            </w:tr>
          </w:tbl>
          <w:p w14:paraId="68E0B5BF">
            <w:pPr>
              <w:pStyle w:val="6"/>
              <w:spacing w:before="120" w:beforeLines="50"/>
              <w:rPr>
                <w:rFonts w:ascii="Times New Roman" w:hAnsi="Times New Roman"/>
                <w:color w:val="auto"/>
                <w:sz w:val="21"/>
              </w:rPr>
            </w:pPr>
            <w:r>
              <w:rPr>
                <w:rFonts w:ascii="Times New Roman" w:hAnsi="Times New Roman"/>
                <w:color w:val="auto"/>
                <w:sz w:val="21"/>
              </w:rPr>
              <w:t>表</w:t>
            </w:r>
            <w:r>
              <w:rPr>
                <w:rFonts w:hint="eastAsia" w:ascii="Times New Roman" w:hAnsi="Times New Roman"/>
                <w:color w:val="auto"/>
                <w:sz w:val="21"/>
              </w:rPr>
              <w:t xml:space="preserve">3-14  </w:t>
            </w:r>
            <w:r>
              <w:rPr>
                <w:rFonts w:ascii="Times New Roman" w:hAnsi="Times New Roman"/>
                <w:color w:val="auto"/>
                <w:sz w:val="21"/>
              </w:rPr>
              <w:t>项目运营期噪声排放执行标准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617"/>
              <w:gridCol w:w="2444"/>
              <w:gridCol w:w="2323"/>
            </w:tblGrid>
            <w:tr w14:paraId="320818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0" w:type="pct"/>
                  <w:vMerge w:val="restart"/>
                  <w:vAlign w:val="center"/>
                </w:tcPr>
                <w:p w14:paraId="0FA956DA">
                  <w:pPr>
                    <w:pStyle w:val="37"/>
                    <w:spacing w:line="240" w:lineRule="auto"/>
                    <w:jc w:val="center"/>
                    <w:rPr>
                      <w:rFonts w:eastAsia="宋体"/>
                      <w:b/>
                      <w:sz w:val="21"/>
                      <w:szCs w:val="21"/>
                    </w:rPr>
                  </w:pPr>
                  <w:r>
                    <w:rPr>
                      <w:rFonts w:eastAsia="宋体"/>
                      <w:b/>
                      <w:sz w:val="21"/>
                      <w:szCs w:val="21"/>
                    </w:rPr>
                    <w:t>厂界外声环境功能区类别</w:t>
                  </w:r>
                </w:p>
              </w:tc>
              <w:tc>
                <w:tcPr>
                  <w:tcW w:w="2539" w:type="pct"/>
                  <w:gridSpan w:val="2"/>
                  <w:vAlign w:val="center"/>
                </w:tcPr>
                <w:p w14:paraId="6E75A356">
                  <w:pPr>
                    <w:pStyle w:val="37"/>
                    <w:spacing w:line="240" w:lineRule="auto"/>
                    <w:jc w:val="center"/>
                    <w:rPr>
                      <w:rFonts w:eastAsia="宋体"/>
                      <w:b/>
                      <w:sz w:val="21"/>
                      <w:szCs w:val="21"/>
                    </w:rPr>
                  </w:pPr>
                  <w:r>
                    <w:rPr>
                      <w:rFonts w:eastAsia="宋体"/>
                      <w:b/>
                      <w:sz w:val="21"/>
                      <w:szCs w:val="21"/>
                    </w:rPr>
                    <w:t>标准值dB（</w:t>
                  </w:r>
                  <w:r>
                    <w:rPr>
                      <w:rFonts w:hint="eastAsia" w:eastAsia="宋体"/>
                      <w:b/>
                      <w:sz w:val="21"/>
                      <w:szCs w:val="21"/>
                    </w:rPr>
                    <w:t>A</w:t>
                  </w:r>
                  <w:r>
                    <w:rPr>
                      <w:rFonts w:eastAsia="宋体"/>
                      <w:b/>
                      <w:sz w:val="21"/>
                      <w:szCs w:val="21"/>
                    </w:rPr>
                    <w:t>）</w:t>
                  </w:r>
                </w:p>
              </w:tc>
            </w:tr>
            <w:tr w14:paraId="5713A2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0" w:type="pct"/>
                  <w:vMerge w:val="continue"/>
                  <w:vAlign w:val="center"/>
                </w:tcPr>
                <w:p w14:paraId="7BA65C43">
                  <w:pPr>
                    <w:pStyle w:val="37"/>
                    <w:spacing w:line="240" w:lineRule="auto"/>
                    <w:jc w:val="center"/>
                    <w:rPr>
                      <w:rFonts w:eastAsia="宋体"/>
                      <w:b/>
                      <w:sz w:val="21"/>
                      <w:szCs w:val="21"/>
                    </w:rPr>
                  </w:pPr>
                </w:p>
              </w:tc>
              <w:tc>
                <w:tcPr>
                  <w:tcW w:w="1302" w:type="pct"/>
                  <w:vAlign w:val="center"/>
                </w:tcPr>
                <w:p w14:paraId="382E6CE1">
                  <w:pPr>
                    <w:pStyle w:val="37"/>
                    <w:spacing w:line="240" w:lineRule="auto"/>
                    <w:jc w:val="center"/>
                    <w:rPr>
                      <w:rFonts w:eastAsia="宋体"/>
                      <w:b/>
                      <w:sz w:val="21"/>
                      <w:szCs w:val="21"/>
                    </w:rPr>
                  </w:pPr>
                  <w:r>
                    <w:rPr>
                      <w:rFonts w:eastAsia="宋体"/>
                      <w:b/>
                      <w:sz w:val="21"/>
                      <w:szCs w:val="21"/>
                    </w:rPr>
                    <w:t>昼间</w:t>
                  </w:r>
                </w:p>
              </w:tc>
              <w:tc>
                <w:tcPr>
                  <w:tcW w:w="1237" w:type="pct"/>
                  <w:vAlign w:val="center"/>
                </w:tcPr>
                <w:p w14:paraId="6813B500">
                  <w:pPr>
                    <w:pStyle w:val="37"/>
                    <w:spacing w:line="240" w:lineRule="auto"/>
                    <w:jc w:val="center"/>
                    <w:rPr>
                      <w:rFonts w:eastAsia="宋体"/>
                      <w:b/>
                      <w:sz w:val="21"/>
                      <w:szCs w:val="21"/>
                    </w:rPr>
                  </w:pPr>
                  <w:r>
                    <w:rPr>
                      <w:rFonts w:eastAsia="宋体"/>
                      <w:b/>
                      <w:sz w:val="21"/>
                      <w:szCs w:val="21"/>
                    </w:rPr>
                    <w:t>夜间</w:t>
                  </w:r>
                </w:p>
              </w:tc>
            </w:tr>
            <w:tr w14:paraId="4E3C3D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0" w:type="pct"/>
                  <w:vAlign w:val="center"/>
                </w:tcPr>
                <w:p w14:paraId="275B8DF1">
                  <w:pPr>
                    <w:pStyle w:val="37"/>
                    <w:spacing w:line="240" w:lineRule="auto"/>
                    <w:jc w:val="center"/>
                    <w:rPr>
                      <w:rFonts w:eastAsia="宋体"/>
                      <w:sz w:val="21"/>
                      <w:szCs w:val="21"/>
                    </w:rPr>
                  </w:pPr>
                  <w:r>
                    <w:rPr>
                      <w:rFonts w:hint="eastAsia" w:eastAsia="宋体"/>
                      <w:sz w:val="21"/>
                      <w:szCs w:val="21"/>
                    </w:rPr>
                    <w:t>3</w:t>
                  </w:r>
                  <w:r>
                    <w:rPr>
                      <w:rFonts w:eastAsia="宋体"/>
                      <w:sz w:val="21"/>
                      <w:szCs w:val="21"/>
                    </w:rPr>
                    <w:t>类</w:t>
                  </w:r>
                </w:p>
              </w:tc>
              <w:tc>
                <w:tcPr>
                  <w:tcW w:w="1302" w:type="pct"/>
                  <w:vAlign w:val="center"/>
                </w:tcPr>
                <w:p w14:paraId="7E611CFB">
                  <w:pPr>
                    <w:pStyle w:val="37"/>
                    <w:spacing w:line="240" w:lineRule="auto"/>
                    <w:jc w:val="center"/>
                    <w:rPr>
                      <w:rFonts w:eastAsia="宋体"/>
                      <w:sz w:val="21"/>
                      <w:szCs w:val="21"/>
                    </w:rPr>
                  </w:pPr>
                  <w:r>
                    <w:rPr>
                      <w:rFonts w:hint="eastAsia" w:eastAsia="宋体"/>
                      <w:sz w:val="21"/>
                      <w:szCs w:val="21"/>
                    </w:rPr>
                    <w:t>65</w:t>
                  </w:r>
                </w:p>
              </w:tc>
              <w:tc>
                <w:tcPr>
                  <w:tcW w:w="1237" w:type="pct"/>
                  <w:vAlign w:val="center"/>
                </w:tcPr>
                <w:p w14:paraId="6EA1BF7E">
                  <w:pPr>
                    <w:pStyle w:val="37"/>
                    <w:spacing w:line="240" w:lineRule="auto"/>
                    <w:jc w:val="center"/>
                    <w:rPr>
                      <w:rFonts w:eastAsia="宋体"/>
                      <w:sz w:val="21"/>
                      <w:szCs w:val="21"/>
                    </w:rPr>
                  </w:pPr>
                  <w:r>
                    <w:rPr>
                      <w:rFonts w:eastAsia="宋体"/>
                      <w:sz w:val="21"/>
                      <w:szCs w:val="21"/>
                    </w:rPr>
                    <w:t>5</w:t>
                  </w:r>
                  <w:r>
                    <w:rPr>
                      <w:rFonts w:hint="eastAsia" w:eastAsia="宋体"/>
                      <w:sz w:val="21"/>
                      <w:szCs w:val="21"/>
                    </w:rPr>
                    <w:t>5</w:t>
                  </w:r>
                </w:p>
              </w:tc>
            </w:tr>
            <w:tr w14:paraId="528A81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460" w:type="pct"/>
                  <w:vAlign w:val="center"/>
                </w:tcPr>
                <w:p w14:paraId="781B08FB">
                  <w:pPr>
                    <w:pStyle w:val="37"/>
                    <w:spacing w:line="240" w:lineRule="auto"/>
                    <w:jc w:val="center"/>
                    <w:rPr>
                      <w:rFonts w:eastAsia="宋体"/>
                      <w:sz w:val="21"/>
                      <w:szCs w:val="21"/>
                    </w:rPr>
                  </w:pPr>
                  <w:r>
                    <w:rPr>
                      <w:rFonts w:hint="eastAsia" w:eastAsia="宋体"/>
                      <w:sz w:val="21"/>
                      <w:szCs w:val="21"/>
                    </w:rPr>
                    <w:t>4类</w:t>
                  </w:r>
                </w:p>
              </w:tc>
              <w:tc>
                <w:tcPr>
                  <w:tcW w:w="1302" w:type="pct"/>
                  <w:vAlign w:val="center"/>
                </w:tcPr>
                <w:p w14:paraId="40347188">
                  <w:pPr>
                    <w:pStyle w:val="37"/>
                    <w:spacing w:line="240" w:lineRule="auto"/>
                    <w:jc w:val="center"/>
                    <w:rPr>
                      <w:rFonts w:eastAsia="宋体"/>
                      <w:sz w:val="21"/>
                      <w:szCs w:val="21"/>
                    </w:rPr>
                  </w:pPr>
                  <w:r>
                    <w:rPr>
                      <w:rFonts w:hint="eastAsia" w:eastAsia="宋体"/>
                      <w:sz w:val="21"/>
                      <w:szCs w:val="21"/>
                    </w:rPr>
                    <w:t>70</w:t>
                  </w:r>
                </w:p>
              </w:tc>
              <w:tc>
                <w:tcPr>
                  <w:tcW w:w="1237" w:type="pct"/>
                  <w:vAlign w:val="center"/>
                </w:tcPr>
                <w:p w14:paraId="36F43B0F">
                  <w:pPr>
                    <w:pStyle w:val="37"/>
                    <w:spacing w:line="240" w:lineRule="auto"/>
                    <w:jc w:val="center"/>
                    <w:rPr>
                      <w:rFonts w:eastAsia="宋体"/>
                      <w:sz w:val="21"/>
                      <w:szCs w:val="21"/>
                    </w:rPr>
                  </w:pPr>
                  <w:r>
                    <w:rPr>
                      <w:rFonts w:eastAsia="宋体"/>
                      <w:sz w:val="21"/>
                      <w:szCs w:val="21"/>
                    </w:rPr>
                    <w:t>5</w:t>
                  </w:r>
                  <w:r>
                    <w:rPr>
                      <w:rFonts w:hint="eastAsia" w:eastAsia="宋体"/>
                      <w:sz w:val="21"/>
                      <w:szCs w:val="21"/>
                    </w:rPr>
                    <w:t>5</w:t>
                  </w:r>
                </w:p>
              </w:tc>
            </w:tr>
            <w:tr w14:paraId="7CD9B9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3"/>
                  <w:vAlign w:val="center"/>
                </w:tcPr>
                <w:p w14:paraId="268FFC95">
                  <w:pPr>
                    <w:pStyle w:val="37"/>
                    <w:spacing w:line="240" w:lineRule="auto"/>
                    <w:jc w:val="center"/>
                    <w:rPr>
                      <w:rFonts w:eastAsia="宋体"/>
                      <w:sz w:val="21"/>
                      <w:szCs w:val="21"/>
                    </w:rPr>
                  </w:pPr>
                  <w:r>
                    <w:rPr>
                      <w:rFonts w:hint="eastAsia" w:eastAsia="宋体"/>
                      <w:sz w:val="21"/>
                      <w:szCs w:val="21"/>
                    </w:rPr>
                    <w:t>标准来源：《工业企业厂界环境噪声排放标准》（GB 12348-2008）</w:t>
                  </w:r>
                </w:p>
              </w:tc>
            </w:tr>
          </w:tbl>
          <w:p w14:paraId="47A09230">
            <w:pPr>
              <w:adjustRightInd w:val="0"/>
              <w:snapToGrid w:val="0"/>
              <w:spacing w:line="360" w:lineRule="auto"/>
              <w:ind w:firstLine="482" w:firstLineChars="200"/>
              <w:rPr>
                <w:rFonts w:hint="eastAsia" w:ascii="宋体" w:hAnsi="宋体" w:cs="宋体"/>
                <w:b/>
                <w:kern w:val="0"/>
                <w:sz w:val="24"/>
              </w:rPr>
            </w:pPr>
            <w:r>
              <w:rPr>
                <w:rFonts w:hint="eastAsia" w:ascii="宋体" w:hAnsi="宋体" w:cs="宋体"/>
                <w:b/>
                <w:kern w:val="0"/>
                <w:sz w:val="24"/>
              </w:rPr>
              <w:t>四、固体废弃物</w:t>
            </w:r>
          </w:p>
          <w:p w14:paraId="76151BDE">
            <w:pPr>
              <w:adjustRightInd w:val="0"/>
              <w:snapToGrid w:val="0"/>
              <w:spacing w:line="360" w:lineRule="auto"/>
              <w:ind w:firstLine="480" w:firstLineChars="200"/>
              <w:rPr>
                <w:rFonts w:hint="eastAsia" w:ascii="宋体" w:hAnsi="宋体" w:cs="宋体"/>
                <w:kern w:val="0"/>
                <w:sz w:val="24"/>
              </w:rPr>
            </w:pPr>
            <w:r>
              <w:rPr>
                <w:rFonts w:hint="eastAsia"/>
                <w:sz w:val="24"/>
              </w:rPr>
              <w:t>一般固体废弃物处置执行《一般工业固体废物贮存、处置场污染控制标准》（</w:t>
            </w:r>
            <w:r>
              <w:rPr>
                <w:sz w:val="24"/>
              </w:rPr>
              <w:t>GB18599-20</w:t>
            </w:r>
            <w:r>
              <w:rPr>
                <w:rFonts w:hint="eastAsia"/>
                <w:sz w:val="24"/>
              </w:rPr>
              <w:t>20）标准要求；危险废物贮存执行《危险废物贮存控制标准》（</w:t>
            </w:r>
            <w:r>
              <w:rPr>
                <w:sz w:val="24"/>
              </w:rPr>
              <w:t>18957-20</w:t>
            </w:r>
            <w:r>
              <w:rPr>
                <w:rFonts w:hint="eastAsia"/>
                <w:sz w:val="24"/>
              </w:rPr>
              <w:t>23）标准中相关要求。</w:t>
            </w:r>
          </w:p>
        </w:tc>
      </w:tr>
      <w:tr w14:paraId="730684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2" w:type="pct"/>
            <w:vAlign w:val="center"/>
          </w:tcPr>
          <w:p w14:paraId="48451326">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总量</w:t>
            </w:r>
          </w:p>
          <w:p w14:paraId="1CFC6F93">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控制</w:t>
            </w:r>
          </w:p>
          <w:p w14:paraId="1B511AEB">
            <w:pPr>
              <w:adjustRightInd w:val="0"/>
              <w:snapToGrid w:val="0"/>
              <w:jc w:val="center"/>
              <w:rPr>
                <w:rFonts w:hint="eastAsia" w:ascii="宋体" w:hAnsi="宋体" w:cs="宋体"/>
                <w:b/>
                <w:color w:val="auto"/>
                <w:kern w:val="0"/>
                <w:sz w:val="24"/>
              </w:rPr>
            </w:pPr>
            <w:r>
              <w:rPr>
                <w:rFonts w:hint="eastAsia" w:ascii="宋体" w:hAnsi="宋体" w:cs="宋体"/>
                <w:b/>
                <w:color w:val="auto"/>
                <w:kern w:val="0"/>
                <w:sz w:val="24"/>
              </w:rPr>
              <w:t>指标</w:t>
            </w:r>
          </w:p>
        </w:tc>
        <w:tc>
          <w:tcPr>
            <w:tcW w:w="4718" w:type="pct"/>
            <w:vAlign w:val="center"/>
          </w:tcPr>
          <w:p w14:paraId="11826BE9">
            <w:pPr>
              <w:keepNext w:val="0"/>
              <w:keepLines w:val="0"/>
              <w:pageBreakBefore w:val="0"/>
              <w:widowControl w:val="0"/>
              <w:kinsoku/>
              <w:wordWrap/>
              <w:overflowPunct/>
              <w:topLinePunct w:val="0"/>
              <w:autoSpaceDE/>
              <w:autoSpaceDN/>
              <w:bidi w:val="0"/>
              <w:spacing w:line="420" w:lineRule="exact"/>
              <w:ind w:firstLine="480" w:firstLineChars="200"/>
              <w:textAlignment w:val="baseline"/>
              <w:rPr>
                <w:color w:val="auto"/>
                <w:sz w:val="24"/>
                <w:szCs w:val="21"/>
              </w:rPr>
            </w:pPr>
            <w:r>
              <w:rPr>
                <w:color w:val="auto"/>
                <w:sz w:val="24"/>
                <w:szCs w:val="21"/>
              </w:rPr>
              <w:t>本项目营运期</w:t>
            </w:r>
            <w:r>
              <w:rPr>
                <w:rFonts w:hint="eastAsia"/>
                <w:color w:val="auto"/>
                <w:sz w:val="24"/>
                <w:szCs w:val="21"/>
              </w:rPr>
              <w:t>生活污水及洗涤废水经厂区自建废水处理站处理后达标外排，有COD</w:t>
            </w:r>
            <w:r>
              <w:rPr>
                <w:color w:val="auto"/>
                <w:sz w:val="24"/>
                <w:szCs w:val="21"/>
              </w:rPr>
              <w:t>及</w:t>
            </w:r>
            <w:r>
              <w:rPr>
                <w:rFonts w:hint="eastAsia"/>
                <w:color w:val="auto"/>
                <w:sz w:val="24"/>
                <w:szCs w:val="21"/>
              </w:rPr>
              <w:t>NH</w:t>
            </w:r>
            <w:r>
              <w:rPr>
                <w:rFonts w:hint="eastAsia"/>
                <w:color w:val="auto"/>
                <w:sz w:val="24"/>
                <w:szCs w:val="21"/>
                <w:vertAlign w:val="subscript"/>
              </w:rPr>
              <w:t>3</w:t>
            </w:r>
            <w:r>
              <w:rPr>
                <w:rFonts w:hint="eastAsia"/>
                <w:color w:val="auto"/>
                <w:sz w:val="24"/>
                <w:szCs w:val="21"/>
              </w:rPr>
              <w:t>-N</w:t>
            </w:r>
            <w:r>
              <w:rPr>
                <w:color w:val="auto"/>
                <w:sz w:val="24"/>
                <w:szCs w:val="21"/>
              </w:rPr>
              <w:t>的产生及排放；项目营运期废气主要是</w:t>
            </w:r>
            <w:r>
              <w:rPr>
                <w:rFonts w:hint="eastAsia"/>
                <w:color w:val="auto"/>
                <w:sz w:val="24"/>
                <w:szCs w:val="21"/>
              </w:rPr>
              <w:t>生物质颗粒燃烧时产生的废气</w:t>
            </w:r>
            <w:r>
              <w:rPr>
                <w:color w:val="auto"/>
                <w:sz w:val="24"/>
                <w:szCs w:val="21"/>
              </w:rPr>
              <w:t>，</w:t>
            </w:r>
            <w:r>
              <w:rPr>
                <w:rFonts w:hint="eastAsia"/>
                <w:color w:val="auto"/>
                <w:sz w:val="24"/>
                <w:szCs w:val="21"/>
              </w:rPr>
              <w:t>有</w:t>
            </w:r>
            <w:r>
              <w:rPr>
                <w:color w:val="auto"/>
                <w:sz w:val="24"/>
                <w:szCs w:val="21"/>
              </w:rPr>
              <w:t>SO</w:t>
            </w:r>
            <w:r>
              <w:rPr>
                <w:color w:val="auto"/>
                <w:sz w:val="24"/>
                <w:szCs w:val="21"/>
                <w:vertAlign w:val="subscript"/>
              </w:rPr>
              <w:t>2</w:t>
            </w:r>
            <w:r>
              <w:rPr>
                <w:color w:val="auto"/>
                <w:sz w:val="24"/>
                <w:szCs w:val="21"/>
              </w:rPr>
              <w:t>及NOx的产生及排放</w:t>
            </w:r>
            <w:r>
              <w:rPr>
                <w:rFonts w:hint="eastAsia"/>
                <w:color w:val="auto"/>
                <w:sz w:val="24"/>
                <w:szCs w:val="21"/>
              </w:rPr>
              <w:t>。</w:t>
            </w:r>
            <w:r>
              <w:rPr>
                <w:color w:val="auto"/>
                <w:sz w:val="24"/>
                <w:szCs w:val="21"/>
              </w:rPr>
              <w:t>故本项目总量申请指标确定为</w:t>
            </w:r>
            <w:r>
              <w:rPr>
                <w:rFonts w:hint="eastAsia"/>
                <w:color w:val="auto"/>
                <w:sz w:val="24"/>
                <w:szCs w:val="21"/>
              </w:rPr>
              <w:t>水型总量指标：COD</w:t>
            </w:r>
            <w:r>
              <w:rPr>
                <w:color w:val="auto"/>
                <w:sz w:val="24"/>
                <w:szCs w:val="21"/>
              </w:rPr>
              <w:t>及</w:t>
            </w:r>
            <w:r>
              <w:rPr>
                <w:rFonts w:hint="eastAsia"/>
                <w:color w:val="auto"/>
                <w:sz w:val="24"/>
                <w:szCs w:val="21"/>
              </w:rPr>
              <w:t>NH</w:t>
            </w:r>
            <w:r>
              <w:rPr>
                <w:rFonts w:hint="eastAsia"/>
                <w:color w:val="auto"/>
                <w:sz w:val="24"/>
                <w:szCs w:val="21"/>
                <w:vertAlign w:val="subscript"/>
              </w:rPr>
              <w:t>3</w:t>
            </w:r>
            <w:r>
              <w:rPr>
                <w:rFonts w:hint="eastAsia"/>
                <w:color w:val="auto"/>
                <w:sz w:val="24"/>
                <w:szCs w:val="21"/>
              </w:rPr>
              <w:t>-N；气型总量指标：</w:t>
            </w:r>
            <w:r>
              <w:rPr>
                <w:color w:val="auto"/>
                <w:sz w:val="24"/>
                <w:szCs w:val="21"/>
              </w:rPr>
              <w:t>SO</w:t>
            </w:r>
            <w:r>
              <w:rPr>
                <w:color w:val="auto"/>
                <w:sz w:val="24"/>
                <w:szCs w:val="21"/>
                <w:vertAlign w:val="subscript"/>
              </w:rPr>
              <w:t>2</w:t>
            </w:r>
            <w:r>
              <w:rPr>
                <w:color w:val="auto"/>
                <w:sz w:val="24"/>
                <w:szCs w:val="21"/>
              </w:rPr>
              <w:t>及NOx。</w:t>
            </w:r>
          </w:p>
          <w:p w14:paraId="15237BC4">
            <w:pPr>
              <w:keepNext w:val="0"/>
              <w:keepLines w:val="0"/>
              <w:pageBreakBefore w:val="0"/>
              <w:widowControl w:val="0"/>
              <w:kinsoku/>
              <w:wordWrap/>
              <w:overflowPunct/>
              <w:topLinePunct w:val="0"/>
              <w:autoSpaceDE/>
              <w:autoSpaceDN/>
              <w:bidi w:val="0"/>
              <w:spacing w:line="420" w:lineRule="exact"/>
              <w:ind w:firstLine="456" w:firstLineChars="200"/>
              <w:rPr>
                <w:rFonts w:hint="eastAsia" w:eastAsia="宋体"/>
                <w:color w:val="auto"/>
                <w:spacing w:val="-6"/>
                <w:sz w:val="24"/>
                <w:szCs w:val="24"/>
                <w:u w:val="none" w:color="auto"/>
                <w:lang w:val="en-US" w:eastAsia="zh-CN" w:bidi="ar"/>
              </w:rPr>
            </w:pPr>
            <w:r>
              <w:rPr>
                <w:rFonts w:hint="eastAsia"/>
                <w:color w:val="auto"/>
                <w:spacing w:val="-6"/>
                <w:sz w:val="24"/>
                <w:szCs w:val="24"/>
                <w:u w:val="none" w:color="auto"/>
                <w:lang w:bidi="ar"/>
              </w:rPr>
              <w:t>结合上述总量控制要求及本项目工程特点，企业纳入总量控制污染因子为二氧化硫、氮氧化物。本项目运营</w:t>
            </w:r>
            <w:r>
              <w:rPr>
                <w:rFonts w:hint="eastAsia" w:ascii="Times New Roman" w:hAnsi="Times New Roman"/>
                <w:color w:val="auto"/>
                <w:spacing w:val="-6"/>
                <w:sz w:val="24"/>
                <w:szCs w:val="24"/>
                <w:u w:val="none" w:color="auto"/>
                <w:lang w:bidi="ar"/>
              </w:rPr>
              <w:t>SO</w:t>
            </w:r>
            <w:r>
              <w:rPr>
                <w:rFonts w:hint="eastAsia" w:ascii="Times New Roman" w:hAnsi="Times New Roman"/>
                <w:color w:val="auto"/>
                <w:spacing w:val="-6"/>
                <w:sz w:val="24"/>
                <w:szCs w:val="24"/>
                <w:u w:val="none" w:color="auto"/>
                <w:vertAlign w:val="subscript"/>
                <w:lang w:bidi="ar"/>
              </w:rPr>
              <w:t>2</w:t>
            </w:r>
            <w:r>
              <w:rPr>
                <w:rFonts w:hint="eastAsia"/>
                <w:color w:val="auto"/>
                <w:spacing w:val="-6"/>
                <w:sz w:val="24"/>
                <w:szCs w:val="24"/>
                <w:u w:val="none" w:color="auto"/>
                <w:lang w:bidi="ar"/>
              </w:rPr>
              <w:t>有组织排放量为</w:t>
            </w:r>
            <w:r>
              <w:rPr>
                <w:rFonts w:hint="eastAsia" w:ascii="Times New Roman" w:hAnsi="Times New Roman" w:cs="Times New Roman"/>
                <w:color w:val="auto"/>
                <w:sz w:val="24"/>
                <w:szCs w:val="24"/>
                <w:lang w:val="en-US" w:eastAsia="zh-CN"/>
              </w:rPr>
              <w:t>3.5257</w:t>
            </w:r>
            <w:r>
              <w:rPr>
                <w:rFonts w:hint="default" w:ascii="Times New Roman" w:hAnsi="Times New Roman" w:cs="Times New Roman"/>
                <w:color w:val="auto"/>
                <w:sz w:val="24"/>
                <w:szCs w:val="24"/>
                <w:lang w:val="en-US" w:eastAsia="zh-CN"/>
              </w:rPr>
              <w:t>t/a</w:t>
            </w:r>
            <w:r>
              <w:rPr>
                <w:rFonts w:hint="eastAsia"/>
                <w:color w:val="auto"/>
                <w:spacing w:val="-6"/>
                <w:sz w:val="24"/>
                <w:szCs w:val="24"/>
                <w:u w:val="none" w:color="auto"/>
                <w:lang w:bidi="ar"/>
              </w:rPr>
              <w:t>、</w:t>
            </w:r>
            <w:r>
              <w:rPr>
                <w:rFonts w:hint="eastAsia" w:ascii="Times New Roman" w:hAnsi="Times New Roman"/>
                <w:color w:val="auto"/>
                <w:spacing w:val="-6"/>
                <w:sz w:val="24"/>
                <w:szCs w:val="24"/>
                <w:u w:val="none" w:color="auto"/>
                <w:lang w:bidi="ar"/>
              </w:rPr>
              <w:t>NOx</w:t>
            </w:r>
            <w:r>
              <w:rPr>
                <w:rFonts w:hint="eastAsia"/>
                <w:color w:val="auto"/>
                <w:spacing w:val="-6"/>
                <w:sz w:val="24"/>
                <w:szCs w:val="24"/>
                <w:u w:val="none" w:color="auto"/>
                <w:lang w:bidi="ar"/>
              </w:rPr>
              <w:t>有组织排放量为</w:t>
            </w:r>
            <w:r>
              <w:rPr>
                <w:rFonts w:hint="eastAsia" w:ascii="Times New Roman" w:hAnsi="Times New Roman" w:cs="Times New Roman"/>
                <w:color w:val="auto"/>
                <w:sz w:val="24"/>
                <w:szCs w:val="24"/>
                <w:lang w:val="en-US" w:eastAsia="zh-CN"/>
              </w:rPr>
              <w:t>4.40715</w:t>
            </w:r>
            <w:r>
              <w:rPr>
                <w:rFonts w:hint="default" w:ascii="Times New Roman" w:hAnsi="Times New Roman" w:cs="Times New Roman"/>
                <w:color w:val="auto"/>
                <w:sz w:val="24"/>
                <w:szCs w:val="24"/>
                <w:lang w:val="en-US" w:eastAsia="zh-CN"/>
              </w:rPr>
              <w:t>t/a</w:t>
            </w:r>
            <w:r>
              <w:rPr>
                <w:rFonts w:hint="eastAsia"/>
                <w:color w:val="auto"/>
                <w:spacing w:val="-6"/>
                <w:sz w:val="24"/>
                <w:szCs w:val="24"/>
                <w:u w:val="none" w:color="auto"/>
                <w:lang w:bidi="ar"/>
              </w:rPr>
              <w:t>，因此总量控制指标为</w:t>
            </w:r>
            <w:r>
              <w:rPr>
                <w:rFonts w:hint="eastAsia" w:ascii="Times New Roman" w:hAnsi="Times New Roman"/>
                <w:color w:val="auto"/>
                <w:spacing w:val="-6"/>
                <w:sz w:val="24"/>
                <w:szCs w:val="24"/>
                <w:u w:val="none" w:color="auto"/>
                <w:lang w:bidi="ar"/>
              </w:rPr>
              <w:t>SO</w:t>
            </w:r>
            <w:r>
              <w:rPr>
                <w:rFonts w:hint="eastAsia" w:ascii="Times New Roman" w:hAnsi="Times New Roman"/>
                <w:color w:val="auto"/>
                <w:spacing w:val="-6"/>
                <w:sz w:val="24"/>
                <w:szCs w:val="24"/>
                <w:u w:val="none" w:color="auto"/>
                <w:vertAlign w:val="subscript"/>
                <w:lang w:bidi="ar"/>
              </w:rPr>
              <w:t>2</w:t>
            </w:r>
            <w:r>
              <w:rPr>
                <w:rFonts w:hint="eastAsia"/>
                <w:color w:val="auto"/>
                <w:spacing w:val="-6"/>
                <w:sz w:val="24"/>
                <w:szCs w:val="24"/>
                <w:u w:val="none" w:color="auto"/>
                <w:lang w:bidi="ar"/>
              </w:rPr>
              <w:t>：</w:t>
            </w:r>
            <w:r>
              <w:rPr>
                <w:rFonts w:hint="eastAsia" w:ascii="Times New Roman" w:hAnsi="Times New Roman" w:cs="Times New Roman"/>
                <w:color w:val="auto"/>
                <w:sz w:val="24"/>
                <w:szCs w:val="24"/>
                <w:lang w:val="en-US" w:eastAsia="zh-CN"/>
              </w:rPr>
              <w:t>3.5257</w:t>
            </w:r>
            <w:r>
              <w:rPr>
                <w:rFonts w:hint="default" w:ascii="Times New Roman" w:hAnsi="Times New Roman" w:cs="Times New Roman"/>
                <w:color w:val="auto"/>
                <w:sz w:val="24"/>
                <w:szCs w:val="24"/>
                <w:lang w:val="en-US" w:eastAsia="zh-CN"/>
              </w:rPr>
              <w:t>t/a</w:t>
            </w:r>
            <w:r>
              <w:rPr>
                <w:rFonts w:hint="eastAsia"/>
                <w:color w:val="auto"/>
                <w:spacing w:val="-6"/>
                <w:sz w:val="24"/>
                <w:szCs w:val="24"/>
                <w:u w:val="none" w:color="auto"/>
                <w:lang w:bidi="ar"/>
              </w:rPr>
              <w:t>、</w:t>
            </w:r>
            <w:r>
              <w:rPr>
                <w:rFonts w:hint="eastAsia" w:ascii="Times New Roman" w:hAnsi="Times New Roman"/>
                <w:color w:val="auto"/>
                <w:spacing w:val="-6"/>
                <w:sz w:val="24"/>
                <w:szCs w:val="24"/>
                <w:u w:val="none" w:color="auto"/>
                <w:lang w:bidi="ar"/>
              </w:rPr>
              <w:t>NOx</w:t>
            </w:r>
            <w:r>
              <w:rPr>
                <w:rFonts w:hint="eastAsia"/>
                <w:color w:val="auto"/>
                <w:spacing w:val="-6"/>
                <w:sz w:val="24"/>
                <w:szCs w:val="24"/>
                <w:u w:val="none" w:color="auto"/>
                <w:lang w:bidi="ar"/>
              </w:rPr>
              <w:t>：</w:t>
            </w:r>
            <w:r>
              <w:rPr>
                <w:rFonts w:hint="eastAsia" w:ascii="Times New Roman" w:hAnsi="Times New Roman" w:cs="Times New Roman"/>
                <w:color w:val="auto"/>
                <w:sz w:val="24"/>
                <w:szCs w:val="24"/>
                <w:lang w:val="en-US" w:eastAsia="zh-CN"/>
              </w:rPr>
              <w:t>4.40715</w:t>
            </w:r>
            <w:r>
              <w:rPr>
                <w:rFonts w:hint="default" w:ascii="Times New Roman" w:hAnsi="Times New Roman" w:cs="Times New Roman"/>
                <w:color w:val="auto"/>
                <w:sz w:val="24"/>
                <w:szCs w:val="24"/>
                <w:lang w:val="en-US" w:eastAsia="zh-CN"/>
              </w:rPr>
              <w:t>t/a</w:t>
            </w:r>
            <w:r>
              <w:rPr>
                <w:rFonts w:hint="eastAsia"/>
                <w:color w:val="auto"/>
                <w:spacing w:val="-6"/>
                <w:sz w:val="24"/>
                <w:szCs w:val="24"/>
                <w:u w:val="none" w:color="auto"/>
                <w:lang w:eastAsia="zh-CN" w:bidi="ar"/>
              </w:rPr>
              <w:t>。</w:t>
            </w:r>
          </w:p>
          <w:p w14:paraId="50088C98">
            <w:pPr>
              <w:keepNext w:val="0"/>
              <w:keepLines w:val="0"/>
              <w:pageBreakBefore w:val="0"/>
              <w:widowControl w:val="0"/>
              <w:kinsoku/>
              <w:wordWrap/>
              <w:overflowPunct/>
              <w:topLinePunct w:val="0"/>
              <w:autoSpaceDE/>
              <w:autoSpaceDN/>
              <w:bidi w:val="0"/>
              <w:adjustRightInd w:val="0"/>
              <w:snapToGrid w:val="0"/>
              <w:spacing w:line="420" w:lineRule="exact"/>
              <w:ind w:firstLine="480" w:firstLineChars="200"/>
              <w:rPr>
                <w:color w:val="auto"/>
                <w:sz w:val="24"/>
              </w:rPr>
            </w:pPr>
            <w:r>
              <w:rPr>
                <w:rFonts w:hint="eastAsia"/>
                <w:color w:val="auto"/>
                <w:kern w:val="0"/>
                <w:sz w:val="24"/>
                <w:szCs w:val="20"/>
              </w:rPr>
              <w:t>项目各车间生产废水经车间外预处理，后统一经厂区废水处理站生化+消毒处理，生活污水经化粪池处理，两股废水一并经通过厂区北侧污水排放口排至市政管网，纳入衡阳西</w:t>
            </w:r>
            <w:r>
              <w:rPr>
                <w:rFonts w:hint="eastAsia"/>
                <w:color w:val="auto"/>
                <w:kern w:val="0"/>
                <w:sz w:val="24"/>
              </w:rPr>
              <w:t>渡高新区污水处理</w:t>
            </w:r>
            <w:r>
              <w:rPr>
                <w:rFonts w:hint="eastAsia"/>
                <w:color w:val="auto"/>
                <w:sz w:val="24"/>
              </w:rPr>
              <w:t>，根据排放标准核算，</w:t>
            </w:r>
            <w:r>
              <w:rPr>
                <w:rFonts w:hint="eastAsia"/>
                <w:color w:val="auto"/>
                <w:sz w:val="24"/>
                <w:lang w:eastAsia="zh-CN"/>
              </w:rPr>
              <w:t>改扩建后</w:t>
            </w:r>
            <w:r>
              <w:rPr>
                <w:rFonts w:hint="eastAsia"/>
                <w:color w:val="auto"/>
                <w:sz w:val="24"/>
              </w:rPr>
              <w:t>厂区总排口COD、NH</w:t>
            </w:r>
            <w:r>
              <w:rPr>
                <w:rFonts w:hint="eastAsia"/>
                <w:color w:val="auto"/>
                <w:sz w:val="24"/>
                <w:vertAlign w:val="subscript"/>
              </w:rPr>
              <w:t>3</w:t>
            </w:r>
            <w:r>
              <w:rPr>
                <w:rFonts w:hint="eastAsia"/>
                <w:color w:val="auto"/>
                <w:sz w:val="24"/>
              </w:rPr>
              <w:t>-N排放量分别为4.8825t</w:t>
            </w:r>
            <w:r>
              <w:rPr>
                <w:color w:val="auto"/>
                <w:sz w:val="24"/>
              </w:rPr>
              <w:t>/a</w:t>
            </w:r>
            <w:r>
              <w:rPr>
                <w:rFonts w:hint="eastAsia"/>
                <w:color w:val="auto"/>
                <w:sz w:val="24"/>
              </w:rPr>
              <w:t>、0.43187</w:t>
            </w:r>
            <w:r>
              <w:rPr>
                <w:color w:val="auto"/>
                <w:sz w:val="24"/>
              </w:rPr>
              <w:t>t/a</w:t>
            </w:r>
            <w:r>
              <w:rPr>
                <w:rFonts w:hint="eastAsia"/>
                <w:color w:val="auto"/>
                <w:sz w:val="24"/>
              </w:rPr>
              <w:t>，经过</w:t>
            </w:r>
            <w:r>
              <w:rPr>
                <w:rFonts w:hint="eastAsia" w:hAnsi="宋体"/>
                <w:color w:val="auto"/>
                <w:kern w:val="0"/>
                <w:sz w:val="24"/>
              </w:rPr>
              <w:t>衡阳西渡高新区污水处理厂处理后</w:t>
            </w:r>
            <w:r>
              <w:rPr>
                <w:rFonts w:hint="eastAsia" w:hAnsi="宋体"/>
                <w:color w:val="auto"/>
                <w:kern w:val="0"/>
                <w:sz w:val="24"/>
                <w:lang w:eastAsia="zh-CN"/>
              </w:rPr>
              <w:t>排入自然水体</w:t>
            </w:r>
            <w:r>
              <w:rPr>
                <w:rFonts w:hint="eastAsia"/>
                <w:color w:val="auto"/>
                <w:sz w:val="24"/>
              </w:rPr>
              <w:t>COD、NH</w:t>
            </w:r>
            <w:r>
              <w:rPr>
                <w:rFonts w:hint="eastAsia"/>
                <w:color w:val="auto"/>
                <w:sz w:val="24"/>
                <w:vertAlign w:val="subscript"/>
              </w:rPr>
              <w:t>3</w:t>
            </w:r>
            <w:r>
              <w:rPr>
                <w:rFonts w:hint="eastAsia"/>
                <w:color w:val="auto"/>
                <w:sz w:val="24"/>
              </w:rPr>
              <w:t>-N</w:t>
            </w:r>
            <w:r>
              <w:rPr>
                <w:rFonts w:hint="eastAsia" w:hAnsi="宋体"/>
                <w:color w:val="auto"/>
                <w:kern w:val="0"/>
                <w:sz w:val="24"/>
              </w:rPr>
              <w:t>排放量为</w:t>
            </w:r>
            <w:r>
              <w:rPr>
                <w:rFonts w:hint="eastAsia"/>
                <w:color w:val="auto"/>
                <w:sz w:val="24"/>
              </w:rPr>
              <w:t>COD：1.1799</w:t>
            </w:r>
            <w:r>
              <w:rPr>
                <w:color w:val="auto"/>
                <w:sz w:val="24"/>
              </w:rPr>
              <w:t>t/a</w:t>
            </w:r>
            <w:r>
              <w:rPr>
                <w:rFonts w:hint="eastAsia"/>
                <w:color w:val="auto"/>
                <w:sz w:val="24"/>
              </w:rPr>
              <w:t>、NH</w:t>
            </w:r>
            <w:r>
              <w:rPr>
                <w:rFonts w:hint="eastAsia"/>
                <w:color w:val="auto"/>
                <w:sz w:val="24"/>
                <w:vertAlign w:val="subscript"/>
              </w:rPr>
              <w:t>3</w:t>
            </w:r>
            <w:r>
              <w:rPr>
                <w:rFonts w:hint="eastAsia"/>
                <w:color w:val="auto"/>
                <w:sz w:val="24"/>
              </w:rPr>
              <w:t>-N：0.11799</w:t>
            </w:r>
            <w:r>
              <w:rPr>
                <w:color w:val="auto"/>
                <w:kern w:val="0"/>
                <w:sz w:val="24"/>
                <w:lang w:bidi="ar"/>
              </w:rPr>
              <w:t xml:space="preserve"> </w:t>
            </w:r>
            <w:r>
              <w:rPr>
                <w:color w:val="auto"/>
                <w:sz w:val="24"/>
              </w:rPr>
              <w:t>t/a</w:t>
            </w:r>
            <w:r>
              <w:rPr>
                <w:rFonts w:hint="eastAsia"/>
                <w:color w:val="auto"/>
                <w:sz w:val="24"/>
              </w:rPr>
              <w:t>，总量纳入</w:t>
            </w:r>
            <w:r>
              <w:rPr>
                <w:rFonts w:hint="eastAsia" w:hAnsi="宋体"/>
                <w:color w:val="auto"/>
                <w:kern w:val="0"/>
                <w:sz w:val="24"/>
              </w:rPr>
              <w:t>衡阳西渡高新区污水处理厂</w:t>
            </w:r>
            <w:r>
              <w:rPr>
                <w:rFonts w:hint="eastAsia"/>
                <w:color w:val="auto"/>
                <w:sz w:val="24"/>
              </w:rPr>
              <w:t>总量控制范围内，不单独申请总量控制。</w:t>
            </w:r>
          </w:p>
        </w:tc>
      </w:tr>
    </w:tbl>
    <w:p w14:paraId="7F17132B">
      <w:pPr>
        <w:pStyle w:val="16"/>
        <w:jc w:val="center"/>
        <w:outlineLvl w:val="9"/>
        <w:rPr>
          <w:rFonts w:hint="eastAsia" w:ascii="黑体" w:hAnsi="黑体" w:eastAsia="黑体"/>
          <w:snapToGrid w:val="0"/>
          <w:sz w:val="36"/>
          <w:szCs w:val="36"/>
        </w:rPr>
        <w:sectPr>
          <w:pgSz w:w="11907" w:h="16840"/>
          <w:pgMar w:top="1440" w:right="1080" w:bottom="1440" w:left="1080" w:header="851" w:footer="851" w:gutter="0"/>
          <w:cols w:space="720" w:num="1"/>
          <w:docGrid w:linePitch="312" w:charSpace="0"/>
        </w:sectPr>
      </w:pPr>
    </w:p>
    <w:p w14:paraId="074CB261">
      <w:pPr>
        <w:pStyle w:val="2"/>
        <w:rPr>
          <w:color w:val="auto"/>
        </w:rPr>
      </w:pPr>
      <w:bookmarkStart w:id="9" w:name="_Toc30383"/>
      <w:r>
        <w:rPr>
          <w:rFonts w:hint="eastAsia"/>
          <w:color w:val="auto"/>
        </w:rPr>
        <w:t>四、主要环境影响和保护措施</w:t>
      </w:r>
      <w:bookmarkEnd w:id="9"/>
    </w:p>
    <w:tbl>
      <w:tblPr>
        <w:tblStyle w:val="20"/>
        <w:tblW w:w="4999"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7"/>
        <w:gridCol w:w="9584"/>
      </w:tblGrid>
      <w:tr w14:paraId="7DF8A14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3" w:type="pct"/>
            <w:tcMar>
              <w:left w:w="28" w:type="dxa"/>
              <w:right w:w="28" w:type="dxa"/>
            </w:tcMar>
            <w:vAlign w:val="center"/>
          </w:tcPr>
          <w:p w14:paraId="2463D7F5">
            <w:pPr>
              <w:pStyle w:val="16"/>
              <w:adjustRightInd w:val="0"/>
              <w:snapToGrid w:val="0"/>
              <w:spacing w:before="0" w:beforeAutospacing="0" w:after="0" w:afterAutospacing="0"/>
              <w:jc w:val="center"/>
              <w:rPr>
                <w:rFonts w:hint="eastAsia" w:cs="宋体"/>
                <w:b/>
                <w:kern w:val="2"/>
                <w:szCs w:val="24"/>
              </w:rPr>
            </w:pPr>
            <w:r>
              <w:rPr>
                <w:rFonts w:hint="eastAsia" w:cs="宋体"/>
                <w:b/>
                <w:kern w:val="2"/>
                <w:szCs w:val="24"/>
              </w:rPr>
              <w:t>施工</w:t>
            </w:r>
          </w:p>
          <w:p w14:paraId="256085A2">
            <w:pPr>
              <w:pStyle w:val="16"/>
              <w:adjustRightInd w:val="0"/>
              <w:snapToGrid w:val="0"/>
              <w:spacing w:before="0" w:beforeAutospacing="0" w:after="0" w:afterAutospacing="0"/>
              <w:jc w:val="center"/>
              <w:rPr>
                <w:rFonts w:hint="eastAsia" w:cs="宋体"/>
                <w:b/>
                <w:kern w:val="2"/>
                <w:szCs w:val="24"/>
              </w:rPr>
            </w:pPr>
            <w:r>
              <w:rPr>
                <w:rFonts w:hint="eastAsia" w:cs="宋体"/>
                <w:b/>
                <w:kern w:val="2"/>
                <w:szCs w:val="24"/>
              </w:rPr>
              <w:t>期环</w:t>
            </w:r>
          </w:p>
          <w:p w14:paraId="02F3511A">
            <w:pPr>
              <w:pStyle w:val="16"/>
              <w:adjustRightInd w:val="0"/>
              <w:snapToGrid w:val="0"/>
              <w:spacing w:before="0" w:beforeAutospacing="0" w:after="0" w:afterAutospacing="0"/>
              <w:jc w:val="center"/>
              <w:rPr>
                <w:rFonts w:hint="eastAsia" w:cs="宋体"/>
                <w:b/>
                <w:kern w:val="2"/>
                <w:szCs w:val="24"/>
              </w:rPr>
            </w:pPr>
            <w:r>
              <w:rPr>
                <w:rFonts w:hint="eastAsia" w:cs="宋体"/>
                <w:b/>
                <w:kern w:val="2"/>
                <w:szCs w:val="24"/>
              </w:rPr>
              <w:t>境保</w:t>
            </w:r>
          </w:p>
          <w:p w14:paraId="4B7AFD3B">
            <w:pPr>
              <w:pStyle w:val="16"/>
              <w:adjustRightInd w:val="0"/>
              <w:snapToGrid w:val="0"/>
              <w:spacing w:before="0" w:beforeAutospacing="0" w:after="0" w:afterAutospacing="0"/>
              <w:jc w:val="center"/>
              <w:rPr>
                <w:rFonts w:hint="eastAsia" w:cs="宋体"/>
                <w:b/>
                <w:kern w:val="2"/>
                <w:szCs w:val="24"/>
              </w:rPr>
            </w:pPr>
            <w:r>
              <w:rPr>
                <w:rFonts w:hint="eastAsia" w:cs="宋体"/>
                <w:b/>
                <w:kern w:val="2"/>
                <w:szCs w:val="24"/>
              </w:rPr>
              <w:t>护措</w:t>
            </w:r>
          </w:p>
          <w:p w14:paraId="48518F69">
            <w:pPr>
              <w:pStyle w:val="16"/>
              <w:adjustRightInd w:val="0"/>
              <w:snapToGrid w:val="0"/>
              <w:spacing w:before="0" w:beforeAutospacing="0" w:after="0" w:afterAutospacing="0"/>
              <w:jc w:val="center"/>
              <w:rPr>
                <w:rFonts w:hint="eastAsia" w:cs="宋体"/>
                <w:b/>
                <w:bCs/>
              </w:rPr>
            </w:pPr>
            <w:r>
              <w:rPr>
                <w:rFonts w:hint="eastAsia" w:cs="宋体"/>
                <w:b/>
                <w:kern w:val="2"/>
                <w:szCs w:val="24"/>
              </w:rPr>
              <w:t>施</w:t>
            </w:r>
          </w:p>
        </w:tc>
        <w:tc>
          <w:tcPr>
            <w:tcW w:w="4856" w:type="pct"/>
            <w:vAlign w:val="center"/>
          </w:tcPr>
          <w:p w14:paraId="7BF78ADA">
            <w:pPr>
              <w:adjustRightInd w:val="0"/>
              <w:snapToGrid w:val="0"/>
              <w:spacing w:line="360" w:lineRule="auto"/>
              <w:ind w:firstLine="551" w:firstLineChars="196"/>
              <w:rPr>
                <w:b/>
                <w:bCs/>
                <w:sz w:val="28"/>
                <w:szCs w:val="28"/>
              </w:rPr>
            </w:pPr>
            <w:r>
              <w:rPr>
                <w:rFonts w:hint="eastAsia"/>
                <w:b/>
                <w:bCs/>
                <w:sz w:val="28"/>
                <w:szCs w:val="28"/>
              </w:rPr>
              <w:t>一、</w:t>
            </w:r>
            <w:r>
              <w:rPr>
                <w:b/>
                <w:bCs/>
                <w:sz w:val="28"/>
                <w:szCs w:val="28"/>
              </w:rPr>
              <w:t>废气影响及保护措施</w:t>
            </w:r>
          </w:p>
          <w:p w14:paraId="6296D9FC">
            <w:pPr>
              <w:adjustRightInd w:val="0"/>
              <w:snapToGrid w:val="0"/>
              <w:spacing w:line="360" w:lineRule="auto"/>
              <w:ind w:firstLine="480" w:firstLineChars="200"/>
              <w:rPr>
                <w:sz w:val="24"/>
              </w:rPr>
            </w:pPr>
            <w:r>
              <w:rPr>
                <w:sz w:val="24"/>
              </w:rPr>
              <w:t>施工期的大气污染主要为施工扬尘、焊接烟尘等。</w:t>
            </w:r>
          </w:p>
          <w:p w14:paraId="50357E13">
            <w:pPr>
              <w:adjustRightInd w:val="0"/>
              <w:snapToGrid w:val="0"/>
              <w:spacing w:line="360" w:lineRule="auto"/>
              <w:ind w:firstLine="480" w:firstLineChars="200"/>
              <w:rPr>
                <w:sz w:val="24"/>
              </w:rPr>
            </w:pPr>
            <w:r>
              <w:rPr>
                <w:sz w:val="24"/>
              </w:rPr>
              <w:t>（1）扬尘</w:t>
            </w:r>
          </w:p>
          <w:p w14:paraId="2F327D77">
            <w:pPr>
              <w:adjustRightInd w:val="0"/>
              <w:snapToGrid w:val="0"/>
              <w:spacing w:line="360" w:lineRule="auto"/>
              <w:ind w:firstLine="480" w:firstLineChars="200"/>
              <w:rPr>
                <w:sz w:val="24"/>
              </w:rPr>
            </w:pPr>
            <w:r>
              <w:rPr>
                <w:sz w:val="24"/>
              </w:rPr>
              <w:t>①避免大量建筑材料的堆放产生大量扬尘，同时应加强洒水降尘、物料遮盖堆放等降尘措施</w:t>
            </w:r>
            <w:r>
              <w:rPr>
                <w:rFonts w:hint="eastAsia"/>
                <w:sz w:val="24"/>
              </w:rPr>
              <w:t>。</w:t>
            </w:r>
          </w:p>
          <w:p w14:paraId="3F03FA8C">
            <w:pPr>
              <w:adjustRightInd w:val="0"/>
              <w:snapToGrid w:val="0"/>
              <w:spacing w:line="360" w:lineRule="auto"/>
              <w:ind w:firstLine="480" w:firstLineChars="200"/>
              <w:rPr>
                <w:sz w:val="24"/>
              </w:rPr>
            </w:pPr>
            <w:r>
              <w:rPr>
                <w:sz w:val="24"/>
              </w:rPr>
              <w:t>②建筑材料运输途中，运输车辆应放慢行驶速度且不得超载，采取遮盖、密闭措施，以防泥土洒落，以减少起尘量</w:t>
            </w:r>
            <w:r>
              <w:rPr>
                <w:rFonts w:hint="eastAsia"/>
                <w:sz w:val="24"/>
              </w:rPr>
              <w:t>。</w:t>
            </w:r>
          </w:p>
          <w:p w14:paraId="16AFAF2B">
            <w:pPr>
              <w:adjustRightInd w:val="0"/>
              <w:snapToGrid w:val="0"/>
              <w:spacing w:line="360" w:lineRule="auto"/>
              <w:ind w:firstLine="480" w:firstLineChars="200"/>
              <w:rPr>
                <w:sz w:val="24"/>
              </w:rPr>
            </w:pPr>
            <w:r>
              <w:rPr>
                <w:sz w:val="24"/>
              </w:rPr>
              <w:t>③为防止场地起尘，施工场地定期洒水，可有效防止扬尘，在大风日加大洒水量及洒水频次。</w:t>
            </w:r>
          </w:p>
          <w:p w14:paraId="6CDFC415">
            <w:pPr>
              <w:adjustRightInd w:val="0"/>
              <w:snapToGrid w:val="0"/>
              <w:spacing w:line="360" w:lineRule="auto"/>
              <w:ind w:firstLine="480" w:firstLineChars="200"/>
              <w:rPr>
                <w:sz w:val="24"/>
              </w:rPr>
            </w:pPr>
            <w:r>
              <w:rPr>
                <w:sz w:val="24"/>
              </w:rPr>
              <w:t>（2）焊接烟尘</w:t>
            </w:r>
          </w:p>
          <w:p w14:paraId="5F72540F">
            <w:pPr>
              <w:adjustRightInd w:val="0"/>
              <w:snapToGrid w:val="0"/>
              <w:spacing w:line="360" w:lineRule="auto"/>
              <w:ind w:firstLine="480" w:firstLineChars="200"/>
              <w:rPr>
                <w:sz w:val="24"/>
              </w:rPr>
            </w:pPr>
            <w:r>
              <w:rPr>
                <w:sz w:val="24"/>
              </w:rPr>
              <w:t>项目焊接烟尘主要产生于设备安装过程，主要污染物为TSP，由于项目焊接工程量很小，经自然扩散，不会形成局部高浓度区域，焊接烟尘对环境影响很小。</w:t>
            </w:r>
          </w:p>
          <w:p w14:paraId="400FBC29">
            <w:pPr>
              <w:adjustRightInd w:val="0"/>
              <w:snapToGrid w:val="0"/>
              <w:spacing w:line="360" w:lineRule="auto"/>
              <w:ind w:firstLine="480" w:firstLineChars="200"/>
              <w:rPr>
                <w:sz w:val="24"/>
              </w:rPr>
            </w:pPr>
            <w:r>
              <w:rPr>
                <w:sz w:val="24"/>
              </w:rPr>
              <w:t>本项目通过合理施工，加强管理，采取相应的环保设施后本项目施工期对环境影响较小。综上所述，项目施工期采取的大气环境保护措施是可行的。</w:t>
            </w:r>
          </w:p>
          <w:p w14:paraId="36B23C46">
            <w:pPr>
              <w:spacing w:line="360" w:lineRule="auto"/>
              <w:ind w:firstLine="551" w:firstLineChars="196"/>
              <w:rPr>
                <w:b/>
                <w:bCs/>
                <w:sz w:val="28"/>
                <w:szCs w:val="28"/>
              </w:rPr>
            </w:pPr>
            <w:r>
              <w:rPr>
                <w:rFonts w:hint="eastAsia"/>
                <w:b/>
                <w:sz w:val="28"/>
                <w:szCs w:val="28"/>
              </w:rPr>
              <w:t>二、</w:t>
            </w:r>
            <w:r>
              <w:rPr>
                <w:b/>
                <w:sz w:val="28"/>
                <w:szCs w:val="28"/>
              </w:rPr>
              <w:t>噪声影响分析</w:t>
            </w:r>
            <w:r>
              <w:rPr>
                <w:b/>
                <w:bCs/>
                <w:sz w:val="28"/>
                <w:szCs w:val="28"/>
              </w:rPr>
              <w:t>及保护措施</w:t>
            </w:r>
          </w:p>
          <w:p w14:paraId="6EBF18ED">
            <w:pPr>
              <w:adjustRightInd w:val="0"/>
              <w:snapToGrid w:val="0"/>
              <w:spacing w:line="360" w:lineRule="auto"/>
              <w:ind w:firstLine="480" w:firstLineChars="200"/>
              <w:rPr>
                <w:sz w:val="24"/>
              </w:rPr>
            </w:pPr>
            <w:r>
              <w:rPr>
                <w:sz w:val="24"/>
              </w:rPr>
              <w:t>施工期对声环境的影响主要是施工噪声，施工噪声主要来源于施工机械。本项目施工过程中主要采取如下噪声防治措施：</w:t>
            </w:r>
          </w:p>
          <w:p w14:paraId="342C3196">
            <w:pPr>
              <w:adjustRightInd w:val="0"/>
              <w:snapToGrid w:val="0"/>
              <w:spacing w:line="360" w:lineRule="auto"/>
              <w:ind w:firstLine="480" w:firstLineChars="200"/>
              <w:rPr>
                <w:sz w:val="24"/>
              </w:rPr>
            </w:pPr>
            <w:r>
              <w:rPr>
                <w:sz w:val="24"/>
              </w:rPr>
              <w:t>（1）从声源上控制：建设单位在与施工单位签订合同时，要求施工单位使用的主要机械设备为低噪声机械设备。同时要求在施工过程中施工单位设专人对设备定期保养和维护，并负责对现场工作人员培训，严格按操作规范使用各类机械</w:t>
            </w:r>
            <w:r>
              <w:rPr>
                <w:rFonts w:hint="eastAsia"/>
                <w:sz w:val="24"/>
              </w:rPr>
              <w:t>。</w:t>
            </w:r>
          </w:p>
          <w:p w14:paraId="1E771A24">
            <w:pPr>
              <w:adjustRightInd w:val="0"/>
              <w:snapToGrid w:val="0"/>
              <w:spacing w:line="360" w:lineRule="auto"/>
              <w:ind w:firstLine="480" w:firstLineChars="200"/>
              <w:rPr>
                <w:sz w:val="24"/>
              </w:rPr>
            </w:pPr>
            <w:r>
              <w:rPr>
                <w:sz w:val="24"/>
              </w:rPr>
              <w:t>（2）施工期间必须严格按《建筑施工场界环境噪声排放标准》（GB12523-2011）进行施工噪声的控制，以减少工程建设施工对周边造成的声环境影响</w:t>
            </w:r>
            <w:r>
              <w:rPr>
                <w:rFonts w:hint="eastAsia"/>
                <w:sz w:val="24"/>
              </w:rPr>
              <w:t>。</w:t>
            </w:r>
          </w:p>
          <w:p w14:paraId="5A3297F7">
            <w:pPr>
              <w:adjustRightInd w:val="0"/>
              <w:snapToGrid w:val="0"/>
              <w:spacing w:line="360" w:lineRule="auto"/>
              <w:ind w:firstLine="480" w:firstLineChars="200"/>
              <w:rPr>
                <w:sz w:val="24"/>
              </w:rPr>
            </w:pPr>
            <w:r>
              <w:rPr>
                <w:sz w:val="24"/>
              </w:rPr>
              <w:t>（3）项目边界设置围挡设施</w:t>
            </w:r>
            <w:r>
              <w:rPr>
                <w:rFonts w:hint="eastAsia"/>
                <w:sz w:val="24"/>
              </w:rPr>
              <w:t>。</w:t>
            </w:r>
          </w:p>
          <w:p w14:paraId="61FCC41B">
            <w:pPr>
              <w:adjustRightInd w:val="0"/>
              <w:snapToGrid w:val="0"/>
              <w:spacing w:line="360" w:lineRule="auto"/>
              <w:ind w:firstLine="480" w:firstLineChars="200"/>
              <w:rPr>
                <w:sz w:val="24"/>
              </w:rPr>
            </w:pPr>
            <w:r>
              <w:rPr>
                <w:sz w:val="24"/>
              </w:rPr>
              <w:t>通过采取相应的环保措施后，项目施工对周边声环境影响可以得到有效控制，措施可行。</w:t>
            </w:r>
          </w:p>
          <w:p w14:paraId="38FC36CC">
            <w:pPr>
              <w:spacing w:line="360" w:lineRule="auto"/>
              <w:ind w:firstLine="551" w:firstLineChars="196"/>
              <w:rPr>
                <w:b/>
                <w:bCs/>
                <w:sz w:val="28"/>
                <w:szCs w:val="28"/>
              </w:rPr>
            </w:pPr>
            <w:r>
              <w:rPr>
                <w:rFonts w:hint="eastAsia"/>
                <w:b/>
                <w:sz w:val="28"/>
                <w:szCs w:val="28"/>
              </w:rPr>
              <w:t>三</w:t>
            </w:r>
            <w:r>
              <w:rPr>
                <w:b/>
                <w:sz w:val="28"/>
                <w:szCs w:val="28"/>
              </w:rPr>
              <w:t>、废水影响分析</w:t>
            </w:r>
            <w:r>
              <w:rPr>
                <w:b/>
                <w:bCs/>
                <w:sz w:val="28"/>
                <w:szCs w:val="28"/>
              </w:rPr>
              <w:t>及保护措施</w:t>
            </w:r>
          </w:p>
          <w:p w14:paraId="3ECEF4AB">
            <w:pPr>
              <w:adjustRightInd w:val="0"/>
              <w:snapToGrid w:val="0"/>
              <w:spacing w:line="360" w:lineRule="auto"/>
              <w:ind w:firstLine="480" w:firstLineChars="200"/>
              <w:rPr>
                <w:sz w:val="24"/>
              </w:rPr>
            </w:pPr>
            <w:r>
              <w:rPr>
                <w:sz w:val="24"/>
              </w:rPr>
              <w:t>项目施工期废水主要为施工废水。建议采取如下措施：</w:t>
            </w:r>
          </w:p>
          <w:p w14:paraId="248D25AE">
            <w:pPr>
              <w:adjustRightInd w:val="0"/>
              <w:snapToGrid w:val="0"/>
              <w:spacing w:line="360" w:lineRule="auto"/>
              <w:ind w:firstLine="480" w:firstLineChars="200"/>
              <w:rPr>
                <w:sz w:val="24"/>
              </w:rPr>
            </w:pPr>
            <w:r>
              <w:rPr>
                <w:sz w:val="24"/>
              </w:rPr>
              <w:t>（1）施工人员生活污水依托</w:t>
            </w:r>
            <w:r>
              <w:rPr>
                <w:rFonts w:hint="eastAsia"/>
                <w:sz w:val="24"/>
              </w:rPr>
              <w:t>现有隔油池及化粪池进行处理，</w:t>
            </w:r>
            <w:r>
              <w:rPr>
                <w:sz w:val="24"/>
              </w:rPr>
              <w:t>预处理后</w:t>
            </w:r>
            <w:r>
              <w:rPr>
                <w:rFonts w:hint="eastAsia"/>
                <w:sz w:val="24"/>
              </w:rPr>
              <w:t>排入原厂区污水处理系统处理，处理达标后经总排口排入污水处理厂</w:t>
            </w:r>
            <w:r>
              <w:rPr>
                <w:sz w:val="24"/>
              </w:rPr>
              <w:t>；</w:t>
            </w:r>
          </w:p>
          <w:p w14:paraId="55EB4AB8">
            <w:pPr>
              <w:adjustRightInd w:val="0"/>
              <w:snapToGrid w:val="0"/>
              <w:spacing w:line="360" w:lineRule="auto"/>
              <w:ind w:firstLine="480" w:firstLineChars="200"/>
              <w:rPr>
                <w:sz w:val="24"/>
              </w:rPr>
            </w:pPr>
            <w:r>
              <w:rPr>
                <w:sz w:val="24"/>
              </w:rPr>
              <w:t>（2）施工废水经沉淀池收集后，回用于施工场地洒水降尘。</w:t>
            </w:r>
          </w:p>
          <w:p w14:paraId="3E9E4BC3">
            <w:pPr>
              <w:spacing w:line="360" w:lineRule="auto"/>
              <w:ind w:firstLine="480" w:firstLineChars="200"/>
              <w:jc w:val="left"/>
              <w:rPr>
                <w:kern w:val="18"/>
                <w:sz w:val="24"/>
                <w:szCs w:val="22"/>
              </w:rPr>
            </w:pPr>
            <w:r>
              <w:rPr>
                <w:sz w:val="24"/>
              </w:rPr>
              <w:t>综上所述，本项目施工期废水的影响为短期影响，随着施工结束而终止，对外环境影响较小。项目施工期采取的水环境保护措施是可行的。</w:t>
            </w:r>
          </w:p>
          <w:p w14:paraId="59CD464A">
            <w:pPr>
              <w:spacing w:line="360" w:lineRule="auto"/>
              <w:ind w:firstLine="551" w:firstLineChars="196"/>
              <w:rPr>
                <w:b/>
                <w:bCs/>
                <w:sz w:val="28"/>
                <w:szCs w:val="28"/>
              </w:rPr>
            </w:pPr>
            <w:r>
              <w:rPr>
                <w:rFonts w:hint="eastAsia"/>
                <w:b/>
                <w:sz w:val="28"/>
                <w:szCs w:val="28"/>
              </w:rPr>
              <w:t>四</w:t>
            </w:r>
            <w:r>
              <w:rPr>
                <w:b/>
                <w:sz w:val="28"/>
                <w:szCs w:val="28"/>
              </w:rPr>
              <w:t>、固体废弃物影响分析</w:t>
            </w:r>
            <w:r>
              <w:rPr>
                <w:b/>
                <w:bCs/>
                <w:sz w:val="28"/>
                <w:szCs w:val="28"/>
              </w:rPr>
              <w:t>及保护措施</w:t>
            </w:r>
          </w:p>
          <w:p w14:paraId="330E658B">
            <w:pPr>
              <w:adjustRightInd w:val="0"/>
              <w:snapToGrid w:val="0"/>
              <w:spacing w:line="360" w:lineRule="auto"/>
              <w:ind w:firstLine="480" w:firstLineChars="200"/>
              <w:rPr>
                <w:sz w:val="24"/>
              </w:rPr>
            </w:pPr>
            <w:r>
              <w:rPr>
                <w:sz w:val="24"/>
              </w:rPr>
              <w:t>项目施工期固体废物主要是</w:t>
            </w:r>
            <w:r>
              <w:rPr>
                <w:rFonts w:hint="eastAsia"/>
                <w:sz w:val="24"/>
              </w:rPr>
              <w:t>开挖的土石方、</w:t>
            </w:r>
            <w:r>
              <w:rPr>
                <w:sz w:val="24"/>
              </w:rPr>
              <w:t>建筑垃圾</w:t>
            </w:r>
            <w:r>
              <w:rPr>
                <w:rFonts w:hint="eastAsia"/>
                <w:sz w:val="24"/>
              </w:rPr>
              <w:t>和</w:t>
            </w:r>
            <w:r>
              <w:rPr>
                <w:sz w:val="24"/>
              </w:rPr>
              <w:t>施工期生活垃圾。</w:t>
            </w:r>
          </w:p>
          <w:p w14:paraId="4A5A451C">
            <w:pPr>
              <w:adjustRightInd w:val="0"/>
              <w:snapToGrid w:val="0"/>
              <w:spacing w:line="360" w:lineRule="auto"/>
              <w:ind w:firstLine="480" w:firstLineChars="200"/>
              <w:rPr>
                <w:sz w:val="24"/>
              </w:rPr>
            </w:pPr>
            <w:r>
              <w:rPr>
                <w:sz w:val="24"/>
              </w:rPr>
              <w:t>（1）能回收利用的建筑垃圾，如废钢筋、废木材、废塑料等可送废品收购站回收利用；不能回收利用的建筑垃圾，如废弃的砖石、水泥凝结废渣等，由建设单位委托具备资质的建筑垃圾承运企业运至指定的建筑垃圾消纳处置场。</w:t>
            </w:r>
          </w:p>
          <w:p w14:paraId="041A252F">
            <w:pPr>
              <w:adjustRightInd w:val="0"/>
              <w:snapToGrid w:val="0"/>
              <w:spacing w:line="360" w:lineRule="auto"/>
              <w:ind w:firstLine="480" w:firstLineChars="200"/>
              <w:rPr>
                <w:sz w:val="24"/>
              </w:rPr>
            </w:pPr>
            <w:r>
              <w:rPr>
                <w:sz w:val="24"/>
              </w:rPr>
              <w:t>（2）施工期生活垃圾集中收集后，由施工人员每天运至厂区内的垃圾集中待处理区域统一清运处置。</w:t>
            </w:r>
          </w:p>
          <w:p w14:paraId="7A111FA9">
            <w:pPr>
              <w:adjustRightInd w:val="0"/>
              <w:snapToGrid w:val="0"/>
              <w:spacing w:line="360" w:lineRule="auto"/>
              <w:ind w:firstLine="480" w:firstLineChars="200"/>
              <w:rPr>
                <w:rFonts w:hint="eastAsia" w:ascii="宋体" w:hAnsi="宋体" w:cs="宋体"/>
                <w:b/>
                <w:bCs/>
                <w:spacing w:val="-10"/>
                <w:sz w:val="24"/>
              </w:rPr>
            </w:pPr>
            <w:r>
              <w:rPr>
                <w:sz w:val="24"/>
              </w:rPr>
              <w:t>综上所述，项目施工期采取的固体废物环境保护措施可行。</w:t>
            </w:r>
          </w:p>
        </w:tc>
      </w:tr>
      <w:tr w14:paraId="471605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3" w:type="pct"/>
            <w:tcMar>
              <w:left w:w="28" w:type="dxa"/>
              <w:right w:w="28" w:type="dxa"/>
            </w:tcMar>
            <w:vAlign w:val="center"/>
          </w:tcPr>
          <w:p w14:paraId="46514AE9">
            <w:pPr>
              <w:adjustRightInd w:val="0"/>
              <w:snapToGrid w:val="0"/>
              <w:jc w:val="center"/>
              <w:rPr>
                <w:rFonts w:hint="eastAsia" w:ascii="宋体" w:hAnsi="宋体" w:cs="宋体"/>
                <w:b/>
                <w:bCs/>
                <w:color w:val="auto"/>
                <w:sz w:val="24"/>
              </w:rPr>
            </w:pPr>
            <w:r>
              <w:rPr>
                <w:rFonts w:hint="eastAsia" w:ascii="宋体" w:hAnsi="宋体" w:cs="宋体"/>
                <w:b/>
                <w:bCs/>
                <w:color w:val="auto"/>
                <w:sz w:val="24"/>
              </w:rPr>
              <w:t>运营</w:t>
            </w:r>
          </w:p>
          <w:p w14:paraId="37B3A62F">
            <w:pPr>
              <w:adjustRightInd w:val="0"/>
              <w:snapToGrid w:val="0"/>
              <w:jc w:val="center"/>
              <w:rPr>
                <w:rFonts w:hint="eastAsia" w:ascii="宋体" w:hAnsi="宋体" w:cs="宋体"/>
                <w:b/>
                <w:bCs/>
                <w:color w:val="auto"/>
                <w:sz w:val="24"/>
              </w:rPr>
            </w:pPr>
            <w:r>
              <w:rPr>
                <w:rFonts w:hint="eastAsia" w:ascii="宋体" w:hAnsi="宋体" w:cs="宋体"/>
                <w:b/>
                <w:bCs/>
                <w:color w:val="auto"/>
                <w:sz w:val="24"/>
              </w:rPr>
              <w:t>期环</w:t>
            </w:r>
          </w:p>
          <w:p w14:paraId="01FB353D">
            <w:pPr>
              <w:adjustRightInd w:val="0"/>
              <w:snapToGrid w:val="0"/>
              <w:jc w:val="center"/>
              <w:rPr>
                <w:rFonts w:hint="eastAsia" w:ascii="宋体" w:hAnsi="宋体" w:cs="宋体"/>
                <w:b/>
                <w:bCs/>
                <w:color w:val="auto"/>
                <w:sz w:val="24"/>
              </w:rPr>
            </w:pPr>
            <w:r>
              <w:rPr>
                <w:rFonts w:hint="eastAsia" w:ascii="宋体" w:hAnsi="宋体" w:cs="宋体"/>
                <w:b/>
                <w:bCs/>
                <w:color w:val="auto"/>
                <w:sz w:val="24"/>
              </w:rPr>
              <w:t>境影</w:t>
            </w:r>
          </w:p>
          <w:p w14:paraId="1D3628AC">
            <w:pPr>
              <w:adjustRightInd w:val="0"/>
              <w:snapToGrid w:val="0"/>
              <w:jc w:val="center"/>
              <w:rPr>
                <w:rFonts w:hint="eastAsia" w:ascii="宋体" w:hAnsi="宋体" w:cs="宋体"/>
                <w:b/>
                <w:bCs/>
                <w:color w:val="auto"/>
                <w:sz w:val="24"/>
              </w:rPr>
            </w:pPr>
            <w:r>
              <w:rPr>
                <w:rFonts w:hint="eastAsia" w:ascii="宋体" w:hAnsi="宋体" w:cs="宋体"/>
                <w:b/>
                <w:bCs/>
                <w:color w:val="auto"/>
                <w:sz w:val="24"/>
              </w:rPr>
              <w:t>响和</w:t>
            </w:r>
          </w:p>
          <w:p w14:paraId="41C31B37">
            <w:pPr>
              <w:adjustRightInd w:val="0"/>
              <w:snapToGrid w:val="0"/>
              <w:jc w:val="center"/>
              <w:rPr>
                <w:rFonts w:hint="eastAsia" w:ascii="宋体" w:hAnsi="宋体" w:cs="宋体"/>
                <w:b/>
                <w:bCs/>
                <w:color w:val="auto"/>
                <w:sz w:val="24"/>
              </w:rPr>
            </w:pPr>
            <w:r>
              <w:rPr>
                <w:rFonts w:hint="eastAsia" w:ascii="宋体" w:hAnsi="宋体" w:cs="宋体"/>
                <w:b/>
                <w:bCs/>
                <w:color w:val="auto"/>
                <w:sz w:val="24"/>
              </w:rPr>
              <w:t>保护</w:t>
            </w:r>
          </w:p>
          <w:p w14:paraId="74F7D775">
            <w:pPr>
              <w:adjustRightInd w:val="0"/>
              <w:snapToGrid w:val="0"/>
              <w:jc w:val="center"/>
              <w:rPr>
                <w:rFonts w:hint="eastAsia" w:ascii="宋体" w:hAnsi="宋体" w:cs="宋体"/>
                <w:b/>
                <w:bCs/>
                <w:color w:val="FF0000"/>
                <w:sz w:val="24"/>
              </w:rPr>
            </w:pPr>
            <w:r>
              <w:rPr>
                <w:rFonts w:hint="eastAsia" w:ascii="宋体" w:hAnsi="宋体" w:cs="宋体"/>
                <w:b/>
                <w:bCs/>
                <w:color w:val="auto"/>
                <w:sz w:val="24"/>
              </w:rPr>
              <w:t>措施</w:t>
            </w:r>
          </w:p>
        </w:tc>
        <w:tc>
          <w:tcPr>
            <w:tcW w:w="4856" w:type="pct"/>
            <w:vAlign w:val="center"/>
          </w:tcPr>
          <w:p w14:paraId="63119279">
            <w:pPr>
              <w:adjustRightInd w:val="0"/>
              <w:snapToGrid w:val="0"/>
              <w:spacing w:line="360" w:lineRule="auto"/>
              <w:ind w:firstLine="482" w:firstLineChars="200"/>
              <w:rPr>
                <w:b/>
                <w:color w:val="auto"/>
                <w:sz w:val="24"/>
              </w:rPr>
            </w:pPr>
            <w:r>
              <w:rPr>
                <w:b/>
                <w:color w:val="auto"/>
                <w:sz w:val="24"/>
              </w:rPr>
              <w:t>一、废气</w:t>
            </w:r>
          </w:p>
          <w:p w14:paraId="342D063F">
            <w:pPr>
              <w:pStyle w:val="31"/>
              <w:ind w:firstLine="482"/>
              <w:rPr>
                <w:b/>
                <w:bCs/>
                <w:color w:val="auto"/>
              </w:rPr>
            </w:pPr>
            <w:r>
              <w:rPr>
                <w:rFonts w:hint="eastAsia"/>
                <w:b/>
                <w:bCs/>
                <w:color w:val="auto"/>
              </w:rPr>
              <w:t>1、</w:t>
            </w:r>
            <w:r>
              <w:rPr>
                <w:rFonts w:hint="eastAsia"/>
                <w:b/>
                <w:color w:val="auto"/>
              </w:rPr>
              <w:t>废气</w:t>
            </w:r>
            <w:r>
              <w:rPr>
                <w:rFonts w:hint="eastAsia"/>
                <w:b/>
                <w:bCs/>
                <w:color w:val="auto"/>
              </w:rPr>
              <w:t>源强</w:t>
            </w:r>
          </w:p>
          <w:p w14:paraId="3E557401">
            <w:pPr>
              <w:pStyle w:val="31"/>
              <w:ind w:firstLine="480"/>
              <w:rPr>
                <w:color w:val="auto"/>
              </w:rPr>
            </w:pPr>
            <w:r>
              <w:rPr>
                <w:rFonts w:hint="eastAsia"/>
                <w:color w:val="auto"/>
              </w:rPr>
              <w:t>项目营运期废气污染源主要为生物质锅炉燃烧废气、废水处理站恶臭及食堂油烟。</w:t>
            </w:r>
          </w:p>
          <w:p w14:paraId="6F503163">
            <w:pPr>
              <w:pStyle w:val="8"/>
              <w:snapToGrid/>
              <w:spacing w:before="0" w:after="0" w:line="360" w:lineRule="auto"/>
              <w:ind w:right="0" w:firstLine="482" w:firstLineChars="200"/>
              <w:rPr>
                <w:b/>
                <w:bCs/>
                <w:color w:val="auto"/>
                <w:sz w:val="24"/>
                <w:u w:val="single"/>
              </w:rPr>
            </w:pPr>
            <w:r>
              <w:rPr>
                <w:rFonts w:hint="eastAsia"/>
                <w:b/>
                <w:bCs/>
                <w:color w:val="auto"/>
                <w:sz w:val="24"/>
                <w:u w:val="single"/>
              </w:rPr>
              <w:t>（1）</w:t>
            </w:r>
            <w:r>
              <w:rPr>
                <w:rFonts w:hint="eastAsia"/>
                <w:b/>
                <w:bCs/>
                <w:color w:val="auto"/>
                <w:sz w:val="24"/>
                <w:szCs w:val="24"/>
                <w:u w:val="single"/>
              </w:rPr>
              <w:t>锅炉废气</w:t>
            </w:r>
            <w:r>
              <w:rPr>
                <w:rFonts w:hint="eastAsia"/>
                <w:b/>
                <w:bCs/>
                <w:color w:val="auto"/>
                <w:sz w:val="24"/>
                <w:u w:val="single"/>
              </w:rPr>
              <w:t>G1</w:t>
            </w:r>
          </w:p>
          <w:p w14:paraId="077F47B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锅炉燃料消耗情况按照以下计算公示进行计算：</w:t>
            </w:r>
          </w:p>
          <w:p w14:paraId="6A64548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每小时消耗量t</w:t>
            </w:r>
            <w:r>
              <w:rPr>
                <w:rFonts w:hint="default" w:ascii="Times New Roman" w:hAnsi="Times New Roman" w:eastAsia="宋体" w:cs="Times New Roman"/>
                <w:color w:val="auto"/>
                <w:kern w:val="0"/>
                <w:sz w:val="24"/>
                <w:szCs w:val="24"/>
                <w:lang w:val="en-US" w:eastAsia="zh-CN" w:bidi="ar"/>
              </w:rPr>
              <w:t>/h=60</w:t>
            </w:r>
            <w:r>
              <w:rPr>
                <w:rFonts w:hint="eastAsia" w:ascii="Times New Roman" w:hAnsi="Times New Roman" w:eastAsia="宋体" w:cs="Times New Roman"/>
                <w:color w:val="auto"/>
                <w:kern w:val="0"/>
                <w:sz w:val="24"/>
                <w:szCs w:val="24"/>
                <w:lang w:val="en-US" w:eastAsia="zh-CN" w:bidi="ar"/>
              </w:rPr>
              <w:t>万大卡×吨位÷燃料热值÷燃烧效率</w:t>
            </w:r>
          </w:p>
          <w:p w14:paraId="47A8AEB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项目生物质蒸汽锅炉为4</w:t>
            </w:r>
            <w:r>
              <w:rPr>
                <w:rFonts w:hint="default" w:ascii="Times New Roman" w:hAnsi="Times New Roman" w:eastAsia="宋体" w:cs="Times New Roman"/>
                <w:color w:val="auto"/>
                <w:kern w:val="0"/>
                <w:sz w:val="24"/>
                <w:szCs w:val="24"/>
                <w:lang w:val="en-US" w:eastAsia="zh-CN" w:bidi="ar"/>
              </w:rPr>
              <w:t>t/h</w:t>
            </w:r>
            <w:r>
              <w:rPr>
                <w:rFonts w:hint="eastAsia" w:ascii="Times New Roman" w:hAnsi="Times New Roman" w:eastAsia="宋体" w:cs="Times New Roman"/>
                <w:color w:val="auto"/>
                <w:kern w:val="0"/>
                <w:sz w:val="24"/>
                <w:szCs w:val="24"/>
                <w:lang w:val="en-US" w:eastAsia="zh-CN" w:bidi="ar"/>
              </w:rPr>
              <w:t>，根据生产需求，锅炉燃烧效率为</w:t>
            </w:r>
            <w:r>
              <w:rPr>
                <w:rFonts w:hint="default" w:ascii="Times New Roman" w:hAnsi="Times New Roman" w:eastAsia="宋体" w:cs="Times New Roman"/>
                <w:color w:val="auto"/>
                <w:kern w:val="0"/>
                <w:sz w:val="24"/>
                <w:szCs w:val="24"/>
                <w:lang w:val="en-US" w:eastAsia="zh-CN" w:bidi="ar"/>
              </w:rPr>
              <w:t>90%</w:t>
            </w:r>
            <w:r>
              <w:rPr>
                <w:rFonts w:hint="eastAsia" w:ascii="Times New Roman" w:hAnsi="Times New Roman" w:eastAsia="宋体" w:cs="Times New Roman"/>
                <w:color w:val="auto"/>
                <w:kern w:val="0"/>
                <w:sz w:val="24"/>
                <w:szCs w:val="24"/>
                <w:lang w:val="en-US" w:eastAsia="zh-CN" w:bidi="ar"/>
              </w:rPr>
              <w:t>，生物质热值为3500</w:t>
            </w:r>
            <w:r>
              <w:rPr>
                <w:rFonts w:hint="default" w:ascii="Times New Roman" w:hAnsi="Times New Roman" w:eastAsia="宋体" w:cs="Times New Roman"/>
                <w:color w:val="auto"/>
                <w:kern w:val="0"/>
                <w:sz w:val="24"/>
                <w:szCs w:val="24"/>
                <w:lang w:val="en-US" w:eastAsia="zh-CN" w:bidi="ar"/>
              </w:rPr>
              <w:t>Kcal/kg</w:t>
            </w:r>
            <w:r>
              <w:rPr>
                <w:rFonts w:hint="eastAsia" w:ascii="Times New Roman" w:hAnsi="Times New Roman" w:eastAsia="宋体" w:cs="Times New Roman"/>
                <w:color w:val="auto"/>
                <w:kern w:val="0"/>
                <w:sz w:val="24"/>
                <w:szCs w:val="24"/>
                <w:lang w:val="en-US" w:eastAsia="zh-CN" w:bidi="ar"/>
              </w:rPr>
              <w:t>，考虑最不利情况满负荷运行，即年使用360天，每天</w:t>
            </w:r>
            <w:r>
              <w:rPr>
                <w:rFonts w:hint="default" w:ascii="Times New Roman" w:hAnsi="Times New Roman" w:eastAsia="宋体" w:cs="Times New Roman"/>
                <w:color w:val="auto"/>
                <w:kern w:val="0"/>
                <w:sz w:val="24"/>
                <w:szCs w:val="24"/>
                <w:lang w:val="en-US" w:eastAsia="zh-CN" w:bidi="ar"/>
              </w:rPr>
              <w:t>8</w:t>
            </w:r>
            <w:r>
              <w:rPr>
                <w:rFonts w:hint="eastAsia" w:ascii="Times New Roman" w:hAnsi="Times New Roman" w:eastAsia="宋体" w:cs="Times New Roman"/>
                <w:color w:val="auto"/>
                <w:kern w:val="0"/>
                <w:sz w:val="24"/>
                <w:szCs w:val="24"/>
                <w:lang w:val="en-US" w:eastAsia="zh-CN" w:bidi="ar"/>
              </w:rPr>
              <w:t>小时，生物质颗粒年用量2200</w:t>
            </w:r>
            <w:r>
              <w:rPr>
                <w:rFonts w:hint="default" w:ascii="Times New Roman" w:hAnsi="Times New Roman" w:eastAsia="宋体" w:cs="Times New Roman"/>
                <w:color w:val="auto"/>
                <w:kern w:val="0"/>
                <w:sz w:val="24"/>
                <w:szCs w:val="24"/>
                <w:lang w:val="en-US" w:eastAsia="zh-CN" w:bidi="ar"/>
              </w:rPr>
              <w:t>t</w:t>
            </w:r>
            <w:r>
              <w:rPr>
                <w:rFonts w:hint="eastAsia" w:ascii="Times New Roman" w:hAnsi="Times New Roman" w:eastAsia="宋体" w:cs="Times New Roman"/>
                <w:color w:val="auto"/>
                <w:kern w:val="0"/>
                <w:sz w:val="24"/>
                <w:szCs w:val="24"/>
                <w:lang w:val="en-US" w:eastAsia="zh-CN" w:bidi="ar"/>
              </w:rPr>
              <w:t>。参考《排放源统计调查产排污核算方法和系数手册》（生态环境部公告</w:t>
            </w:r>
            <w:r>
              <w:rPr>
                <w:rFonts w:hint="default" w:ascii="Times New Roman" w:hAnsi="Times New Roman" w:eastAsia="宋体" w:cs="Times New Roman"/>
                <w:color w:val="auto"/>
                <w:kern w:val="0"/>
                <w:sz w:val="24"/>
                <w:szCs w:val="24"/>
                <w:lang w:val="en-US" w:eastAsia="zh-CN" w:bidi="ar"/>
              </w:rPr>
              <w:t>2021</w:t>
            </w:r>
            <w:r>
              <w:rPr>
                <w:rFonts w:hint="eastAsia" w:ascii="Times New Roman" w:hAnsi="Times New Roman" w:eastAsia="宋体" w:cs="Times New Roman"/>
                <w:color w:val="auto"/>
                <w:kern w:val="0"/>
                <w:sz w:val="24"/>
                <w:szCs w:val="24"/>
                <w:lang w:val="en-US" w:eastAsia="zh-CN" w:bidi="ar"/>
              </w:rPr>
              <w:t>年第</w:t>
            </w:r>
            <w:r>
              <w:rPr>
                <w:rFonts w:hint="default" w:ascii="Times New Roman" w:hAnsi="Times New Roman" w:eastAsia="宋体" w:cs="Times New Roman"/>
                <w:color w:val="auto"/>
                <w:kern w:val="0"/>
                <w:sz w:val="24"/>
                <w:szCs w:val="24"/>
                <w:lang w:val="en-US" w:eastAsia="zh-CN" w:bidi="ar"/>
              </w:rPr>
              <w:t>24</w:t>
            </w:r>
            <w:r>
              <w:rPr>
                <w:rFonts w:hint="eastAsia" w:ascii="Times New Roman" w:hAnsi="Times New Roman" w:eastAsia="宋体" w:cs="Times New Roman"/>
                <w:color w:val="auto"/>
                <w:kern w:val="0"/>
                <w:sz w:val="24"/>
                <w:szCs w:val="24"/>
                <w:lang w:val="en-US" w:eastAsia="zh-CN" w:bidi="ar"/>
              </w:rPr>
              <w:t>号）“</w:t>
            </w:r>
            <w:r>
              <w:rPr>
                <w:rFonts w:hint="default" w:ascii="Times New Roman" w:hAnsi="Times New Roman" w:eastAsia="宋体" w:cs="Times New Roman"/>
                <w:color w:val="auto"/>
                <w:kern w:val="0"/>
                <w:sz w:val="24"/>
                <w:szCs w:val="24"/>
                <w:lang w:val="en-US" w:eastAsia="zh-CN" w:bidi="ar"/>
              </w:rPr>
              <w:t>4430</w:t>
            </w:r>
            <w:r>
              <w:rPr>
                <w:rFonts w:hint="eastAsia" w:ascii="Times New Roman" w:hAnsi="Times New Roman" w:eastAsia="宋体" w:cs="Times New Roman"/>
                <w:color w:val="auto"/>
                <w:kern w:val="0"/>
                <w:sz w:val="24"/>
                <w:szCs w:val="24"/>
                <w:lang w:val="en-US" w:eastAsia="zh-CN" w:bidi="ar"/>
              </w:rPr>
              <w:t>工业锅炉（热力生产和供应行业）产排污系数表</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生物质工业锅炉”进行计算，具体产污系数详见表</w:t>
            </w:r>
            <w:r>
              <w:rPr>
                <w:rFonts w:hint="default" w:ascii="Times New Roman" w:hAnsi="Times New Roman" w:eastAsia="宋体" w:cs="Times New Roman"/>
                <w:color w:val="auto"/>
                <w:kern w:val="0"/>
                <w:sz w:val="24"/>
                <w:szCs w:val="24"/>
                <w:lang w:val="en-US" w:eastAsia="zh-CN" w:bidi="ar"/>
              </w:rPr>
              <w:t>4-</w:t>
            </w:r>
            <w:r>
              <w:rPr>
                <w:rFonts w:hint="eastAsia" w:cs="Times New Roman"/>
                <w:color w:val="auto"/>
                <w:kern w:val="0"/>
                <w:sz w:val="24"/>
                <w:szCs w:val="24"/>
                <w:lang w:val="en-US" w:eastAsia="zh-CN" w:bidi="ar"/>
              </w:rPr>
              <w:t>1。</w:t>
            </w:r>
          </w:p>
          <w:p w14:paraId="61F86C89">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kern w:val="0"/>
                <w:sz w:val="21"/>
                <w:szCs w:val="21"/>
                <w:lang w:val="en-US" w:eastAsia="zh-CN" w:bidi="ar"/>
              </w:rPr>
            </w:pPr>
            <w:r>
              <w:rPr>
                <w:rFonts w:hint="eastAsia" w:ascii="Times New Roman" w:hAnsi="Times New Roman" w:eastAsia="宋体" w:cs="Times New Roman"/>
                <w:b/>
                <w:bCs/>
                <w:color w:val="auto"/>
                <w:kern w:val="0"/>
                <w:sz w:val="21"/>
                <w:szCs w:val="21"/>
                <w:lang w:val="en-US" w:eastAsia="zh-CN" w:bidi="ar"/>
              </w:rPr>
              <w:t>表4-</w:t>
            </w:r>
            <w:r>
              <w:rPr>
                <w:rFonts w:hint="eastAsia" w:cs="Times New Roman"/>
                <w:b/>
                <w:bCs/>
                <w:color w:val="auto"/>
                <w:kern w:val="0"/>
                <w:sz w:val="21"/>
                <w:szCs w:val="21"/>
                <w:lang w:val="en-US" w:eastAsia="zh-CN" w:bidi="ar"/>
              </w:rPr>
              <w:t>1</w:t>
            </w:r>
            <w:r>
              <w:rPr>
                <w:rFonts w:hint="eastAsia" w:ascii="Times New Roman" w:hAnsi="Times New Roman" w:eastAsia="宋体" w:cs="Times New Roman"/>
                <w:b/>
                <w:bCs/>
                <w:color w:val="auto"/>
                <w:kern w:val="0"/>
                <w:sz w:val="21"/>
                <w:szCs w:val="21"/>
                <w:lang w:val="en-US" w:eastAsia="zh-CN" w:bidi="ar"/>
              </w:rPr>
              <w:t xml:space="preserve">  生物质锅炉产污系数详见表</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8"/>
              <w:gridCol w:w="2339"/>
              <w:gridCol w:w="2339"/>
              <w:gridCol w:w="2342"/>
            </w:tblGrid>
            <w:tr w14:paraId="1364F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9" w:type="dxa"/>
                  <w:noWrap w:val="0"/>
                  <w:vAlign w:val="center"/>
                </w:tcPr>
                <w:p w14:paraId="328BACD6">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b/>
                      <w:bCs/>
                      <w:color w:val="auto"/>
                      <w:kern w:val="0"/>
                      <w:sz w:val="20"/>
                      <w:szCs w:val="20"/>
                      <w:lang w:val="en-US" w:eastAsia="zh-CN" w:bidi="ar"/>
                    </w:rPr>
                    <w:t>原料名称</w:t>
                  </w:r>
                </w:p>
              </w:tc>
              <w:tc>
                <w:tcPr>
                  <w:tcW w:w="2349" w:type="dxa"/>
                  <w:noWrap w:val="0"/>
                  <w:vAlign w:val="center"/>
                </w:tcPr>
                <w:p w14:paraId="43480DBD">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b/>
                      <w:bCs/>
                      <w:color w:val="auto"/>
                      <w:kern w:val="0"/>
                      <w:sz w:val="20"/>
                      <w:szCs w:val="20"/>
                      <w:lang w:val="en-US" w:eastAsia="zh-CN" w:bidi="ar"/>
                    </w:rPr>
                    <w:t>污染物指标</w:t>
                  </w:r>
                </w:p>
              </w:tc>
              <w:tc>
                <w:tcPr>
                  <w:tcW w:w="2349" w:type="dxa"/>
                  <w:noWrap w:val="0"/>
                  <w:vAlign w:val="center"/>
                </w:tcPr>
                <w:p w14:paraId="5A2BCFCF">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b/>
                      <w:bCs/>
                      <w:color w:val="auto"/>
                      <w:kern w:val="0"/>
                      <w:sz w:val="20"/>
                      <w:szCs w:val="20"/>
                      <w:lang w:val="en-US" w:eastAsia="zh-CN" w:bidi="ar"/>
                    </w:rPr>
                    <w:t>单位</w:t>
                  </w:r>
                </w:p>
              </w:tc>
              <w:tc>
                <w:tcPr>
                  <w:tcW w:w="2351" w:type="dxa"/>
                  <w:noWrap w:val="0"/>
                  <w:vAlign w:val="center"/>
                </w:tcPr>
                <w:p w14:paraId="0B294FE7">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b/>
                      <w:bCs/>
                      <w:color w:val="auto"/>
                      <w:kern w:val="0"/>
                      <w:sz w:val="20"/>
                      <w:szCs w:val="20"/>
                      <w:lang w:val="en-US" w:eastAsia="zh-CN" w:bidi="ar"/>
                    </w:rPr>
                    <w:t>产污系数</w:t>
                  </w:r>
                </w:p>
              </w:tc>
            </w:tr>
            <w:tr w14:paraId="15130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9" w:type="dxa"/>
                  <w:vMerge w:val="restart"/>
                  <w:noWrap w:val="0"/>
                  <w:vAlign w:val="center"/>
                </w:tcPr>
                <w:p w14:paraId="001AD61F">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生物质燃料</w:t>
                  </w:r>
                </w:p>
              </w:tc>
              <w:tc>
                <w:tcPr>
                  <w:tcW w:w="2349" w:type="dxa"/>
                  <w:noWrap w:val="0"/>
                  <w:vAlign w:val="center"/>
                </w:tcPr>
                <w:p w14:paraId="0BA09C37">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工业废气量</w:t>
                  </w:r>
                </w:p>
              </w:tc>
              <w:tc>
                <w:tcPr>
                  <w:tcW w:w="2349" w:type="dxa"/>
                  <w:noWrap w:val="0"/>
                  <w:vAlign w:val="center"/>
                </w:tcPr>
                <w:p w14:paraId="1BF7570D">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标立方米</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吨</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原料</w:t>
                  </w:r>
                </w:p>
              </w:tc>
              <w:tc>
                <w:tcPr>
                  <w:tcW w:w="2351" w:type="dxa"/>
                  <w:noWrap w:val="0"/>
                  <w:vAlign w:val="center"/>
                </w:tcPr>
                <w:p w14:paraId="7CBFA606">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0"/>
                      <w:szCs w:val="20"/>
                      <w:lang w:val="en-US" w:eastAsia="zh-CN" w:bidi="ar"/>
                    </w:rPr>
                    <w:t>6240</w:t>
                  </w:r>
                </w:p>
              </w:tc>
            </w:tr>
            <w:tr w14:paraId="76D16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9" w:type="dxa"/>
                  <w:vMerge w:val="continue"/>
                  <w:noWrap w:val="0"/>
                  <w:vAlign w:val="center"/>
                </w:tcPr>
                <w:p w14:paraId="76871B54">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4"/>
                      <w:szCs w:val="24"/>
                      <w:vertAlign w:val="baseline"/>
                      <w:lang w:val="en-US" w:eastAsia="zh-CN" w:bidi="ar"/>
                    </w:rPr>
                  </w:pPr>
                </w:p>
              </w:tc>
              <w:tc>
                <w:tcPr>
                  <w:tcW w:w="2349" w:type="dxa"/>
                  <w:noWrap w:val="0"/>
                  <w:vAlign w:val="center"/>
                </w:tcPr>
                <w:p w14:paraId="5DC5DE12">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二氧化硫</w:t>
                  </w:r>
                </w:p>
              </w:tc>
              <w:tc>
                <w:tcPr>
                  <w:tcW w:w="2349" w:type="dxa"/>
                  <w:noWrap w:val="0"/>
                  <w:vAlign w:val="center"/>
                </w:tcPr>
                <w:p w14:paraId="766F35B1">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千克</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吨</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原料</w:t>
                  </w:r>
                </w:p>
              </w:tc>
              <w:tc>
                <w:tcPr>
                  <w:tcW w:w="2351" w:type="dxa"/>
                  <w:noWrap w:val="0"/>
                  <w:vAlign w:val="center"/>
                </w:tcPr>
                <w:p w14:paraId="636D274D">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0"/>
                      <w:szCs w:val="20"/>
                      <w:lang w:val="en-US" w:eastAsia="zh-CN" w:bidi="ar"/>
                    </w:rPr>
                    <w:t>17S</w:t>
                  </w:r>
                </w:p>
              </w:tc>
            </w:tr>
            <w:tr w14:paraId="0E514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9" w:type="dxa"/>
                  <w:vMerge w:val="continue"/>
                  <w:noWrap w:val="0"/>
                  <w:vAlign w:val="center"/>
                </w:tcPr>
                <w:p w14:paraId="4A6F82CF">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4"/>
                      <w:szCs w:val="24"/>
                      <w:vertAlign w:val="baseline"/>
                      <w:lang w:val="en-US" w:eastAsia="zh-CN" w:bidi="ar"/>
                    </w:rPr>
                  </w:pPr>
                </w:p>
              </w:tc>
              <w:tc>
                <w:tcPr>
                  <w:tcW w:w="2349" w:type="dxa"/>
                  <w:noWrap w:val="0"/>
                  <w:vAlign w:val="center"/>
                </w:tcPr>
                <w:p w14:paraId="6D86FE04">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颗粒物</w:t>
                  </w:r>
                </w:p>
              </w:tc>
              <w:tc>
                <w:tcPr>
                  <w:tcW w:w="2349" w:type="dxa"/>
                  <w:noWrap w:val="0"/>
                  <w:vAlign w:val="center"/>
                </w:tcPr>
                <w:p w14:paraId="7040B36D">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千克</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吨</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原料</w:t>
                  </w:r>
                </w:p>
              </w:tc>
              <w:tc>
                <w:tcPr>
                  <w:tcW w:w="2351" w:type="dxa"/>
                  <w:noWrap w:val="0"/>
                  <w:vAlign w:val="center"/>
                </w:tcPr>
                <w:p w14:paraId="6B02E7EB">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0"/>
                      <w:szCs w:val="20"/>
                      <w:lang w:val="en-US" w:eastAsia="zh-CN" w:bidi="ar"/>
                    </w:rPr>
                    <w:t>0.5</w:t>
                  </w:r>
                </w:p>
              </w:tc>
            </w:tr>
            <w:tr w14:paraId="7DC03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9" w:type="dxa"/>
                  <w:vMerge w:val="continue"/>
                  <w:noWrap w:val="0"/>
                  <w:vAlign w:val="center"/>
                </w:tcPr>
                <w:p w14:paraId="5E1475C8">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0"/>
                      <w:sz w:val="24"/>
                      <w:szCs w:val="24"/>
                      <w:vertAlign w:val="baseline"/>
                      <w:lang w:val="en-US" w:eastAsia="zh-CN" w:bidi="ar"/>
                    </w:rPr>
                  </w:pPr>
                </w:p>
              </w:tc>
              <w:tc>
                <w:tcPr>
                  <w:tcW w:w="2349" w:type="dxa"/>
                  <w:noWrap w:val="0"/>
                  <w:vAlign w:val="center"/>
                </w:tcPr>
                <w:p w14:paraId="787C5CA0">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氮氧化物</w:t>
                  </w:r>
                </w:p>
              </w:tc>
              <w:tc>
                <w:tcPr>
                  <w:tcW w:w="2349" w:type="dxa"/>
                  <w:noWrap w:val="0"/>
                  <w:vAlign w:val="center"/>
                </w:tcPr>
                <w:p w14:paraId="42448E2E">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千克</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吨</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原料</w:t>
                  </w:r>
                </w:p>
              </w:tc>
              <w:tc>
                <w:tcPr>
                  <w:tcW w:w="2351" w:type="dxa"/>
                  <w:noWrap w:val="0"/>
                  <w:vAlign w:val="center"/>
                </w:tcPr>
                <w:p w14:paraId="1DA48451">
                  <w:pPr>
                    <w:keepNext w:val="0"/>
                    <w:keepLines w:val="0"/>
                    <w:widowControl/>
                    <w:suppressLineNumbers w:val="0"/>
                    <w:jc w:val="center"/>
                    <w:rPr>
                      <w:rFonts w:hint="default" w:ascii="Times New Roman" w:hAnsi="Times New Roman" w:eastAsia="宋体" w:cs="Times New Roman"/>
                      <w:color w:val="auto"/>
                      <w:kern w:val="0"/>
                      <w:sz w:val="24"/>
                      <w:szCs w:val="24"/>
                      <w:vertAlign w:val="baseline"/>
                      <w:lang w:val="en-US" w:eastAsia="zh-CN" w:bidi="ar"/>
                    </w:rPr>
                  </w:pPr>
                  <w:r>
                    <w:rPr>
                      <w:rFonts w:hint="default" w:ascii="Times New Roman" w:hAnsi="Times New Roman" w:eastAsia="宋体" w:cs="Times New Roman"/>
                      <w:color w:val="auto"/>
                      <w:kern w:val="0"/>
                      <w:sz w:val="20"/>
                      <w:szCs w:val="20"/>
                      <w:lang w:val="en-US" w:eastAsia="zh-CN" w:bidi="ar"/>
                    </w:rPr>
                    <w:t>1.02</w:t>
                  </w:r>
                </w:p>
              </w:tc>
            </w:tr>
            <w:tr w14:paraId="36B83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98" w:type="dxa"/>
                  <w:gridSpan w:val="4"/>
                  <w:noWrap w:val="0"/>
                  <w:vAlign w:val="center"/>
                </w:tcPr>
                <w:p w14:paraId="720C5651">
                  <w:pPr>
                    <w:keepNext w:val="0"/>
                    <w:keepLines w:val="0"/>
                    <w:widowControl/>
                    <w:suppressLineNumbers w:val="0"/>
                    <w:jc w:val="left"/>
                    <w:rPr>
                      <w:rFonts w:hint="default" w:ascii="Times New Roman" w:hAnsi="Times New Roman" w:eastAsia="宋体" w:cs="Times New Roman"/>
                      <w:color w:val="auto"/>
                      <w:kern w:val="0"/>
                      <w:sz w:val="24"/>
                      <w:szCs w:val="24"/>
                      <w:vertAlign w:val="baseline"/>
                      <w:lang w:val="en-US" w:eastAsia="zh-CN" w:bidi="ar"/>
                    </w:rPr>
                  </w:pPr>
                  <w:r>
                    <w:rPr>
                      <w:rFonts w:hint="eastAsia" w:ascii="宋体" w:hAnsi="宋体" w:eastAsia="宋体" w:cs="宋体"/>
                      <w:color w:val="auto"/>
                      <w:kern w:val="0"/>
                      <w:sz w:val="20"/>
                      <w:szCs w:val="20"/>
                      <w:lang w:val="en-US" w:eastAsia="zh-CN" w:bidi="ar"/>
                    </w:rPr>
                    <w:t>注：二氧化硫的产排污系数是以含硫量（</w:t>
                  </w:r>
                  <w:r>
                    <w:rPr>
                      <w:rFonts w:hint="default" w:ascii="Times New Roman" w:hAnsi="Times New Roman" w:eastAsia="宋体" w:cs="Times New Roman"/>
                      <w:color w:val="auto"/>
                      <w:kern w:val="0"/>
                      <w:sz w:val="20"/>
                      <w:szCs w:val="20"/>
                      <w:lang w:val="en-US" w:eastAsia="zh-CN" w:bidi="ar"/>
                    </w:rPr>
                    <w:t>S</w:t>
                  </w:r>
                  <w:r>
                    <w:rPr>
                      <w:rFonts w:hint="eastAsia" w:ascii="宋体" w:hAnsi="宋体" w:eastAsia="宋体" w:cs="宋体"/>
                      <w:color w:val="auto"/>
                      <w:kern w:val="0"/>
                      <w:sz w:val="20"/>
                      <w:szCs w:val="20"/>
                      <w:lang w:val="en-US" w:eastAsia="zh-CN" w:bidi="ar"/>
                    </w:rPr>
                    <w:t>）的形式表示的，其中含硫量（</w:t>
                  </w:r>
                  <w:r>
                    <w:rPr>
                      <w:rFonts w:hint="default" w:ascii="Times New Roman" w:hAnsi="Times New Roman" w:eastAsia="宋体" w:cs="Times New Roman"/>
                      <w:color w:val="auto"/>
                      <w:kern w:val="0"/>
                      <w:sz w:val="20"/>
                      <w:szCs w:val="20"/>
                      <w:lang w:val="en-US" w:eastAsia="zh-CN" w:bidi="ar"/>
                    </w:rPr>
                    <w:t>S</w:t>
                  </w:r>
                  <w:r>
                    <w:rPr>
                      <w:rFonts w:hint="eastAsia" w:ascii="宋体" w:hAnsi="宋体" w:eastAsia="宋体" w:cs="宋体"/>
                      <w:color w:val="auto"/>
                      <w:kern w:val="0"/>
                      <w:sz w:val="20"/>
                      <w:szCs w:val="20"/>
                      <w:lang w:val="en-US" w:eastAsia="zh-CN" w:bidi="ar"/>
                    </w:rPr>
                    <w:t>）是指燃气收到基硫分含量，单位为毫克</w:t>
                  </w:r>
                  <w:r>
                    <w:rPr>
                      <w:rFonts w:hint="default" w:ascii="Times New Roman" w:hAnsi="Times New Roman" w:eastAsia="宋体" w:cs="Times New Roman"/>
                      <w:color w:val="auto"/>
                      <w:kern w:val="0"/>
                      <w:sz w:val="20"/>
                      <w:szCs w:val="20"/>
                      <w:lang w:val="en-US" w:eastAsia="zh-CN" w:bidi="ar"/>
                    </w:rPr>
                    <w:t>/</w:t>
                  </w:r>
                  <w:r>
                    <w:rPr>
                      <w:rFonts w:hint="eastAsia" w:ascii="宋体" w:hAnsi="宋体" w:eastAsia="宋体" w:cs="宋体"/>
                      <w:color w:val="auto"/>
                      <w:kern w:val="0"/>
                      <w:sz w:val="20"/>
                      <w:szCs w:val="20"/>
                      <w:lang w:val="en-US" w:eastAsia="zh-CN" w:bidi="ar"/>
                    </w:rPr>
                    <w:t>立方米。生物质燃料中含硫量（</w:t>
                  </w:r>
                  <w:r>
                    <w:rPr>
                      <w:rFonts w:hint="default" w:ascii="Times New Roman" w:hAnsi="Times New Roman" w:eastAsia="宋体" w:cs="Times New Roman"/>
                      <w:color w:val="auto"/>
                      <w:kern w:val="0"/>
                      <w:sz w:val="20"/>
                      <w:szCs w:val="20"/>
                      <w:lang w:val="en-US" w:eastAsia="zh-CN" w:bidi="ar"/>
                    </w:rPr>
                    <w:t>S</w:t>
                  </w:r>
                  <w:r>
                    <w:rPr>
                      <w:rFonts w:hint="eastAsia" w:ascii="宋体" w:hAnsi="宋体" w:eastAsia="宋体" w:cs="宋体"/>
                      <w:color w:val="auto"/>
                      <w:kern w:val="0"/>
                      <w:sz w:val="20"/>
                      <w:szCs w:val="20"/>
                      <w:lang w:val="en-US" w:eastAsia="zh-CN" w:bidi="ar"/>
                    </w:rPr>
                    <w:t>）为</w:t>
                  </w:r>
                  <w:r>
                    <w:rPr>
                      <w:rFonts w:hint="default" w:ascii="Times New Roman" w:hAnsi="Times New Roman" w:eastAsia="宋体" w:cs="Times New Roman"/>
                      <w:color w:val="auto"/>
                      <w:kern w:val="0"/>
                      <w:sz w:val="20"/>
                      <w:szCs w:val="20"/>
                      <w:lang w:val="en-US" w:eastAsia="zh-CN" w:bidi="ar"/>
                    </w:rPr>
                    <w:t>0.02%</w:t>
                  </w:r>
                  <w:r>
                    <w:rPr>
                      <w:rFonts w:hint="eastAsia" w:ascii="宋体" w:hAnsi="宋体" w:eastAsia="宋体" w:cs="宋体"/>
                      <w:color w:val="auto"/>
                      <w:kern w:val="0"/>
                      <w:sz w:val="20"/>
                      <w:szCs w:val="20"/>
                      <w:lang w:val="en-US" w:eastAsia="zh-CN" w:bidi="ar"/>
                    </w:rPr>
                    <w:t>，则</w:t>
                  </w:r>
                  <w:r>
                    <w:rPr>
                      <w:rFonts w:hint="default" w:ascii="Times New Roman" w:hAnsi="Times New Roman" w:eastAsia="宋体" w:cs="Times New Roman"/>
                      <w:color w:val="auto"/>
                      <w:kern w:val="0"/>
                      <w:sz w:val="20"/>
                      <w:szCs w:val="20"/>
                      <w:lang w:val="en-US" w:eastAsia="zh-CN" w:bidi="ar"/>
                    </w:rPr>
                    <w:t>S=0.02</w:t>
                  </w:r>
                  <w:r>
                    <w:rPr>
                      <w:rFonts w:hint="eastAsia" w:ascii="宋体" w:hAnsi="宋体" w:eastAsia="宋体" w:cs="宋体"/>
                      <w:color w:val="auto"/>
                      <w:kern w:val="0"/>
                      <w:sz w:val="20"/>
                      <w:szCs w:val="20"/>
                      <w:lang w:val="en-US" w:eastAsia="zh-CN" w:bidi="ar"/>
                    </w:rPr>
                    <w:t>。</w:t>
                  </w:r>
                </w:p>
              </w:tc>
            </w:tr>
          </w:tbl>
          <w:p w14:paraId="23AD7E0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项目生物质蒸汽锅炉采取的布袋除尘器对燃烧废气进行处理，尾气经过</w:t>
            </w:r>
            <w:r>
              <w:rPr>
                <w:rFonts w:hint="eastAsia" w:cs="Times New Roman"/>
                <w:color w:val="auto"/>
                <w:kern w:val="0"/>
                <w:sz w:val="24"/>
                <w:szCs w:val="24"/>
                <w:lang w:val="en-US" w:eastAsia="zh-CN" w:bidi="ar"/>
              </w:rPr>
              <w:t>30</w:t>
            </w:r>
            <w:r>
              <w:rPr>
                <w:rFonts w:hint="default" w:ascii="Times New Roman" w:hAnsi="Times New Roman" w:eastAsia="宋体" w:cs="Times New Roman"/>
                <w:color w:val="auto"/>
                <w:kern w:val="0"/>
                <w:sz w:val="24"/>
                <w:szCs w:val="24"/>
                <w:lang w:val="en-US" w:eastAsia="zh-CN" w:bidi="ar"/>
              </w:rPr>
              <w:t>m</w:t>
            </w:r>
            <w:r>
              <w:rPr>
                <w:rFonts w:hint="eastAsia" w:ascii="Times New Roman" w:hAnsi="Times New Roman" w:eastAsia="宋体" w:cs="Times New Roman"/>
                <w:color w:val="auto"/>
                <w:kern w:val="0"/>
                <w:sz w:val="24"/>
                <w:szCs w:val="24"/>
                <w:lang w:val="en-US" w:eastAsia="zh-CN" w:bidi="ar"/>
              </w:rPr>
              <w:t>高排气筒（DA001）引出排放，参考《排放源统计调查产排污核算方法和系数手册》（生态环境部公告</w:t>
            </w:r>
            <w:r>
              <w:rPr>
                <w:rFonts w:hint="default" w:ascii="Times New Roman" w:hAnsi="Times New Roman" w:eastAsia="宋体" w:cs="Times New Roman"/>
                <w:color w:val="auto"/>
                <w:kern w:val="0"/>
                <w:sz w:val="24"/>
                <w:szCs w:val="24"/>
                <w:lang w:val="en-US" w:eastAsia="zh-CN" w:bidi="ar"/>
              </w:rPr>
              <w:t>2021</w:t>
            </w:r>
            <w:r>
              <w:rPr>
                <w:rFonts w:hint="eastAsia" w:ascii="Times New Roman" w:hAnsi="Times New Roman" w:eastAsia="宋体" w:cs="Times New Roman"/>
                <w:color w:val="auto"/>
                <w:kern w:val="0"/>
                <w:sz w:val="24"/>
                <w:szCs w:val="24"/>
                <w:lang w:val="en-US" w:eastAsia="zh-CN" w:bidi="ar"/>
              </w:rPr>
              <w:t>年第</w:t>
            </w:r>
            <w:r>
              <w:rPr>
                <w:rFonts w:hint="default" w:ascii="Times New Roman" w:hAnsi="Times New Roman" w:eastAsia="宋体" w:cs="Times New Roman"/>
                <w:color w:val="auto"/>
                <w:kern w:val="0"/>
                <w:sz w:val="24"/>
                <w:szCs w:val="24"/>
                <w:lang w:val="en-US" w:eastAsia="zh-CN" w:bidi="ar"/>
              </w:rPr>
              <w:t>24</w:t>
            </w:r>
            <w:r>
              <w:rPr>
                <w:rFonts w:hint="eastAsia" w:ascii="Times New Roman" w:hAnsi="Times New Roman" w:eastAsia="宋体" w:cs="Times New Roman"/>
                <w:color w:val="auto"/>
                <w:kern w:val="0"/>
                <w:sz w:val="24"/>
                <w:szCs w:val="24"/>
                <w:lang w:val="en-US" w:eastAsia="zh-CN" w:bidi="ar"/>
              </w:rPr>
              <w:t>号），生物质锅炉采取的布袋除尘器除尘效率为99.7</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，本次保守取值99</w:t>
            </w:r>
            <w:r>
              <w:rPr>
                <w:rFonts w:hint="default" w:ascii="Times New Roman" w:hAnsi="Times New Roman" w:eastAsia="宋体"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计算，生物质蒸汽锅炉燃烧尾气污染物产排污情况详见下表</w:t>
            </w:r>
            <w:r>
              <w:rPr>
                <w:rFonts w:hint="default" w:ascii="Times New Roman" w:hAnsi="Times New Roman" w:eastAsia="宋体" w:cs="Times New Roman"/>
                <w:color w:val="auto"/>
                <w:kern w:val="0"/>
                <w:sz w:val="24"/>
                <w:szCs w:val="24"/>
                <w:lang w:val="en-US" w:eastAsia="zh-CN" w:bidi="ar"/>
              </w:rPr>
              <w:t>4-</w:t>
            </w:r>
            <w:r>
              <w:rPr>
                <w:rFonts w:hint="eastAsia" w:cs="Times New Roman"/>
                <w:color w:val="auto"/>
                <w:kern w:val="0"/>
                <w:sz w:val="24"/>
                <w:szCs w:val="24"/>
                <w:lang w:val="en-US" w:eastAsia="zh-CN" w:bidi="ar"/>
              </w:rPr>
              <w:t>2</w:t>
            </w:r>
            <w:r>
              <w:rPr>
                <w:rFonts w:hint="eastAsia" w:ascii="Times New Roman" w:hAnsi="Times New Roman" w:eastAsia="宋体" w:cs="Times New Roman"/>
                <w:color w:val="auto"/>
                <w:kern w:val="0"/>
                <w:sz w:val="24"/>
                <w:szCs w:val="24"/>
                <w:lang w:val="en-US" w:eastAsia="zh-CN" w:bidi="ar"/>
              </w:rPr>
              <w:t>；</w:t>
            </w:r>
          </w:p>
          <w:p w14:paraId="652637A1">
            <w:pPr>
              <w:keepNext w:val="0"/>
              <w:keepLines w:val="0"/>
              <w:pageBreakBefore w:val="0"/>
              <w:widowControl/>
              <w:suppressLineNumbers w:val="0"/>
              <w:kinsoku/>
              <w:wordWrap/>
              <w:overflowPunct/>
              <w:topLinePunct w:val="0"/>
              <w:autoSpaceDE/>
              <w:autoSpaceDN/>
              <w:bidi w:val="0"/>
              <w:adjustRightInd/>
              <w:snapToGrid/>
              <w:spacing w:line="360" w:lineRule="auto"/>
              <w:ind w:firstLine="422" w:firstLineChars="200"/>
              <w:jc w:val="center"/>
              <w:textAlignment w:val="auto"/>
              <w:rPr>
                <w:rFonts w:hint="eastAsia" w:ascii="Times New Roman" w:hAnsi="Times New Roman" w:eastAsia="宋体" w:cs="Times New Roman"/>
                <w:b/>
                <w:bCs/>
                <w:color w:val="auto"/>
                <w:kern w:val="0"/>
                <w:sz w:val="21"/>
                <w:szCs w:val="21"/>
                <w:u w:val="none"/>
                <w:lang w:val="en-US" w:eastAsia="zh-CN" w:bidi="ar"/>
              </w:rPr>
            </w:pPr>
            <w:r>
              <w:rPr>
                <w:rFonts w:hint="eastAsia" w:ascii="Times New Roman" w:hAnsi="Times New Roman" w:eastAsia="宋体" w:cs="Times New Roman"/>
                <w:b/>
                <w:bCs/>
                <w:color w:val="auto"/>
                <w:kern w:val="0"/>
                <w:sz w:val="21"/>
                <w:szCs w:val="21"/>
                <w:u w:val="none"/>
                <w:lang w:val="en-US" w:eastAsia="zh-CN" w:bidi="ar"/>
              </w:rPr>
              <w:t>表4-</w:t>
            </w:r>
            <w:r>
              <w:rPr>
                <w:rFonts w:hint="eastAsia" w:cs="Times New Roman"/>
                <w:b/>
                <w:bCs/>
                <w:color w:val="auto"/>
                <w:kern w:val="0"/>
                <w:sz w:val="21"/>
                <w:szCs w:val="21"/>
                <w:u w:val="none"/>
                <w:lang w:val="en-US" w:eastAsia="zh-CN" w:bidi="ar"/>
              </w:rPr>
              <w:t>2</w:t>
            </w:r>
            <w:r>
              <w:rPr>
                <w:rFonts w:hint="eastAsia" w:ascii="Times New Roman" w:hAnsi="Times New Roman" w:eastAsia="宋体" w:cs="Times New Roman"/>
                <w:b/>
                <w:bCs/>
                <w:color w:val="auto"/>
                <w:kern w:val="0"/>
                <w:sz w:val="21"/>
                <w:szCs w:val="21"/>
                <w:u w:val="none"/>
                <w:lang w:val="en-US" w:eastAsia="zh-CN" w:bidi="ar"/>
              </w:rPr>
              <w:t xml:space="preserve">  项目生物质蒸汽锅炉废气染物产排污情况一览表</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9"/>
              <w:gridCol w:w="1460"/>
              <w:gridCol w:w="1027"/>
              <w:gridCol w:w="1461"/>
              <w:gridCol w:w="1029"/>
              <w:gridCol w:w="2532"/>
              <w:gridCol w:w="894"/>
            </w:tblGrid>
            <w:tr w14:paraId="44E4A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Merge w:val="restart"/>
                  <w:noWrap w:val="0"/>
                  <w:vAlign w:val="center"/>
                </w:tcPr>
                <w:p w14:paraId="4282855D">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污染因子</w:t>
                  </w:r>
                </w:p>
              </w:tc>
              <w:tc>
                <w:tcPr>
                  <w:tcW w:w="1329" w:type="pct"/>
                  <w:gridSpan w:val="2"/>
                  <w:noWrap w:val="0"/>
                  <w:vAlign w:val="center"/>
                </w:tcPr>
                <w:p w14:paraId="657EA669">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处理前</w:t>
                  </w:r>
                </w:p>
              </w:tc>
              <w:tc>
                <w:tcPr>
                  <w:tcW w:w="1330" w:type="pct"/>
                  <w:gridSpan w:val="2"/>
                  <w:noWrap w:val="0"/>
                  <w:vAlign w:val="center"/>
                </w:tcPr>
                <w:p w14:paraId="7575640D">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处理后</w:t>
                  </w:r>
                </w:p>
              </w:tc>
              <w:tc>
                <w:tcPr>
                  <w:tcW w:w="1353" w:type="pct"/>
                  <w:vMerge w:val="restart"/>
                  <w:noWrap w:val="0"/>
                  <w:vAlign w:val="center"/>
                </w:tcPr>
                <w:p w14:paraId="2201AD63">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表2中燃煤锅炉排放限值mg/m</w:t>
                  </w:r>
                  <w:r>
                    <w:rPr>
                      <w:rFonts w:hint="eastAsia" w:ascii="Times New Roman" w:hAnsi="Times New Roman" w:eastAsia="宋体" w:cs="Times New Roman"/>
                      <w:b/>
                      <w:bCs/>
                      <w:color w:val="auto"/>
                      <w:kern w:val="0"/>
                      <w:sz w:val="21"/>
                      <w:szCs w:val="21"/>
                      <w:u w:val="none"/>
                      <w:vertAlign w:val="superscript"/>
                      <w:lang w:val="en-US" w:eastAsia="zh-CN" w:bidi="ar"/>
                    </w:rPr>
                    <w:t>3</w:t>
                  </w:r>
                </w:p>
              </w:tc>
              <w:tc>
                <w:tcPr>
                  <w:tcW w:w="478" w:type="pct"/>
                  <w:vMerge w:val="restart"/>
                  <w:noWrap w:val="0"/>
                  <w:vAlign w:val="center"/>
                </w:tcPr>
                <w:p w14:paraId="513FBF57">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是否达标</w:t>
                  </w:r>
                </w:p>
              </w:tc>
            </w:tr>
            <w:tr w14:paraId="01DA8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vMerge w:val="continue"/>
                  <w:noWrap w:val="0"/>
                  <w:vAlign w:val="center"/>
                </w:tcPr>
                <w:p w14:paraId="76E884A4">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p>
              </w:tc>
              <w:tc>
                <w:tcPr>
                  <w:tcW w:w="780" w:type="pct"/>
                  <w:noWrap w:val="0"/>
                  <w:vAlign w:val="center"/>
                </w:tcPr>
                <w:p w14:paraId="3CD549CF">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产生浓度mg/m</w:t>
                  </w:r>
                  <w:r>
                    <w:rPr>
                      <w:rFonts w:hint="eastAsia" w:ascii="Times New Roman" w:hAnsi="Times New Roman" w:eastAsia="宋体" w:cs="Times New Roman"/>
                      <w:b/>
                      <w:bCs/>
                      <w:color w:val="auto"/>
                      <w:kern w:val="0"/>
                      <w:sz w:val="21"/>
                      <w:szCs w:val="21"/>
                      <w:u w:val="none"/>
                      <w:vertAlign w:val="superscript"/>
                      <w:lang w:val="en-US" w:eastAsia="zh-CN" w:bidi="ar"/>
                    </w:rPr>
                    <w:t>3</w:t>
                  </w:r>
                </w:p>
              </w:tc>
              <w:tc>
                <w:tcPr>
                  <w:tcW w:w="548" w:type="pct"/>
                  <w:noWrap w:val="0"/>
                  <w:vAlign w:val="center"/>
                </w:tcPr>
                <w:p w14:paraId="0C3529EE">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产生量t/a</w:t>
                  </w:r>
                </w:p>
              </w:tc>
              <w:tc>
                <w:tcPr>
                  <w:tcW w:w="781" w:type="pct"/>
                  <w:noWrap w:val="0"/>
                  <w:vAlign w:val="center"/>
                </w:tcPr>
                <w:p w14:paraId="5ABBE421">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排放浓度mg/m</w:t>
                  </w:r>
                  <w:r>
                    <w:rPr>
                      <w:rFonts w:hint="eastAsia" w:ascii="Times New Roman" w:hAnsi="Times New Roman" w:eastAsia="宋体" w:cs="Times New Roman"/>
                      <w:b/>
                      <w:bCs/>
                      <w:color w:val="auto"/>
                      <w:kern w:val="0"/>
                      <w:sz w:val="21"/>
                      <w:szCs w:val="21"/>
                      <w:u w:val="none"/>
                      <w:vertAlign w:val="superscript"/>
                      <w:lang w:val="en-US" w:eastAsia="zh-CN" w:bidi="ar"/>
                    </w:rPr>
                    <w:t>3</w:t>
                  </w:r>
                </w:p>
              </w:tc>
              <w:tc>
                <w:tcPr>
                  <w:tcW w:w="549" w:type="pct"/>
                  <w:noWrap w:val="0"/>
                  <w:vAlign w:val="center"/>
                </w:tcPr>
                <w:p w14:paraId="4333D83E">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0"/>
                      <w:sz w:val="21"/>
                      <w:szCs w:val="21"/>
                      <w:u w:val="none"/>
                      <w:vertAlign w:val="baseline"/>
                      <w:lang w:val="en-US" w:eastAsia="zh-CN" w:bidi="ar"/>
                    </w:rPr>
                  </w:pPr>
                  <w:r>
                    <w:rPr>
                      <w:rFonts w:hint="eastAsia" w:ascii="Times New Roman" w:hAnsi="Times New Roman" w:eastAsia="宋体" w:cs="Times New Roman"/>
                      <w:b/>
                      <w:bCs/>
                      <w:color w:val="auto"/>
                      <w:kern w:val="0"/>
                      <w:sz w:val="21"/>
                      <w:szCs w:val="21"/>
                      <w:u w:val="none"/>
                      <w:vertAlign w:val="baseline"/>
                      <w:lang w:val="en-US" w:eastAsia="zh-CN" w:bidi="ar"/>
                    </w:rPr>
                    <w:t>排放量t/a</w:t>
                  </w:r>
                </w:p>
              </w:tc>
              <w:tc>
                <w:tcPr>
                  <w:tcW w:w="1353" w:type="pct"/>
                  <w:vMerge w:val="continue"/>
                  <w:noWrap w:val="0"/>
                  <w:vAlign w:val="center"/>
                </w:tcPr>
                <w:p w14:paraId="189E87B6">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p>
              </w:tc>
              <w:tc>
                <w:tcPr>
                  <w:tcW w:w="478" w:type="pct"/>
                  <w:vMerge w:val="continue"/>
                  <w:noWrap w:val="0"/>
                  <w:vAlign w:val="center"/>
                </w:tcPr>
                <w:p w14:paraId="37A3117A">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p>
              </w:tc>
            </w:tr>
            <w:tr w14:paraId="284F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vAlign w:val="center"/>
                </w:tcPr>
                <w:p w14:paraId="25228E53">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废气量</w:t>
                  </w:r>
                </w:p>
              </w:tc>
              <w:tc>
                <w:tcPr>
                  <w:tcW w:w="2660" w:type="pct"/>
                  <w:gridSpan w:val="4"/>
                  <w:noWrap w:val="0"/>
                  <w:vAlign w:val="center"/>
                </w:tcPr>
                <w:p w14:paraId="1954FBC3">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1372.8万m</w:t>
                  </w:r>
                  <w:r>
                    <w:rPr>
                      <w:rFonts w:hint="eastAsia" w:ascii="Times New Roman" w:hAnsi="Times New Roman" w:eastAsia="宋体" w:cs="Times New Roman"/>
                      <w:color w:val="auto"/>
                      <w:kern w:val="0"/>
                      <w:sz w:val="21"/>
                      <w:szCs w:val="21"/>
                      <w:u w:val="none"/>
                      <w:vertAlign w:val="superscript"/>
                      <w:lang w:val="en-US" w:eastAsia="zh-CN" w:bidi="ar"/>
                    </w:rPr>
                    <w:t>3</w:t>
                  </w:r>
                </w:p>
              </w:tc>
              <w:tc>
                <w:tcPr>
                  <w:tcW w:w="1353" w:type="pct"/>
                  <w:noWrap w:val="0"/>
                  <w:vAlign w:val="center"/>
                </w:tcPr>
                <w:p w14:paraId="60E2F642">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w:t>
                  </w:r>
                </w:p>
              </w:tc>
              <w:tc>
                <w:tcPr>
                  <w:tcW w:w="478" w:type="pct"/>
                  <w:noWrap w:val="0"/>
                  <w:vAlign w:val="center"/>
                </w:tcPr>
                <w:p w14:paraId="671DB6D1">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w:t>
                  </w:r>
                </w:p>
              </w:tc>
            </w:tr>
            <w:tr w14:paraId="71CEC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vAlign w:val="center"/>
                </w:tcPr>
                <w:p w14:paraId="79FF6EB8">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颗粒物</w:t>
                  </w:r>
                </w:p>
              </w:tc>
              <w:tc>
                <w:tcPr>
                  <w:tcW w:w="780" w:type="pct"/>
                  <w:noWrap w:val="0"/>
                  <w:vAlign w:val="center"/>
                </w:tcPr>
                <w:p w14:paraId="5E776B3C">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80.13</w:t>
                  </w:r>
                </w:p>
              </w:tc>
              <w:tc>
                <w:tcPr>
                  <w:tcW w:w="548" w:type="pct"/>
                  <w:noWrap w:val="0"/>
                  <w:vAlign w:val="center"/>
                </w:tcPr>
                <w:p w14:paraId="006D431D">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1.100</w:t>
                  </w:r>
                </w:p>
              </w:tc>
              <w:tc>
                <w:tcPr>
                  <w:tcW w:w="781" w:type="pct"/>
                  <w:noWrap w:val="0"/>
                  <w:vAlign w:val="center"/>
                </w:tcPr>
                <w:p w14:paraId="55975D85">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0.8</w:t>
                  </w:r>
                </w:p>
              </w:tc>
              <w:tc>
                <w:tcPr>
                  <w:tcW w:w="549" w:type="pct"/>
                  <w:noWrap w:val="0"/>
                  <w:vAlign w:val="center"/>
                </w:tcPr>
                <w:p w14:paraId="3B0F929F">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0.011</w:t>
                  </w:r>
                </w:p>
              </w:tc>
              <w:tc>
                <w:tcPr>
                  <w:tcW w:w="1353" w:type="pct"/>
                  <w:noWrap w:val="0"/>
                  <w:vAlign w:val="center"/>
                </w:tcPr>
                <w:p w14:paraId="5A87AEB7">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50</w:t>
                  </w:r>
                </w:p>
              </w:tc>
              <w:tc>
                <w:tcPr>
                  <w:tcW w:w="478" w:type="pct"/>
                  <w:noWrap w:val="0"/>
                  <w:vAlign w:val="center"/>
                </w:tcPr>
                <w:p w14:paraId="7B5DCE83">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达标</w:t>
                  </w:r>
                </w:p>
              </w:tc>
            </w:tr>
            <w:tr w14:paraId="45E03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vAlign w:val="center"/>
                </w:tcPr>
                <w:p w14:paraId="545380A5">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SO</w:t>
                  </w:r>
                  <w:r>
                    <w:rPr>
                      <w:rFonts w:hint="eastAsia" w:ascii="Times New Roman" w:hAnsi="Times New Roman" w:eastAsia="宋体" w:cs="Times New Roman"/>
                      <w:color w:val="auto"/>
                      <w:kern w:val="0"/>
                      <w:sz w:val="21"/>
                      <w:szCs w:val="21"/>
                      <w:u w:val="none"/>
                      <w:vertAlign w:val="subscript"/>
                      <w:lang w:val="en-US" w:eastAsia="zh-CN" w:bidi="ar"/>
                    </w:rPr>
                    <w:t>2</w:t>
                  </w:r>
                </w:p>
              </w:tc>
              <w:tc>
                <w:tcPr>
                  <w:tcW w:w="780" w:type="pct"/>
                  <w:noWrap w:val="0"/>
                  <w:vAlign w:val="center"/>
                </w:tcPr>
                <w:p w14:paraId="602D43C7">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54.49</w:t>
                  </w:r>
                </w:p>
              </w:tc>
              <w:tc>
                <w:tcPr>
                  <w:tcW w:w="548" w:type="pct"/>
                  <w:noWrap w:val="0"/>
                  <w:vAlign w:val="center"/>
                </w:tcPr>
                <w:p w14:paraId="4E85024D">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0.748</w:t>
                  </w:r>
                </w:p>
              </w:tc>
              <w:tc>
                <w:tcPr>
                  <w:tcW w:w="781" w:type="pct"/>
                  <w:noWrap w:val="0"/>
                  <w:vAlign w:val="center"/>
                </w:tcPr>
                <w:p w14:paraId="657AAFF4">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54.49</w:t>
                  </w:r>
                </w:p>
              </w:tc>
              <w:tc>
                <w:tcPr>
                  <w:tcW w:w="549" w:type="pct"/>
                  <w:noWrap w:val="0"/>
                  <w:vAlign w:val="center"/>
                </w:tcPr>
                <w:p w14:paraId="68B31D81">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0.748</w:t>
                  </w:r>
                </w:p>
              </w:tc>
              <w:tc>
                <w:tcPr>
                  <w:tcW w:w="1353" w:type="pct"/>
                  <w:noWrap w:val="0"/>
                  <w:vAlign w:val="center"/>
                </w:tcPr>
                <w:p w14:paraId="2085A12B">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300</w:t>
                  </w:r>
                </w:p>
              </w:tc>
              <w:tc>
                <w:tcPr>
                  <w:tcW w:w="478" w:type="pct"/>
                  <w:noWrap w:val="0"/>
                  <w:vAlign w:val="center"/>
                </w:tcPr>
                <w:p w14:paraId="6D6FEA59">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达标</w:t>
                  </w:r>
                </w:p>
              </w:tc>
            </w:tr>
            <w:tr w14:paraId="18E50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noWrap w:val="0"/>
                  <w:vAlign w:val="center"/>
                </w:tcPr>
                <w:p w14:paraId="566DF7E7">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NOx</w:t>
                  </w:r>
                </w:p>
              </w:tc>
              <w:tc>
                <w:tcPr>
                  <w:tcW w:w="780" w:type="pct"/>
                  <w:noWrap w:val="0"/>
                  <w:vAlign w:val="center"/>
                </w:tcPr>
                <w:p w14:paraId="7BE16BDC">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163.46</w:t>
                  </w:r>
                </w:p>
              </w:tc>
              <w:tc>
                <w:tcPr>
                  <w:tcW w:w="548" w:type="pct"/>
                  <w:noWrap w:val="0"/>
                  <w:vAlign w:val="center"/>
                </w:tcPr>
                <w:p w14:paraId="791628F7">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2.244</w:t>
                  </w:r>
                </w:p>
              </w:tc>
              <w:tc>
                <w:tcPr>
                  <w:tcW w:w="781" w:type="pct"/>
                  <w:noWrap w:val="0"/>
                  <w:vAlign w:val="center"/>
                </w:tcPr>
                <w:p w14:paraId="778270B1">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163.46</w:t>
                  </w:r>
                </w:p>
              </w:tc>
              <w:tc>
                <w:tcPr>
                  <w:tcW w:w="549" w:type="pct"/>
                  <w:noWrap w:val="0"/>
                  <w:vAlign w:val="center"/>
                </w:tcPr>
                <w:p w14:paraId="7EABAAF6">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default" w:ascii="Times New Roman" w:hAnsi="Times New Roman" w:eastAsia="宋体" w:cs="Times New Roman"/>
                      <w:color w:val="auto"/>
                      <w:kern w:val="0"/>
                      <w:sz w:val="21"/>
                      <w:szCs w:val="21"/>
                      <w:u w:val="none"/>
                      <w:vertAlign w:val="baseline"/>
                      <w:lang w:val="en-US" w:eastAsia="zh-CN" w:bidi="ar"/>
                    </w:rPr>
                    <w:t>2.244</w:t>
                  </w:r>
                </w:p>
              </w:tc>
              <w:tc>
                <w:tcPr>
                  <w:tcW w:w="1353" w:type="pct"/>
                  <w:noWrap w:val="0"/>
                  <w:vAlign w:val="center"/>
                </w:tcPr>
                <w:p w14:paraId="7926C2A9">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300</w:t>
                  </w:r>
                </w:p>
              </w:tc>
              <w:tc>
                <w:tcPr>
                  <w:tcW w:w="478" w:type="pct"/>
                  <w:noWrap w:val="0"/>
                  <w:vAlign w:val="center"/>
                </w:tcPr>
                <w:p w14:paraId="69F1D0E1">
                  <w:pPr>
                    <w:keepNext w:val="0"/>
                    <w:keepLines w:val="0"/>
                    <w:pageBreakBefore w:val="0"/>
                    <w:widowControl/>
                    <w:suppressLineNumbers w:val="0"/>
                    <w:tabs>
                      <w:tab w:val="left" w:pos="105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u w:val="none"/>
                      <w:vertAlign w:val="baseline"/>
                      <w:lang w:val="en-US" w:eastAsia="zh-CN" w:bidi="ar"/>
                    </w:rPr>
                  </w:pPr>
                  <w:r>
                    <w:rPr>
                      <w:rFonts w:hint="eastAsia" w:ascii="Times New Roman" w:hAnsi="Times New Roman" w:eastAsia="宋体" w:cs="Times New Roman"/>
                      <w:color w:val="auto"/>
                      <w:kern w:val="0"/>
                      <w:sz w:val="21"/>
                      <w:szCs w:val="21"/>
                      <w:u w:val="none"/>
                      <w:vertAlign w:val="baseline"/>
                      <w:lang w:val="en-US" w:eastAsia="zh-CN" w:bidi="ar"/>
                    </w:rPr>
                    <w:t>达标</w:t>
                  </w:r>
                </w:p>
              </w:tc>
            </w:tr>
          </w:tbl>
          <w:p w14:paraId="166B0D1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通过处理后，生物质蒸汽锅炉燃烧废气中烟尘、</w:t>
            </w:r>
            <w:r>
              <w:rPr>
                <w:rFonts w:hint="default" w:ascii="Times New Roman" w:hAnsi="Times New Roman" w:eastAsia="宋体" w:cs="Times New Roman"/>
                <w:color w:val="auto"/>
                <w:kern w:val="0"/>
                <w:sz w:val="24"/>
                <w:szCs w:val="24"/>
                <w:lang w:val="en-US" w:eastAsia="zh-CN" w:bidi="ar"/>
              </w:rPr>
              <w:t>SO</w:t>
            </w:r>
            <w:r>
              <w:rPr>
                <w:rFonts w:hint="default" w:ascii="Times New Roman" w:hAnsi="Times New Roman" w:eastAsia="宋体" w:cs="Times New Roman"/>
                <w:color w:val="auto"/>
                <w:kern w:val="0"/>
                <w:sz w:val="24"/>
                <w:szCs w:val="24"/>
                <w:vertAlign w:val="subscript"/>
                <w:lang w:val="en-US" w:eastAsia="zh-CN" w:bidi="ar"/>
              </w:rPr>
              <w:t>2</w:t>
            </w:r>
            <w:r>
              <w:rPr>
                <w:rFonts w:hint="eastAsia" w:ascii="Times New Roman" w:hAnsi="Times New Roman" w:eastAsia="宋体"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NOx</w:t>
            </w:r>
            <w:r>
              <w:rPr>
                <w:rFonts w:hint="eastAsia" w:ascii="Times New Roman" w:hAnsi="Times New Roman" w:eastAsia="宋体" w:cs="Times New Roman"/>
                <w:color w:val="auto"/>
                <w:kern w:val="0"/>
                <w:sz w:val="24"/>
                <w:szCs w:val="24"/>
                <w:lang w:val="en-US" w:eastAsia="zh-CN" w:bidi="ar"/>
              </w:rPr>
              <w:t>排放浓度均满足《锅炉大气污染物排放标准》（</w:t>
            </w:r>
            <w:r>
              <w:rPr>
                <w:rFonts w:hint="default" w:ascii="Times New Roman" w:hAnsi="Times New Roman" w:eastAsia="宋体" w:cs="Times New Roman"/>
                <w:color w:val="auto"/>
                <w:kern w:val="0"/>
                <w:sz w:val="24"/>
                <w:szCs w:val="24"/>
                <w:lang w:val="en-US" w:eastAsia="zh-CN" w:bidi="ar"/>
              </w:rPr>
              <w:t>GB13271-2014</w:t>
            </w:r>
            <w:r>
              <w:rPr>
                <w:rFonts w:hint="eastAsia" w:ascii="Times New Roman" w:hAnsi="Times New Roman" w:eastAsia="宋体" w:cs="Times New Roman"/>
                <w:color w:val="auto"/>
                <w:kern w:val="0"/>
                <w:sz w:val="24"/>
                <w:szCs w:val="24"/>
                <w:lang w:val="en-US" w:eastAsia="zh-CN" w:bidi="ar"/>
              </w:rPr>
              <w:t>）表</w:t>
            </w:r>
            <w:r>
              <w:rPr>
                <w:rFonts w:hint="default" w:ascii="Times New Roman" w:hAnsi="Times New Roman" w:eastAsia="宋体" w:cs="Times New Roman"/>
                <w:color w:val="auto"/>
                <w:kern w:val="0"/>
                <w:sz w:val="24"/>
                <w:szCs w:val="24"/>
                <w:lang w:val="en-US" w:eastAsia="zh-CN" w:bidi="ar"/>
              </w:rPr>
              <w:t>2</w:t>
            </w:r>
            <w:r>
              <w:rPr>
                <w:rFonts w:hint="eastAsia" w:ascii="Times New Roman" w:hAnsi="Times New Roman" w:eastAsia="宋体" w:cs="Times New Roman"/>
                <w:color w:val="auto"/>
                <w:kern w:val="0"/>
                <w:sz w:val="24"/>
                <w:szCs w:val="24"/>
                <w:lang w:val="en-US" w:eastAsia="zh-CN" w:bidi="ar"/>
              </w:rPr>
              <w:t>中燃煤锅炉排放浓度限值。</w:t>
            </w:r>
          </w:p>
          <w:p w14:paraId="3D96E3C7">
            <w:pPr>
              <w:adjustRightInd w:val="0"/>
              <w:snapToGrid w:val="0"/>
              <w:spacing w:before="120" w:beforeLines="50" w:line="360" w:lineRule="auto"/>
              <w:ind w:firstLine="482"/>
              <w:rPr>
                <w:b/>
                <w:bCs/>
                <w:color w:val="auto"/>
                <w:sz w:val="24"/>
              </w:rPr>
            </w:pPr>
            <w:r>
              <w:rPr>
                <w:rFonts w:hint="eastAsia"/>
                <w:b/>
                <w:bCs/>
                <w:color w:val="auto"/>
                <w:sz w:val="24"/>
              </w:rPr>
              <w:t>（2）废水处理站恶臭</w:t>
            </w:r>
          </w:p>
          <w:p w14:paraId="60AD1BDD">
            <w:pPr>
              <w:spacing w:line="360" w:lineRule="auto"/>
              <w:ind w:firstLine="480" w:firstLineChars="200"/>
              <w:rPr>
                <w:color w:val="auto"/>
                <w:sz w:val="24"/>
              </w:rPr>
            </w:pPr>
            <w:r>
              <w:rPr>
                <w:rFonts w:hint="eastAsia"/>
                <w:color w:val="auto"/>
                <w:sz w:val="24"/>
              </w:rPr>
              <w:t>本项目拟建设规模为10m</w:t>
            </w:r>
            <w:r>
              <w:rPr>
                <w:rFonts w:hint="eastAsia"/>
                <w:color w:val="auto"/>
                <w:sz w:val="24"/>
                <w:vertAlign w:val="superscript"/>
              </w:rPr>
              <w:t>3</w:t>
            </w:r>
            <w:r>
              <w:rPr>
                <w:rFonts w:hint="eastAsia"/>
                <w:color w:val="auto"/>
                <w:sz w:val="24"/>
              </w:rPr>
              <w:t>/h的地埋式废水处理站用于对洗涤废水的处理</w:t>
            </w:r>
            <w:r>
              <w:rPr>
                <w:color w:val="auto"/>
                <w:sz w:val="24"/>
              </w:rPr>
              <w:t>，废水成分主要为各类表面活性剂、悬浮物及油污等，在废水气浮及曝气处理过程中会产生少量异味。</w:t>
            </w:r>
            <w:r>
              <w:rPr>
                <w:rFonts w:hint="eastAsia"/>
                <w:color w:val="auto"/>
                <w:sz w:val="24"/>
              </w:rPr>
              <w:t>废水处理站</w:t>
            </w:r>
            <w:r>
              <w:rPr>
                <w:rFonts w:hint="eastAsia"/>
                <w:bCs/>
                <w:color w:val="auto"/>
                <w:sz w:val="24"/>
              </w:rPr>
              <w:t>处理工艺采用“调节池+气浮+三级好氧+沉淀池”</w:t>
            </w:r>
            <w:r>
              <w:rPr>
                <w:color w:val="auto"/>
                <w:sz w:val="24"/>
              </w:rPr>
              <w:t>，</w:t>
            </w:r>
            <w:r>
              <w:rPr>
                <w:rFonts w:hint="eastAsia"/>
                <w:color w:val="auto"/>
                <w:sz w:val="24"/>
              </w:rPr>
              <w:t>废水处理站</w:t>
            </w:r>
            <w:r>
              <w:rPr>
                <w:color w:val="auto"/>
                <w:sz w:val="24"/>
              </w:rPr>
              <w:t>产生恶臭的环节较多，恶臭的污染物种类主要为NH</w:t>
            </w:r>
            <w:r>
              <w:rPr>
                <w:color w:val="auto"/>
                <w:sz w:val="24"/>
                <w:vertAlign w:val="subscript"/>
              </w:rPr>
              <w:t>3</w:t>
            </w:r>
            <w:r>
              <w:rPr>
                <w:color w:val="auto"/>
                <w:sz w:val="24"/>
              </w:rPr>
              <w:t>、H</w:t>
            </w:r>
            <w:r>
              <w:rPr>
                <w:color w:val="auto"/>
                <w:sz w:val="24"/>
                <w:vertAlign w:val="subscript"/>
              </w:rPr>
              <w:t>2</w:t>
            </w:r>
            <w:r>
              <w:rPr>
                <w:color w:val="auto"/>
                <w:sz w:val="24"/>
              </w:rPr>
              <w:t>S，且恶臭随季节、温度的变化臭气强度有所变化，夏季气温高，臭气强；冬季气温低，臭气弱。同时臭气的散发还与水温、污水中有机物浓度、水流紊动状态和水面暴露面积等因素有关。</w:t>
            </w:r>
          </w:p>
          <w:p w14:paraId="6C12CD91">
            <w:pPr>
              <w:spacing w:line="360" w:lineRule="auto"/>
              <w:ind w:firstLine="480" w:firstLineChars="200"/>
              <w:rPr>
                <w:color w:val="auto"/>
                <w:sz w:val="24"/>
              </w:rPr>
            </w:pPr>
            <w:r>
              <w:rPr>
                <w:color w:val="auto"/>
                <w:sz w:val="24"/>
              </w:rPr>
              <w:t>根据环保部环境评估中心编著的《环境影响评价案例分析》中相关分析可知，每处理1g的BOD</w:t>
            </w:r>
            <w:r>
              <w:rPr>
                <w:color w:val="auto"/>
                <w:sz w:val="24"/>
                <w:vertAlign w:val="subscript"/>
              </w:rPr>
              <w:t>5</w:t>
            </w:r>
            <w:r>
              <w:rPr>
                <w:color w:val="auto"/>
                <w:sz w:val="24"/>
              </w:rPr>
              <w:t>可产生0.0031g的NH</w:t>
            </w:r>
            <w:r>
              <w:rPr>
                <w:color w:val="auto"/>
                <w:sz w:val="24"/>
                <w:vertAlign w:val="subscript"/>
              </w:rPr>
              <w:t>3</w:t>
            </w:r>
            <w:r>
              <w:rPr>
                <w:color w:val="auto"/>
                <w:sz w:val="24"/>
              </w:rPr>
              <w:t>、0.00012g的H</w:t>
            </w:r>
            <w:r>
              <w:rPr>
                <w:color w:val="auto"/>
                <w:sz w:val="24"/>
                <w:vertAlign w:val="subscript"/>
              </w:rPr>
              <w:t>2</w:t>
            </w:r>
            <w:r>
              <w:rPr>
                <w:color w:val="auto"/>
                <w:sz w:val="24"/>
              </w:rPr>
              <w:t>S。根据4.5废水工程分析可知，</w:t>
            </w:r>
            <w:r>
              <w:rPr>
                <w:rFonts w:hint="eastAsia"/>
                <w:color w:val="auto"/>
                <w:sz w:val="24"/>
              </w:rPr>
              <w:t>废水处理站，废水量为44.753m</w:t>
            </w:r>
            <w:r>
              <w:rPr>
                <w:rFonts w:hint="eastAsia"/>
                <w:color w:val="auto"/>
                <w:sz w:val="24"/>
                <w:vertAlign w:val="superscript"/>
              </w:rPr>
              <w:t>3</w:t>
            </w:r>
            <w:r>
              <w:rPr>
                <w:rFonts w:hint="eastAsia"/>
                <w:color w:val="auto"/>
                <w:sz w:val="24"/>
              </w:rPr>
              <w:t>/d（16111.08m</w:t>
            </w:r>
            <w:r>
              <w:rPr>
                <w:rFonts w:hint="eastAsia"/>
                <w:color w:val="auto"/>
                <w:sz w:val="24"/>
                <w:vertAlign w:val="superscript"/>
              </w:rPr>
              <w:t>3</w:t>
            </w:r>
            <w:r>
              <w:rPr>
                <w:rFonts w:hint="eastAsia"/>
                <w:color w:val="auto"/>
                <w:sz w:val="24"/>
              </w:rPr>
              <w:t>/a），类比同类行业，</w:t>
            </w:r>
            <w:r>
              <w:rPr>
                <w:color w:val="auto"/>
                <w:sz w:val="24"/>
              </w:rPr>
              <w:t>废水原水中BOD</w:t>
            </w:r>
            <w:r>
              <w:rPr>
                <w:color w:val="auto"/>
                <w:sz w:val="24"/>
                <w:vertAlign w:val="subscript"/>
              </w:rPr>
              <w:t>5</w:t>
            </w:r>
            <w:r>
              <w:rPr>
                <w:color w:val="auto"/>
                <w:sz w:val="24"/>
              </w:rPr>
              <w:t>浓度为</w:t>
            </w:r>
            <w:r>
              <w:rPr>
                <w:rFonts w:hint="eastAsia"/>
                <w:color w:val="auto"/>
                <w:sz w:val="24"/>
              </w:rPr>
              <w:t>85.5</w:t>
            </w:r>
            <w:r>
              <w:rPr>
                <w:color w:val="auto"/>
                <w:sz w:val="24"/>
              </w:rPr>
              <w:t>mg/L，经</w:t>
            </w:r>
            <w:r>
              <w:rPr>
                <w:rFonts w:hint="eastAsia"/>
                <w:color w:val="auto"/>
                <w:sz w:val="24"/>
              </w:rPr>
              <w:t>废水处理站</w:t>
            </w:r>
            <w:r>
              <w:rPr>
                <w:color w:val="auto"/>
                <w:sz w:val="24"/>
              </w:rPr>
              <w:t>处理后BOD</w:t>
            </w:r>
            <w:r>
              <w:rPr>
                <w:color w:val="auto"/>
                <w:sz w:val="24"/>
                <w:vertAlign w:val="subscript"/>
              </w:rPr>
              <w:t>5</w:t>
            </w:r>
            <w:r>
              <w:rPr>
                <w:color w:val="auto"/>
                <w:sz w:val="24"/>
              </w:rPr>
              <w:t>出水水质为</w:t>
            </w:r>
            <w:r>
              <w:rPr>
                <w:rFonts w:hint="eastAsia"/>
                <w:color w:val="auto"/>
                <w:sz w:val="24"/>
              </w:rPr>
              <w:t>17.1</w:t>
            </w:r>
            <w:r>
              <w:rPr>
                <w:color w:val="auto"/>
                <w:sz w:val="24"/>
              </w:rPr>
              <w:t>mg/L。本项目BOD</w:t>
            </w:r>
            <w:r>
              <w:rPr>
                <w:color w:val="auto"/>
                <w:sz w:val="24"/>
                <w:vertAlign w:val="subscript"/>
              </w:rPr>
              <w:t>5</w:t>
            </w:r>
            <w:r>
              <w:rPr>
                <w:color w:val="auto"/>
                <w:sz w:val="24"/>
              </w:rPr>
              <w:t>处理量为1.102t/a。则NH</w:t>
            </w:r>
            <w:r>
              <w:rPr>
                <w:color w:val="auto"/>
                <w:sz w:val="24"/>
                <w:vertAlign w:val="subscript"/>
              </w:rPr>
              <w:t>3</w:t>
            </w:r>
            <w:r>
              <w:rPr>
                <w:color w:val="auto"/>
                <w:sz w:val="24"/>
              </w:rPr>
              <w:t>、H</w:t>
            </w:r>
            <w:r>
              <w:rPr>
                <w:color w:val="auto"/>
                <w:sz w:val="24"/>
                <w:vertAlign w:val="subscript"/>
              </w:rPr>
              <w:t>2</w:t>
            </w:r>
            <w:r>
              <w:rPr>
                <w:color w:val="auto"/>
                <w:sz w:val="24"/>
              </w:rPr>
              <w:t>S的产生量分别为0.0011t/a、0.000042t/a，厂内</w:t>
            </w:r>
            <w:r>
              <w:rPr>
                <w:rFonts w:hint="eastAsia"/>
                <w:color w:val="auto"/>
                <w:sz w:val="24"/>
              </w:rPr>
              <w:t>废水处理站</w:t>
            </w:r>
            <w:r>
              <w:rPr>
                <w:color w:val="auto"/>
                <w:sz w:val="24"/>
              </w:rPr>
              <w:t>运行时间为</w:t>
            </w:r>
            <w:r>
              <w:rPr>
                <w:rFonts w:hint="eastAsia"/>
                <w:color w:val="auto"/>
                <w:sz w:val="24"/>
              </w:rPr>
              <w:t>24</w:t>
            </w:r>
            <w:r>
              <w:rPr>
                <w:rFonts w:hint="eastAsia"/>
                <w:color w:val="auto"/>
                <w:sz w:val="24"/>
                <w:lang w:val="en-US" w:eastAsia="zh-CN"/>
              </w:rPr>
              <w:t>h</w:t>
            </w:r>
            <w:r>
              <w:rPr>
                <w:rFonts w:hint="eastAsia"/>
                <w:color w:val="auto"/>
                <w:sz w:val="24"/>
              </w:rPr>
              <w:t>运行</w:t>
            </w:r>
            <w:r>
              <w:rPr>
                <w:color w:val="auto"/>
                <w:sz w:val="24"/>
              </w:rPr>
              <w:t>，本项目采取各个池体加盖措施，</w:t>
            </w:r>
            <w:r>
              <w:rPr>
                <w:rFonts w:hint="eastAsia"/>
                <w:color w:val="auto"/>
                <w:sz w:val="24"/>
              </w:rPr>
              <w:t>周边进行绿化</w:t>
            </w:r>
            <w:r>
              <w:rPr>
                <w:color w:val="auto"/>
                <w:sz w:val="24"/>
              </w:rPr>
              <w:t xml:space="preserve">。 </w:t>
            </w:r>
          </w:p>
          <w:p w14:paraId="28651D2D">
            <w:pPr>
              <w:spacing w:line="360" w:lineRule="auto"/>
              <w:ind w:firstLine="480" w:firstLineChars="200"/>
              <w:rPr>
                <w:color w:val="auto"/>
                <w:sz w:val="24"/>
              </w:rPr>
            </w:pPr>
            <w:r>
              <w:rPr>
                <w:color w:val="auto"/>
                <w:sz w:val="24"/>
              </w:rPr>
              <w:t>综上所述，本项目</w:t>
            </w:r>
            <w:r>
              <w:rPr>
                <w:rFonts w:hint="eastAsia"/>
                <w:color w:val="auto"/>
                <w:sz w:val="24"/>
              </w:rPr>
              <w:t>废水处理站</w:t>
            </w:r>
            <w:r>
              <w:rPr>
                <w:color w:val="auto"/>
                <w:sz w:val="24"/>
              </w:rPr>
              <w:t>废气产排情况详见表4</w:t>
            </w:r>
            <w:r>
              <w:rPr>
                <w:rFonts w:hint="eastAsia"/>
                <w:color w:val="auto"/>
                <w:sz w:val="24"/>
              </w:rPr>
              <w:t>-3</w:t>
            </w:r>
            <w:r>
              <w:rPr>
                <w:color w:val="auto"/>
                <w:sz w:val="24"/>
              </w:rPr>
              <w:t>。</w:t>
            </w:r>
          </w:p>
          <w:p w14:paraId="4A1D1798">
            <w:pPr>
              <w:pStyle w:val="38"/>
              <w:rPr>
                <w:rFonts w:eastAsia="宋体"/>
                <w:b/>
                <w:bCs/>
                <w:color w:val="auto"/>
                <w:kern w:val="0"/>
                <w:sz w:val="21"/>
                <w:szCs w:val="21"/>
                <w:lang w:bidi="ar"/>
              </w:rPr>
            </w:pPr>
            <w:r>
              <w:rPr>
                <w:rFonts w:hint="eastAsia" w:eastAsia="宋体"/>
                <w:b/>
                <w:bCs/>
                <w:color w:val="auto"/>
                <w:kern w:val="0"/>
                <w:sz w:val="21"/>
                <w:szCs w:val="21"/>
                <w:lang w:bidi="ar"/>
              </w:rPr>
              <w:t>表</w:t>
            </w:r>
            <w:r>
              <w:rPr>
                <w:rFonts w:eastAsia="宋体"/>
                <w:b/>
                <w:bCs/>
                <w:color w:val="auto"/>
                <w:kern w:val="0"/>
                <w:sz w:val="21"/>
                <w:szCs w:val="21"/>
                <w:lang w:bidi="ar"/>
              </w:rPr>
              <w:t>4</w:t>
            </w:r>
            <w:r>
              <w:rPr>
                <w:rFonts w:hint="eastAsia" w:eastAsia="宋体"/>
                <w:b/>
                <w:bCs/>
                <w:color w:val="auto"/>
                <w:kern w:val="0"/>
                <w:sz w:val="21"/>
                <w:szCs w:val="21"/>
                <w:lang w:bidi="ar"/>
              </w:rPr>
              <w:t>-3  项目恶臭污染物排放源强</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8"/>
              <w:gridCol w:w="2338"/>
              <w:gridCol w:w="2338"/>
              <w:gridCol w:w="2340"/>
            </w:tblGrid>
            <w:tr w14:paraId="6A317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591F10A9">
                  <w:pPr>
                    <w:pStyle w:val="32"/>
                    <w:rPr>
                      <w:b/>
                      <w:bCs/>
                      <w:color w:val="auto"/>
                    </w:rPr>
                  </w:pPr>
                  <w:r>
                    <w:rPr>
                      <w:rFonts w:hint="eastAsia"/>
                      <w:b/>
                      <w:bCs/>
                      <w:color w:val="auto"/>
                    </w:rPr>
                    <w:t>污染物</w:t>
                  </w:r>
                </w:p>
              </w:tc>
              <w:tc>
                <w:tcPr>
                  <w:tcW w:w="1249" w:type="pct"/>
                  <w:vAlign w:val="center"/>
                </w:tcPr>
                <w:p w14:paraId="17CF198F">
                  <w:pPr>
                    <w:pStyle w:val="32"/>
                    <w:rPr>
                      <w:b/>
                      <w:bCs/>
                      <w:color w:val="auto"/>
                    </w:rPr>
                  </w:pPr>
                  <w:r>
                    <w:rPr>
                      <w:rFonts w:hint="eastAsia"/>
                      <w:b/>
                      <w:bCs/>
                      <w:color w:val="auto"/>
                    </w:rPr>
                    <w:t>排放参数（g）</w:t>
                  </w:r>
                </w:p>
              </w:tc>
              <w:tc>
                <w:tcPr>
                  <w:tcW w:w="1249" w:type="pct"/>
                  <w:vAlign w:val="center"/>
                </w:tcPr>
                <w:p w14:paraId="7F144794">
                  <w:pPr>
                    <w:pStyle w:val="32"/>
                    <w:rPr>
                      <w:b/>
                      <w:bCs/>
                      <w:color w:val="auto"/>
                    </w:rPr>
                  </w:pPr>
                  <w:r>
                    <w:rPr>
                      <w:rFonts w:hint="eastAsia"/>
                      <w:b/>
                      <w:bCs/>
                      <w:color w:val="auto"/>
                    </w:rPr>
                    <w:t>产生量（kg/a）</w:t>
                  </w:r>
                </w:p>
              </w:tc>
              <w:tc>
                <w:tcPr>
                  <w:tcW w:w="1250" w:type="pct"/>
                  <w:vAlign w:val="center"/>
                </w:tcPr>
                <w:p w14:paraId="480B07A7">
                  <w:pPr>
                    <w:pStyle w:val="32"/>
                    <w:rPr>
                      <w:b/>
                      <w:bCs/>
                      <w:color w:val="auto"/>
                    </w:rPr>
                  </w:pPr>
                  <w:r>
                    <w:rPr>
                      <w:rFonts w:hint="eastAsia"/>
                      <w:b/>
                      <w:bCs/>
                      <w:color w:val="auto"/>
                    </w:rPr>
                    <w:t>产生速率（kg/h）</w:t>
                  </w:r>
                </w:p>
              </w:tc>
            </w:tr>
            <w:tr w14:paraId="1C503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07351209">
                  <w:pPr>
                    <w:pStyle w:val="32"/>
                    <w:rPr>
                      <w:color w:val="auto"/>
                    </w:rPr>
                  </w:pPr>
                  <w:r>
                    <w:rPr>
                      <w:rFonts w:hint="eastAsia"/>
                      <w:color w:val="auto"/>
                    </w:rPr>
                    <w:t>NH</w:t>
                  </w:r>
                  <w:r>
                    <w:rPr>
                      <w:rFonts w:hint="eastAsia"/>
                      <w:color w:val="auto"/>
                      <w:vertAlign w:val="subscript"/>
                    </w:rPr>
                    <w:t>3</w:t>
                  </w:r>
                </w:p>
              </w:tc>
              <w:tc>
                <w:tcPr>
                  <w:tcW w:w="2463" w:type="dxa"/>
                  <w:vAlign w:val="center"/>
                </w:tcPr>
                <w:p w14:paraId="1A01AA14">
                  <w:pPr>
                    <w:widowControl/>
                    <w:jc w:val="center"/>
                    <w:textAlignment w:val="center"/>
                    <w:rPr>
                      <w:color w:val="auto"/>
                    </w:rPr>
                  </w:pPr>
                  <w:r>
                    <w:rPr>
                      <w:color w:val="auto"/>
                      <w:kern w:val="0"/>
                      <w:sz w:val="20"/>
                      <w:szCs w:val="20"/>
                      <w:lang w:bidi="ar"/>
                    </w:rPr>
                    <w:t>0.0031</w:t>
                  </w:r>
                </w:p>
              </w:tc>
              <w:tc>
                <w:tcPr>
                  <w:tcW w:w="2463" w:type="dxa"/>
                  <w:vAlign w:val="center"/>
                </w:tcPr>
                <w:p w14:paraId="4CE68DB1">
                  <w:pPr>
                    <w:widowControl/>
                    <w:jc w:val="center"/>
                    <w:textAlignment w:val="center"/>
                    <w:rPr>
                      <w:color w:val="auto"/>
                    </w:rPr>
                  </w:pPr>
                  <w:r>
                    <w:rPr>
                      <w:color w:val="auto"/>
                      <w:kern w:val="0"/>
                      <w:szCs w:val="21"/>
                      <w:lang w:bidi="ar"/>
                    </w:rPr>
                    <w:t xml:space="preserve">3.4163 </w:t>
                  </w:r>
                </w:p>
              </w:tc>
              <w:tc>
                <w:tcPr>
                  <w:tcW w:w="2466" w:type="dxa"/>
                  <w:vAlign w:val="center"/>
                </w:tcPr>
                <w:p w14:paraId="43D6A3A1">
                  <w:pPr>
                    <w:widowControl/>
                    <w:jc w:val="center"/>
                    <w:textAlignment w:val="center"/>
                    <w:rPr>
                      <w:color w:val="auto"/>
                    </w:rPr>
                  </w:pPr>
                  <w:r>
                    <w:rPr>
                      <w:color w:val="auto"/>
                      <w:kern w:val="0"/>
                      <w:sz w:val="20"/>
                      <w:szCs w:val="20"/>
                      <w:lang w:bidi="ar"/>
                    </w:rPr>
                    <w:t xml:space="preserve">0.000390 </w:t>
                  </w:r>
                </w:p>
              </w:tc>
            </w:tr>
            <w:tr w14:paraId="37425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4CC046D5">
                  <w:pPr>
                    <w:pStyle w:val="32"/>
                    <w:rPr>
                      <w:color w:val="auto"/>
                    </w:rPr>
                  </w:pPr>
                  <w:r>
                    <w:rPr>
                      <w:rFonts w:hint="eastAsia"/>
                      <w:color w:val="auto"/>
                    </w:rPr>
                    <w:t>H</w:t>
                  </w:r>
                  <w:r>
                    <w:rPr>
                      <w:rFonts w:hint="eastAsia"/>
                      <w:color w:val="auto"/>
                      <w:vertAlign w:val="subscript"/>
                    </w:rPr>
                    <w:t>2</w:t>
                  </w:r>
                  <w:r>
                    <w:rPr>
                      <w:rFonts w:hint="eastAsia"/>
                      <w:color w:val="auto"/>
                    </w:rPr>
                    <w:t>S</w:t>
                  </w:r>
                </w:p>
              </w:tc>
              <w:tc>
                <w:tcPr>
                  <w:tcW w:w="2463" w:type="dxa"/>
                  <w:vAlign w:val="center"/>
                </w:tcPr>
                <w:p w14:paraId="076A35B2">
                  <w:pPr>
                    <w:widowControl/>
                    <w:jc w:val="center"/>
                    <w:textAlignment w:val="center"/>
                    <w:rPr>
                      <w:color w:val="auto"/>
                    </w:rPr>
                  </w:pPr>
                  <w:r>
                    <w:rPr>
                      <w:color w:val="auto"/>
                      <w:kern w:val="0"/>
                      <w:sz w:val="20"/>
                      <w:szCs w:val="20"/>
                      <w:lang w:bidi="ar"/>
                    </w:rPr>
                    <w:t>0.00012</w:t>
                  </w:r>
                </w:p>
              </w:tc>
              <w:tc>
                <w:tcPr>
                  <w:tcW w:w="2463" w:type="dxa"/>
                  <w:vAlign w:val="center"/>
                </w:tcPr>
                <w:p w14:paraId="109A98C0">
                  <w:pPr>
                    <w:widowControl/>
                    <w:jc w:val="center"/>
                    <w:textAlignment w:val="center"/>
                    <w:rPr>
                      <w:color w:val="auto"/>
                    </w:rPr>
                  </w:pPr>
                  <w:r>
                    <w:rPr>
                      <w:color w:val="auto"/>
                      <w:kern w:val="0"/>
                      <w:szCs w:val="21"/>
                      <w:lang w:bidi="ar"/>
                    </w:rPr>
                    <w:t xml:space="preserve">0.1322 </w:t>
                  </w:r>
                </w:p>
              </w:tc>
              <w:tc>
                <w:tcPr>
                  <w:tcW w:w="2466" w:type="dxa"/>
                  <w:vAlign w:val="center"/>
                </w:tcPr>
                <w:p w14:paraId="15E2C23D">
                  <w:pPr>
                    <w:widowControl/>
                    <w:jc w:val="center"/>
                    <w:textAlignment w:val="center"/>
                    <w:rPr>
                      <w:color w:val="auto"/>
                    </w:rPr>
                  </w:pPr>
                  <w:r>
                    <w:rPr>
                      <w:color w:val="auto"/>
                      <w:kern w:val="0"/>
                      <w:sz w:val="20"/>
                      <w:szCs w:val="20"/>
                      <w:lang w:bidi="ar"/>
                    </w:rPr>
                    <w:t xml:space="preserve">0.000015 </w:t>
                  </w:r>
                </w:p>
              </w:tc>
            </w:tr>
          </w:tbl>
          <w:p w14:paraId="065F6A99">
            <w:pPr>
              <w:ind w:firstLine="480"/>
              <w:rPr>
                <w:b/>
                <w:bCs/>
                <w:color w:val="auto"/>
                <w:sz w:val="24"/>
              </w:rPr>
            </w:pPr>
            <w:r>
              <w:rPr>
                <w:rFonts w:hint="eastAsia"/>
                <w:b/>
                <w:bCs/>
                <w:color w:val="auto"/>
                <w:sz w:val="24"/>
              </w:rPr>
              <w:t>（3）食堂油烟</w:t>
            </w:r>
          </w:p>
          <w:p w14:paraId="15891FC4">
            <w:pPr>
              <w:pStyle w:val="19"/>
              <w:spacing w:line="360" w:lineRule="auto"/>
              <w:ind w:left="0" w:leftChars="0" w:firstLine="420" w:firstLineChars="175"/>
              <w:rPr>
                <w:rFonts w:ascii="Times New Roman" w:hAnsi="Times New Roman"/>
                <w:color w:val="auto"/>
                <w:sz w:val="24"/>
                <w:szCs w:val="24"/>
              </w:rPr>
            </w:pPr>
            <w:r>
              <w:rPr>
                <w:rFonts w:hint="eastAsia" w:ascii="Times New Roman" w:hAnsi="Times New Roman"/>
                <w:color w:val="auto"/>
                <w:sz w:val="24"/>
                <w:szCs w:val="24"/>
              </w:rPr>
              <w:t xml:space="preserve">根据相关资料类比得知，我国居民人均日使用食用油约 30g/人·d，食堂烹饪时间为 4h/d，本项目企业食宿人员为20人，则食堂食用油使用量为 0.4kg/d。工作制度为 360d/a，则食堂食用油使用量为0.216t/a。一般油烟挥发量占耗油量的 2~4%，本项目油烟挥发量按 2.5%计，则食堂油烟产生量为0.00375kg/h </w:t>
            </w:r>
            <w:r>
              <w:rPr>
                <w:rFonts w:hint="eastAsia" w:ascii="Times New Roman" w:hAnsi="Times New Roman"/>
                <w:color w:val="auto"/>
                <w:sz w:val="24"/>
                <w:szCs w:val="24"/>
                <w:lang w:eastAsia="zh-CN"/>
              </w:rPr>
              <w:t>（</w:t>
            </w:r>
            <w:r>
              <w:rPr>
                <w:rFonts w:hint="eastAsia" w:ascii="Times New Roman" w:hAnsi="Times New Roman"/>
                <w:color w:val="auto"/>
                <w:sz w:val="24"/>
                <w:szCs w:val="24"/>
              </w:rPr>
              <w:t>0.0054t/a</w:t>
            </w:r>
            <w:r>
              <w:rPr>
                <w:rFonts w:hint="eastAsia" w:ascii="Times New Roman" w:hAnsi="Times New Roman"/>
                <w:color w:val="auto"/>
                <w:sz w:val="24"/>
                <w:szCs w:val="24"/>
                <w:lang w:eastAsia="zh-CN"/>
              </w:rPr>
              <w:t>）</w:t>
            </w:r>
            <w:r>
              <w:rPr>
                <w:rFonts w:hint="eastAsia" w:ascii="Times New Roman" w:hAnsi="Times New Roman"/>
                <w:color w:val="auto"/>
                <w:sz w:val="24"/>
                <w:szCs w:val="24"/>
              </w:rPr>
              <w:t xml:space="preserve">。项目食堂内安装油烟净化设施，其油烟净化效率不低于 60%，则油烟排放量为0.00193kg/h </w:t>
            </w:r>
            <w:r>
              <w:rPr>
                <w:rFonts w:hint="eastAsia" w:ascii="Times New Roman" w:hAnsi="Times New Roman"/>
                <w:color w:val="auto"/>
                <w:sz w:val="24"/>
                <w:szCs w:val="24"/>
                <w:lang w:eastAsia="zh-CN"/>
              </w:rPr>
              <w:t>（</w:t>
            </w:r>
            <w:r>
              <w:rPr>
                <w:rFonts w:hint="eastAsia" w:ascii="Times New Roman" w:hAnsi="Times New Roman"/>
                <w:color w:val="auto"/>
                <w:sz w:val="24"/>
                <w:szCs w:val="24"/>
              </w:rPr>
              <w:t>0.00216t/a</w:t>
            </w:r>
            <w:r>
              <w:rPr>
                <w:rFonts w:hint="eastAsia" w:ascii="Times New Roman" w:hAnsi="Times New Roman"/>
                <w:color w:val="auto"/>
                <w:sz w:val="24"/>
                <w:szCs w:val="24"/>
                <w:lang w:eastAsia="zh-CN"/>
              </w:rPr>
              <w:t>）</w:t>
            </w:r>
            <w:r>
              <w:rPr>
                <w:rFonts w:hint="eastAsia" w:ascii="Times New Roman" w:hAnsi="Times New Roman"/>
                <w:color w:val="auto"/>
                <w:sz w:val="24"/>
                <w:szCs w:val="24"/>
              </w:rPr>
              <w:t>，油烟排放浓度不超过 2mg/m</w:t>
            </w:r>
            <w:r>
              <w:rPr>
                <w:rFonts w:hint="eastAsia" w:ascii="Times New Roman" w:hAnsi="Times New Roman"/>
                <w:color w:val="auto"/>
                <w:sz w:val="24"/>
                <w:szCs w:val="24"/>
                <w:vertAlign w:val="superscript"/>
              </w:rPr>
              <w:t>3</w:t>
            </w:r>
            <w:r>
              <w:rPr>
                <w:rFonts w:hint="eastAsia" w:ascii="Times New Roman" w:hAnsi="Times New Roman"/>
                <w:color w:val="auto"/>
                <w:sz w:val="24"/>
                <w:szCs w:val="24"/>
              </w:rPr>
              <w:t>，则抽油烟机的总风量应不小于1000</w:t>
            </w:r>
            <w:r>
              <w:rPr>
                <w:rFonts w:hint="eastAsia"/>
                <w:color w:val="auto"/>
                <w:sz w:val="24"/>
                <w:szCs w:val="24"/>
              </w:rPr>
              <w:t>m</w:t>
            </w:r>
            <w:r>
              <w:rPr>
                <w:rFonts w:hint="eastAsia" w:ascii="Times New Roman" w:hAnsi="Times New Roman"/>
                <w:color w:val="auto"/>
                <w:sz w:val="24"/>
                <w:szCs w:val="24"/>
                <w:vertAlign w:val="superscript"/>
              </w:rPr>
              <w:t>3</w:t>
            </w:r>
            <w:r>
              <w:rPr>
                <w:rFonts w:hint="eastAsia" w:ascii="Times New Roman" w:hAnsi="Times New Roman"/>
                <w:color w:val="auto"/>
                <w:sz w:val="24"/>
                <w:szCs w:val="24"/>
              </w:rPr>
              <w:t>/h。</w:t>
            </w:r>
          </w:p>
          <w:p w14:paraId="48944DD0">
            <w:pPr>
              <w:adjustRightInd w:val="0"/>
              <w:snapToGrid w:val="0"/>
              <w:spacing w:line="360" w:lineRule="auto"/>
              <w:ind w:firstLine="482" w:firstLineChars="200"/>
              <w:rPr>
                <w:b/>
                <w:color w:val="auto"/>
                <w:sz w:val="24"/>
              </w:rPr>
            </w:pPr>
            <w:r>
              <w:rPr>
                <w:rFonts w:hint="eastAsia"/>
                <w:b/>
                <w:color w:val="auto"/>
                <w:sz w:val="24"/>
              </w:rPr>
              <w:t>2、排污口设置情况</w:t>
            </w:r>
          </w:p>
          <w:p w14:paraId="7C79F375">
            <w:pPr>
              <w:adjustRightInd w:val="0"/>
              <w:snapToGrid w:val="0"/>
              <w:spacing w:line="360" w:lineRule="auto"/>
              <w:ind w:firstLine="480" w:firstLineChars="200"/>
              <w:rPr>
                <w:rFonts w:cs="宋体"/>
                <w:color w:val="auto"/>
                <w:kern w:val="0"/>
                <w:sz w:val="24"/>
              </w:rPr>
            </w:pPr>
            <w:r>
              <w:rPr>
                <w:rFonts w:hint="eastAsia" w:cs="宋体"/>
                <w:color w:val="auto"/>
                <w:kern w:val="0"/>
                <w:sz w:val="24"/>
              </w:rPr>
              <w:t>项目废气排放口情况如下表：</w:t>
            </w:r>
          </w:p>
          <w:p w14:paraId="6D7DD9F8">
            <w:pPr>
              <w:widowControl/>
              <w:spacing w:line="360" w:lineRule="auto"/>
              <w:ind w:firstLine="422" w:firstLineChars="200"/>
              <w:jc w:val="center"/>
              <w:rPr>
                <w:b/>
                <w:bCs/>
                <w:color w:val="auto"/>
                <w:kern w:val="0"/>
                <w:szCs w:val="21"/>
                <w:lang w:bidi="ar"/>
              </w:rPr>
            </w:pPr>
            <w:r>
              <w:rPr>
                <w:rFonts w:hint="eastAsia"/>
                <w:b/>
                <w:bCs/>
                <w:color w:val="auto"/>
                <w:kern w:val="0"/>
                <w:szCs w:val="21"/>
                <w:lang w:bidi="ar"/>
              </w:rPr>
              <w:t>表4-4  本项目废气排放口设置情况</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35"/>
              <w:gridCol w:w="1880"/>
              <w:gridCol w:w="1155"/>
              <w:gridCol w:w="813"/>
              <w:gridCol w:w="813"/>
              <w:gridCol w:w="849"/>
              <w:gridCol w:w="1720"/>
              <w:gridCol w:w="1273"/>
            </w:tblGrid>
            <w:tr w14:paraId="036A49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6" w:hRule="atLeast"/>
              </w:trPr>
              <w:tc>
                <w:tcPr>
                  <w:tcW w:w="444" w:type="pct"/>
                  <w:vMerge w:val="restart"/>
                  <w:vAlign w:val="center"/>
                </w:tcPr>
                <w:p w14:paraId="101FF2B6">
                  <w:pPr>
                    <w:adjustRightInd w:val="0"/>
                    <w:snapToGrid w:val="0"/>
                    <w:jc w:val="center"/>
                    <w:rPr>
                      <w:b/>
                      <w:color w:val="auto"/>
                      <w:szCs w:val="21"/>
                    </w:rPr>
                  </w:pPr>
                  <w:r>
                    <w:rPr>
                      <w:rFonts w:hint="eastAsia"/>
                      <w:b/>
                      <w:color w:val="auto"/>
                      <w:szCs w:val="21"/>
                    </w:rPr>
                    <w:t>编号</w:t>
                  </w:r>
                </w:p>
              </w:tc>
              <w:tc>
                <w:tcPr>
                  <w:tcW w:w="1009" w:type="pct"/>
                  <w:vMerge w:val="restart"/>
                  <w:shd w:val="clear" w:color="auto" w:fill="auto"/>
                  <w:vAlign w:val="center"/>
                </w:tcPr>
                <w:p w14:paraId="34AEEE15">
                  <w:pPr>
                    <w:adjustRightInd w:val="0"/>
                    <w:snapToGrid w:val="0"/>
                    <w:jc w:val="center"/>
                    <w:rPr>
                      <w:b/>
                      <w:color w:val="auto"/>
                      <w:szCs w:val="21"/>
                    </w:rPr>
                  </w:pPr>
                  <w:r>
                    <w:rPr>
                      <w:rFonts w:hint="eastAsia"/>
                      <w:b/>
                      <w:color w:val="auto"/>
                      <w:szCs w:val="21"/>
                    </w:rPr>
                    <w:t>排污口名称</w:t>
                  </w:r>
                </w:p>
              </w:tc>
              <w:tc>
                <w:tcPr>
                  <w:tcW w:w="621" w:type="pct"/>
                  <w:vMerge w:val="restart"/>
                  <w:vAlign w:val="center"/>
                </w:tcPr>
                <w:p w14:paraId="35F07DC9">
                  <w:pPr>
                    <w:adjustRightInd w:val="0"/>
                    <w:snapToGrid w:val="0"/>
                    <w:jc w:val="center"/>
                    <w:rPr>
                      <w:b/>
                      <w:color w:val="auto"/>
                      <w:szCs w:val="21"/>
                    </w:rPr>
                  </w:pPr>
                  <w:r>
                    <w:rPr>
                      <w:rFonts w:hint="eastAsia"/>
                      <w:b/>
                      <w:color w:val="auto"/>
                      <w:szCs w:val="21"/>
                    </w:rPr>
                    <w:t>污染物种类</w:t>
                  </w:r>
                </w:p>
              </w:tc>
              <w:tc>
                <w:tcPr>
                  <w:tcW w:w="2923" w:type="pct"/>
                  <w:gridSpan w:val="5"/>
                  <w:shd w:val="clear" w:color="auto" w:fill="auto"/>
                  <w:vAlign w:val="center"/>
                </w:tcPr>
                <w:p w14:paraId="66165FE9">
                  <w:pPr>
                    <w:adjustRightInd w:val="0"/>
                    <w:snapToGrid w:val="0"/>
                    <w:jc w:val="center"/>
                    <w:rPr>
                      <w:b/>
                      <w:color w:val="auto"/>
                      <w:szCs w:val="21"/>
                    </w:rPr>
                  </w:pPr>
                  <w:r>
                    <w:rPr>
                      <w:rFonts w:hint="eastAsia"/>
                      <w:b/>
                      <w:color w:val="auto"/>
                      <w:szCs w:val="21"/>
                    </w:rPr>
                    <w:t>排放口基本情况</w:t>
                  </w:r>
                </w:p>
              </w:tc>
            </w:tr>
            <w:tr w14:paraId="14CAE4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44" w:type="pct"/>
                  <w:vMerge w:val="continue"/>
                  <w:vAlign w:val="center"/>
                </w:tcPr>
                <w:p w14:paraId="1FA40D74">
                  <w:pPr>
                    <w:adjustRightInd w:val="0"/>
                    <w:snapToGrid w:val="0"/>
                    <w:jc w:val="center"/>
                    <w:rPr>
                      <w:b/>
                      <w:color w:val="auto"/>
                      <w:szCs w:val="21"/>
                    </w:rPr>
                  </w:pPr>
                </w:p>
              </w:tc>
              <w:tc>
                <w:tcPr>
                  <w:tcW w:w="1009" w:type="pct"/>
                  <w:vMerge w:val="continue"/>
                  <w:shd w:val="clear" w:color="auto" w:fill="auto"/>
                  <w:vAlign w:val="center"/>
                </w:tcPr>
                <w:p w14:paraId="73A4DF9F">
                  <w:pPr>
                    <w:adjustRightInd w:val="0"/>
                    <w:snapToGrid w:val="0"/>
                    <w:jc w:val="center"/>
                    <w:rPr>
                      <w:b/>
                      <w:color w:val="auto"/>
                      <w:szCs w:val="21"/>
                    </w:rPr>
                  </w:pPr>
                </w:p>
              </w:tc>
              <w:tc>
                <w:tcPr>
                  <w:tcW w:w="621" w:type="pct"/>
                  <w:vMerge w:val="continue"/>
                  <w:vAlign w:val="center"/>
                </w:tcPr>
                <w:p w14:paraId="1723D7B7">
                  <w:pPr>
                    <w:adjustRightInd w:val="0"/>
                    <w:snapToGrid w:val="0"/>
                    <w:jc w:val="center"/>
                    <w:rPr>
                      <w:b/>
                      <w:color w:val="auto"/>
                      <w:szCs w:val="21"/>
                    </w:rPr>
                  </w:pPr>
                </w:p>
              </w:tc>
              <w:tc>
                <w:tcPr>
                  <w:tcW w:w="432" w:type="pct"/>
                  <w:shd w:val="clear" w:color="auto" w:fill="auto"/>
                  <w:vAlign w:val="center"/>
                </w:tcPr>
                <w:p w14:paraId="5517522F">
                  <w:pPr>
                    <w:adjustRightInd w:val="0"/>
                    <w:snapToGrid w:val="0"/>
                    <w:jc w:val="center"/>
                    <w:rPr>
                      <w:b/>
                      <w:color w:val="auto"/>
                      <w:szCs w:val="21"/>
                    </w:rPr>
                  </w:pPr>
                  <w:r>
                    <w:rPr>
                      <w:rFonts w:hint="eastAsia"/>
                      <w:b/>
                      <w:color w:val="auto"/>
                      <w:szCs w:val="21"/>
                    </w:rPr>
                    <w:t>高度（m）</w:t>
                  </w:r>
                </w:p>
              </w:tc>
              <w:tc>
                <w:tcPr>
                  <w:tcW w:w="432" w:type="pct"/>
                  <w:shd w:val="clear" w:color="auto" w:fill="auto"/>
                  <w:vAlign w:val="center"/>
                </w:tcPr>
                <w:p w14:paraId="7AB8B295">
                  <w:pPr>
                    <w:adjustRightInd w:val="0"/>
                    <w:snapToGrid w:val="0"/>
                    <w:jc w:val="center"/>
                    <w:rPr>
                      <w:b/>
                      <w:color w:val="auto"/>
                      <w:szCs w:val="21"/>
                    </w:rPr>
                  </w:pPr>
                  <w:r>
                    <w:rPr>
                      <w:rFonts w:hint="eastAsia"/>
                      <w:b/>
                      <w:color w:val="auto"/>
                      <w:szCs w:val="21"/>
                    </w:rPr>
                    <w:t>内径（m）</w:t>
                  </w:r>
                </w:p>
              </w:tc>
              <w:tc>
                <w:tcPr>
                  <w:tcW w:w="452" w:type="pct"/>
                  <w:shd w:val="clear" w:color="auto" w:fill="auto"/>
                  <w:vAlign w:val="center"/>
                </w:tcPr>
                <w:p w14:paraId="1AA7F258">
                  <w:pPr>
                    <w:adjustRightInd w:val="0"/>
                    <w:snapToGrid w:val="0"/>
                    <w:jc w:val="center"/>
                    <w:rPr>
                      <w:b/>
                      <w:color w:val="auto"/>
                      <w:szCs w:val="21"/>
                    </w:rPr>
                  </w:pPr>
                  <w:r>
                    <w:rPr>
                      <w:b/>
                      <w:color w:val="auto"/>
                      <w:szCs w:val="21"/>
                    </w:rPr>
                    <w:t>温度（</w:t>
                  </w:r>
                  <w:r>
                    <w:rPr>
                      <w:rFonts w:ascii="宋体" w:hAnsi="宋体" w:cs="宋体"/>
                      <w:b/>
                      <w:color w:val="auto"/>
                      <w:szCs w:val="21"/>
                    </w:rPr>
                    <w:t>℃</w:t>
                  </w:r>
                  <w:r>
                    <w:rPr>
                      <w:b/>
                      <w:color w:val="auto"/>
                      <w:szCs w:val="21"/>
                    </w:rPr>
                    <w:t>）</w:t>
                  </w:r>
                </w:p>
              </w:tc>
              <w:tc>
                <w:tcPr>
                  <w:tcW w:w="923" w:type="pct"/>
                  <w:shd w:val="clear" w:color="auto" w:fill="auto"/>
                  <w:vAlign w:val="center"/>
                </w:tcPr>
                <w:p w14:paraId="3808E952">
                  <w:pPr>
                    <w:adjustRightInd w:val="0"/>
                    <w:snapToGrid w:val="0"/>
                    <w:jc w:val="center"/>
                    <w:rPr>
                      <w:b/>
                      <w:color w:val="auto"/>
                      <w:szCs w:val="21"/>
                    </w:rPr>
                  </w:pPr>
                  <w:r>
                    <w:rPr>
                      <w:rFonts w:hint="eastAsia"/>
                      <w:b/>
                      <w:color w:val="auto"/>
                      <w:szCs w:val="21"/>
                    </w:rPr>
                    <w:t>坐标</w:t>
                  </w:r>
                </w:p>
              </w:tc>
              <w:tc>
                <w:tcPr>
                  <w:tcW w:w="682" w:type="pct"/>
                  <w:shd w:val="clear" w:color="auto" w:fill="auto"/>
                  <w:vAlign w:val="center"/>
                </w:tcPr>
                <w:p w14:paraId="48EBAFFA">
                  <w:pPr>
                    <w:adjustRightInd w:val="0"/>
                    <w:snapToGrid w:val="0"/>
                    <w:jc w:val="center"/>
                    <w:rPr>
                      <w:b/>
                      <w:color w:val="auto"/>
                      <w:szCs w:val="21"/>
                    </w:rPr>
                  </w:pPr>
                  <w:r>
                    <w:rPr>
                      <w:rFonts w:hint="eastAsia"/>
                      <w:b/>
                      <w:color w:val="auto"/>
                      <w:szCs w:val="21"/>
                    </w:rPr>
                    <w:t>类型</w:t>
                  </w:r>
                </w:p>
              </w:tc>
            </w:tr>
            <w:tr w14:paraId="628137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44" w:type="pct"/>
                  <w:vAlign w:val="center"/>
                </w:tcPr>
                <w:p w14:paraId="46B4DA41">
                  <w:pPr>
                    <w:adjustRightInd w:val="0"/>
                    <w:snapToGrid w:val="0"/>
                    <w:jc w:val="center"/>
                    <w:rPr>
                      <w:color w:val="auto"/>
                      <w:szCs w:val="21"/>
                    </w:rPr>
                  </w:pPr>
                  <w:r>
                    <w:rPr>
                      <w:rFonts w:hint="eastAsia"/>
                      <w:color w:val="auto"/>
                      <w:szCs w:val="21"/>
                    </w:rPr>
                    <w:t>DA001</w:t>
                  </w:r>
                </w:p>
              </w:tc>
              <w:tc>
                <w:tcPr>
                  <w:tcW w:w="1009" w:type="pct"/>
                  <w:shd w:val="clear" w:color="auto" w:fill="auto"/>
                  <w:vAlign w:val="center"/>
                </w:tcPr>
                <w:p w14:paraId="2325DC09">
                  <w:pPr>
                    <w:adjustRightInd w:val="0"/>
                    <w:snapToGrid w:val="0"/>
                    <w:jc w:val="center"/>
                    <w:rPr>
                      <w:color w:val="auto"/>
                      <w:szCs w:val="21"/>
                    </w:rPr>
                  </w:pPr>
                  <w:r>
                    <w:rPr>
                      <w:rFonts w:hint="eastAsia"/>
                      <w:color w:val="auto"/>
                      <w:szCs w:val="21"/>
                    </w:rPr>
                    <w:t>锅炉废气排放口</w:t>
                  </w:r>
                </w:p>
              </w:tc>
              <w:tc>
                <w:tcPr>
                  <w:tcW w:w="621" w:type="pct"/>
                  <w:vAlign w:val="center"/>
                </w:tcPr>
                <w:p w14:paraId="7E7718BC">
                  <w:pPr>
                    <w:pStyle w:val="19"/>
                    <w:ind w:left="0" w:leftChars="0" w:firstLine="0" w:firstLineChars="0"/>
                    <w:rPr>
                      <w:color w:val="auto"/>
                    </w:rPr>
                  </w:pPr>
                  <w:r>
                    <w:rPr>
                      <w:rFonts w:ascii="Times New Roman" w:hAnsi="Times New Roman"/>
                      <w:color w:val="auto"/>
                    </w:rPr>
                    <w:t>SO</w:t>
                  </w:r>
                  <w:r>
                    <w:rPr>
                      <w:rFonts w:ascii="Times New Roman" w:hAnsi="Times New Roman"/>
                      <w:color w:val="auto"/>
                      <w:vertAlign w:val="subscript"/>
                    </w:rPr>
                    <w:t>2</w:t>
                  </w:r>
                  <w:r>
                    <w:rPr>
                      <w:rFonts w:ascii="Times New Roman" w:hAnsi="Times New Roman"/>
                      <w:color w:val="auto"/>
                    </w:rPr>
                    <w:t>、NO</w:t>
                  </w:r>
                  <w:r>
                    <w:rPr>
                      <w:rFonts w:ascii="Times New Roman" w:hAnsi="Times New Roman"/>
                      <w:color w:val="auto"/>
                      <w:vertAlign w:val="subscript"/>
                    </w:rPr>
                    <w:t>X</w:t>
                  </w:r>
                  <w:r>
                    <w:rPr>
                      <w:rFonts w:ascii="Times New Roman" w:hAnsi="Times New Roman"/>
                      <w:color w:val="auto"/>
                    </w:rPr>
                    <w:t>、</w:t>
                  </w:r>
                  <w:r>
                    <w:rPr>
                      <w:rFonts w:hint="eastAsia" w:ascii="Times New Roman" w:hAnsi="Times New Roman"/>
                      <w:color w:val="auto"/>
                    </w:rPr>
                    <w:t>颗粒物</w:t>
                  </w:r>
                </w:p>
              </w:tc>
              <w:tc>
                <w:tcPr>
                  <w:tcW w:w="432" w:type="pct"/>
                  <w:shd w:val="clear" w:color="auto" w:fill="auto"/>
                  <w:vAlign w:val="center"/>
                </w:tcPr>
                <w:p w14:paraId="39FCF1D6">
                  <w:pPr>
                    <w:adjustRightInd w:val="0"/>
                    <w:snapToGrid w:val="0"/>
                    <w:jc w:val="center"/>
                    <w:rPr>
                      <w:color w:val="auto"/>
                      <w:szCs w:val="21"/>
                    </w:rPr>
                  </w:pPr>
                  <w:r>
                    <w:rPr>
                      <w:rFonts w:hint="eastAsia"/>
                      <w:color w:val="auto"/>
                      <w:szCs w:val="21"/>
                    </w:rPr>
                    <w:t>30</w:t>
                  </w:r>
                </w:p>
              </w:tc>
              <w:tc>
                <w:tcPr>
                  <w:tcW w:w="432" w:type="pct"/>
                  <w:shd w:val="clear" w:color="auto" w:fill="auto"/>
                  <w:vAlign w:val="center"/>
                </w:tcPr>
                <w:p w14:paraId="37D67D3A">
                  <w:pPr>
                    <w:adjustRightInd w:val="0"/>
                    <w:snapToGrid w:val="0"/>
                    <w:jc w:val="center"/>
                    <w:rPr>
                      <w:color w:val="auto"/>
                      <w:szCs w:val="21"/>
                    </w:rPr>
                  </w:pPr>
                  <w:r>
                    <w:rPr>
                      <w:rFonts w:hint="eastAsia"/>
                      <w:color w:val="auto"/>
                      <w:szCs w:val="21"/>
                    </w:rPr>
                    <w:t>0.3</w:t>
                  </w:r>
                </w:p>
              </w:tc>
              <w:tc>
                <w:tcPr>
                  <w:tcW w:w="452" w:type="pct"/>
                  <w:shd w:val="clear" w:color="auto" w:fill="auto"/>
                  <w:vAlign w:val="center"/>
                </w:tcPr>
                <w:p w14:paraId="3A8EF5C8">
                  <w:pPr>
                    <w:adjustRightInd w:val="0"/>
                    <w:snapToGrid w:val="0"/>
                    <w:jc w:val="center"/>
                    <w:rPr>
                      <w:color w:val="auto"/>
                      <w:szCs w:val="21"/>
                    </w:rPr>
                  </w:pPr>
                  <w:r>
                    <w:rPr>
                      <w:rFonts w:hint="eastAsia"/>
                      <w:color w:val="auto"/>
                      <w:szCs w:val="21"/>
                    </w:rPr>
                    <w:t>90</w:t>
                  </w:r>
                </w:p>
              </w:tc>
              <w:tc>
                <w:tcPr>
                  <w:tcW w:w="923" w:type="pct"/>
                  <w:shd w:val="clear" w:color="auto" w:fill="auto"/>
                  <w:vAlign w:val="center"/>
                </w:tcPr>
                <w:p w14:paraId="1977E016">
                  <w:pPr>
                    <w:adjustRightInd w:val="0"/>
                    <w:snapToGrid w:val="0"/>
                    <w:jc w:val="center"/>
                    <w:rPr>
                      <w:color w:val="auto"/>
                      <w:szCs w:val="21"/>
                    </w:rPr>
                  </w:pPr>
                  <w:r>
                    <w:rPr>
                      <w:rFonts w:hint="eastAsia"/>
                      <w:color w:val="auto"/>
                      <w:szCs w:val="21"/>
                    </w:rPr>
                    <w:t>112.423550°E</w:t>
                  </w:r>
                </w:p>
                <w:p w14:paraId="26DC6B15">
                  <w:pPr>
                    <w:adjustRightInd w:val="0"/>
                    <w:snapToGrid w:val="0"/>
                    <w:jc w:val="center"/>
                    <w:rPr>
                      <w:color w:val="auto"/>
                      <w:szCs w:val="21"/>
                    </w:rPr>
                  </w:pPr>
                  <w:r>
                    <w:rPr>
                      <w:rFonts w:hint="eastAsia"/>
                      <w:color w:val="auto"/>
                      <w:szCs w:val="21"/>
                    </w:rPr>
                    <w:t>26.9393803°N</w:t>
                  </w:r>
                </w:p>
              </w:tc>
              <w:tc>
                <w:tcPr>
                  <w:tcW w:w="682" w:type="pct"/>
                  <w:shd w:val="clear" w:color="auto" w:fill="auto"/>
                  <w:vAlign w:val="center"/>
                </w:tcPr>
                <w:p w14:paraId="7104DC38">
                  <w:pPr>
                    <w:adjustRightInd w:val="0"/>
                    <w:snapToGrid w:val="0"/>
                    <w:jc w:val="center"/>
                    <w:rPr>
                      <w:color w:val="auto"/>
                      <w:szCs w:val="21"/>
                    </w:rPr>
                  </w:pPr>
                  <w:r>
                    <w:rPr>
                      <w:rFonts w:hint="eastAsia"/>
                      <w:color w:val="auto"/>
                      <w:szCs w:val="21"/>
                    </w:rPr>
                    <w:t>一般排放口</w:t>
                  </w:r>
                </w:p>
              </w:tc>
            </w:tr>
          </w:tbl>
          <w:p w14:paraId="122D6860">
            <w:pPr>
              <w:adjustRightInd w:val="0"/>
              <w:snapToGrid w:val="0"/>
              <w:spacing w:line="360" w:lineRule="auto"/>
              <w:ind w:firstLine="482" w:firstLineChars="200"/>
              <w:rPr>
                <w:b/>
                <w:color w:val="auto"/>
                <w:sz w:val="24"/>
              </w:rPr>
            </w:pPr>
            <w:r>
              <w:rPr>
                <w:rFonts w:hint="eastAsia"/>
                <w:b/>
                <w:color w:val="auto"/>
                <w:sz w:val="24"/>
              </w:rPr>
              <w:t>3、监测要求</w:t>
            </w:r>
          </w:p>
          <w:p w14:paraId="7309EDDC">
            <w:pPr>
              <w:adjustRightInd w:val="0"/>
              <w:snapToGrid w:val="0"/>
              <w:spacing w:line="360" w:lineRule="auto"/>
              <w:ind w:firstLine="480" w:firstLineChars="200"/>
              <w:rPr>
                <w:rFonts w:cs="宋体"/>
                <w:color w:val="auto"/>
                <w:kern w:val="0"/>
                <w:sz w:val="24"/>
              </w:rPr>
            </w:pPr>
            <w:r>
              <w:rPr>
                <w:rFonts w:hint="eastAsia" w:cs="宋体"/>
                <w:color w:val="auto"/>
                <w:kern w:val="0"/>
                <w:sz w:val="24"/>
              </w:rPr>
              <w:t>根据《排污许可证申请与核发技术规范 总则》（HJ942-2018），制定本项目大气监测计划如下：</w:t>
            </w:r>
          </w:p>
          <w:p w14:paraId="5EF6F998">
            <w:pPr>
              <w:adjustRightInd w:val="0"/>
              <w:snapToGrid w:val="0"/>
              <w:spacing w:before="120" w:beforeLines="50"/>
              <w:jc w:val="center"/>
              <w:rPr>
                <w:b/>
                <w:color w:val="auto"/>
                <w:szCs w:val="21"/>
              </w:rPr>
            </w:pPr>
            <w:r>
              <w:rPr>
                <w:rFonts w:hint="eastAsia"/>
                <w:b/>
                <w:color w:val="auto"/>
                <w:szCs w:val="21"/>
              </w:rPr>
              <w:t>表4-5  本项目大气污染物监测计划</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92"/>
              <w:gridCol w:w="1900"/>
              <w:gridCol w:w="1168"/>
              <w:gridCol w:w="1078"/>
              <w:gridCol w:w="1233"/>
              <w:gridCol w:w="3067"/>
            </w:tblGrid>
            <w:tr w14:paraId="359FF6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7" w:hRule="atLeast"/>
              </w:trPr>
              <w:tc>
                <w:tcPr>
                  <w:tcW w:w="1495" w:type="pct"/>
                  <w:gridSpan w:val="2"/>
                  <w:shd w:val="clear" w:color="auto" w:fill="auto"/>
                  <w:vAlign w:val="center"/>
                </w:tcPr>
                <w:p w14:paraId="43D232FB">
                  <w:pPr>
                    <w:adjustRightInd w:val="0"/>
                    <w:snapToGrid w:val="0"/>
                    <w:jc w:val="center"/>
                    <w:rPr>
                      <w:b/>
                      <w:color w:val="auto"/>
                      <w:szCs w:val="21"/>
                    </w:rPr>
                  </w:pPr>
                  <w:r>
                    <w:rPr>
                      <w:rFonts w:hint="eastAsia"/>
                      <w:b/>
                      <w:color w:val="auto"/>
                      <w:szCs w:val="21"/>
                    </w:rPr>
                    <w:t>监测点位</w:t>
                  </w:r>
                </w:p>
              </w:tc>
              <w:tc>
                <w:tcPr>
                  <w:tcW w:w="625" w:type="pct"/>
                  <w:vMerge w:val="restart"/>
                  <w:vAlign w:val="center"/>
                </w:tcPr>
                <w:p w14:paraId="71FA9D33">
                  <w:pPr>
                    <w:adjustRightInd w:val="0"/>
                    <w:snapToGrid w:val="0"/>
                    <w:jc w:val="center"/>
                    <w:rPr>
                      <w:b/>
                      <w:color w:val="auto"/>
                      <w:szCs w:val="21"/>
                    </w:rPr>
                  </w:pPr>
                  <w:r>
                    <w:rPr>
                      <w:rFonts w:hint="eastAsia"/>
                      <w:b/>
                      <w:color w:val="auto"/>
                      <w:szCs w:val="21"/>
                    </w:rPr>
                    <w:t>监测因子</w:t>
                  </w:r>
                </w:p>
              </w:tc>
              <w:tc>
                <w:tcPr>
                  <w:tcW w:w="577" w:type="pct"/>
                  <w:vMerge w:val="restart"/>
                  <w:vAlign w:val="center"/>
                </w:tcPr>
                <w:p w14:paraId="366D9B73">
                  <w:pPr>
                    <w:adjustRightInd w:val="0"/>
                    <w:snapToGrid w:val="0"/>
                    <w:jc w:val="center"/>
                    <w:rPr>
                      <w:b/>
                      <w:color w:val="auto"/>
                      <w:szCs w:val="21"/>
                    </w:rPr>
                  </w:pPr>
                  <w:r>
                    <w:rPr>
                      <w:rFonts w:hint="eastAsia"/>
                      <w:b/>
                      <w:color w:val="auto"/>
                      <w:szCs w:val="21"/>
                    </w:rPr>
                    <w:t>监测频次</w:t>
                  </w:r>
                </w:p>
              </w:tc>
              <w:tc>
                <w:tcPr>
                  <w:tcW w:w="2302" w:type="pct"/>
                  <w:gridSpan w:val="2"/>
                  <w:shd w:val="clear" w:color="auto" w:fill="auto"/>
                  <w:vAlign w:val="center"/>
                </w:tcPr>
                <w:p w14:paraId="25F1503D">
                  <w:pPr>
                    <w:adjustRightInd w:val="0"/>
                    <w:snapToGrid w:val="0"/>
                    <w:jc w:val="center"/>
                    <w:rPr>
                      <w:b/>
                      <w:color w:val="auto"/>
                      <w:szCs w:val="21"/>
                    </w:rPr>
                  </w:pPr>
                  <w:r>
                    <w:rPr>
                      <w:rFonts w:hint="eastAsia"/>
                      <w:b/>
                      <w:color w:val="auto"/>
                      <w:szCs w:val="21"/>
                    </w:rPr>
                    <w:t>执行标准</w:t>
                  </w:r>
                </w:p>
              </w:tc>
            </w:tr>
            <w:tr w14:paraId="354682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78" w:type="pct"/>
                  <w:shd w:val="clear" w:color="auto" w:fill="auto"/>
                  <w:vAlign w:val="center"/>
                </w:tcPr>
                <w:p w14:paraId="54B6B0AB">
                  <w:pPr>
                    <w:adjustRightInd w:val="0"/>
                    <w:snapToGrid w:val="0"/>
                    <w:jc w:val="center"/>
                    <w:rPr>
                      <w:b/>
                      <w:color w:val="auto"/>
                      <w:szCs w:val="21"/>
                    </w:rPr>
                  </w:pPr>
                  <w:r>
                    <w:rPr>
                      <w:rFonts w:hint="eastAsia"/>
                      <w:b/>
                      <w:color w:val="auto"/>
                      <w:szCs w:val="21"/>
                    </w:rPr>
                    <w:t>编号</w:t>
                  </w:r>
                </w:p>
              </w:tc>
              <w:tc>
                <w:tcPr>
                  <w:tcW w:w="1016" w:type="pct"/>
                  <w:shd w:val="clear" w:color="auto" w:fill="auto"/>
                  <w:vAlign w:val="center"/>
                </w:tcPr>
                <w:p w14:paraId="7FA46B88">
                  <w:pPr>
                    <w:adjustRightInd w:val="0"/>
                    <w:snapToGrid w:val="0"/>
                    <w:jc w:val="center"/>
                    <w:rPr>
                      <w:b/>
                      <w:color w:val="auto"/>
                      <w:szCs w:val="21"/>
                    </w:rPr>
                  </w:pPr>
                  <w:r>
                    <w:rPr>
                      <w:rFonts w:hint="eastAsia"/>
                      <w:b/>
                      <w:color w:val="auto"/>
                      <w:szCs w:val="21"/>
                    </w:rPr>
                    <w:t>名称</w:t>
                  </w:r>
                </w:p>
              </w:tc>
              <w:tc>
                <w:tcPr>
                  <w:tcW w:w="625" w:type="pct"/>
                  <w:vMerge w:val="continue"/>
                  <w:vAlign w:val="center"/>
                </w:tcPr>
                <w:p w14:paraId="61BE3152">
                  <w:pPr>
                    <w:adjustRightInd w:val="0"/>
                    <w:snapToGrid w:val="0"/>
                    <w:jc w:val="center"/>
                    <w:rPr>
                      <w:b/>
                      <w:color w:val="auto"/>
                      <w:szCs w:val="21"/>
                    </w:rPr>
                  </w:pPr>
                </w:p>
              </w:tc>
              <w:tc>
                <w:tcPr>
                  <w:tcW w:w="577" w:type="pct"/>
                  <w:vMerge w:val="continue"/>
                  <w:vAlign w:val="center"/>
                </w:tcPr>
                <w:p w14:paraId="58770CCD">
                  <w:pPr>
                    <w:adjustRightInd w:val="0"/>
                    <w:snapToGrid w:val="0"/>
                    <w:jc w:val="center"/>
                    <w:rPr>
                      <w:b/>
                      <w:color w:val="auto"/>
                      <w:szCs w:val="21"/>
                    </w:rPr>
                  </w:pPr>
                </w:p>
              </w:tc>
              <w:tc>
                <w:tcPr>
                  <w:tcW w:w="660" w:type="pct"/>
                  <w:shd w:val="clear" w:color="auto" w:fill="auto"/>
                  <w:vAlign w:val="center"/>
                </w:tcPr>
                <w:p w14:paraId="6A32F188">
                  <w:pPr>
                    <w:adjustRightInd w:val="0"/>
                    <w:snapToGrid w:val="0"/>
                    <w:jc w:val="center"/>
                    <w:rPr>
                      <w:b/>
                      <w:color w:val="auto"/>
                      <w:szCs w:val="21"/>
                    </w:rPr>
                  </w:pPr>
                  <w:r>
                    <w:rPr>
                      <w:rFonts w:hint="eastAsia"/>
                      <w:b/>
                      <w:color w:val="auto"/>
                      <w:szCs w:val="21"/>
                    </w:rPr>
                    <w:t>浓度限值（mg/m</w:t>
                  </w:r>
                  <w:r>
                    <w:rPr>
                      <w:rFonts w:hint="eastAsia"/>
                      <w:b/>
                      <w:color w:val="auto"/>
                      <w:szCs w:val="21"/>
                      <w:vertAlign w:val="superscript"/>
                    </w:rPr>
                    <w:t>3</w:t>
                  </w:r>
                  <w:r>
                    <w:rPr>
                      <w:rFonts w:hint="eastAsia"/>
                      <w:b/>
                      <w:color w:val="auto"/>
                      <w:szCs w:val="21"/>
                    </w:rPr>
                    <w:t>）</w:t>
                  </w:r>
                </w:p>
              </w:tc>
              <w:tc>
                <w:tcPr>
                  <w:tcW w:w="1642" w:type="pct"/>
                  <w:shd w:val="clear" w:color="auto" w:fill="auto"/>
                  <w:vAlign w:val="center"/>
                </w:tcPr>
                <w:p w14:paraId="3F68DF2C">
                  <w:pPr>
                    <w:adjustRightInd w:val="0"/>
                    <w:snapToGrid w:val="0"/>
                    <w:jc w:val="center"/>
                    <w:rPr>
                      <w:b/>
                      <w:color w:val="auto"/>
                      <w:szCs w:val="21"/>
                    </w:rPr>
                  </w:pPr>
                  <w:r>
                    <w:rPr>
                      <w:rFonts w:hint="eastAsia"/>
                      <w:b/>
                      <w:color w:val="auto"/>
                      <w:szCs w:val="21"/>
                    </w:rPr>
                    <w:t>标准名称</w:t>
                  </w:r>
                </w:p>
              </w:tc>
            </w:tr>
            <w:tr w14:paraId="231938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78" w:type="pct"/>
                  <w:vMerge w:val="restart"/>
                  <w:shd w:val="clear" w:color="auto" w:fill="auto"/>
                  <w:vAlign w:val="center"/>
                </w:tcPr>
                <w:p w14:paraId="6D1BDBE1">
                  <w:pPr>
                    <w:adjustRightInd w:val="0"/>
                    <w:snapToGrid w:val="0"/>
                    <w:jc w:val="center"/>
                    <w:rPr>
                      <w:color w:val="auto"/>
                      <w:szCs w:val="21"/>
                    </w:rPr>
                  </w:pPr>
                  <w:r>
                    <w:rPr>
                      <w:rFonts w:hint="eastAsia"/>
                      <w:color w:val="auto"/>
                      <w:szCs w:val="21"/>
                    </w:rPr>
                    <w:t>DA001</w:t>
                  </w:r>
                </w:p>
              </w:tc>
              <w:tc>
                <w:tcPr>
                  <w:tcW w:w="1016" w:type="pct"/>
                  <w:vMerge w:val="restart"/>
                  <w:shd w:val="clear" w:color="auto" w:fill="auto"/>
                  <w:vAlign w:val="center"/>
                </w:tcPr>
                <w:p w14:paraId="60CF3AE0">
                  <w:pPr>
                    <w:adjustRightInd w:val="0"/>
                    <w:snapToGrid w:val="0"/>
                    <w:jc w:val="center"/>
                    <w:rPr>
                      <w:color w:val="auto"/>
                      <w:szCs w:val="21"/>
                    </w:rPr>
                  </w:pPr>
                  <w:r>
                    <w:rPr>
                      <w:rFonts w:hint="eastAsia"/>
                      <w:color w:val="auto"/>
                      <w:szCs w:val="21"/>
                    </w:rPr>
                    <w:t>锅炉废气排放口</w:t>
                  </w:r>
                </w:p>
              </w:tc>
              <w:tc>
                <w:tcPr>
                  <w:tcW w:w="625" w:type="pct"/>
                  <w:vAlign w:val="center"/>
                </w:tcPr>
                <w:p w14:paraId="09129233">
                  <w:pPr>
                    <w:adjustRightInd w:val="0"/>
                    <w:snapToGrid w:val="0"/>
                    <w:jc w:val="center"/>
                    <w:rPr>
                      <w:bCs/>
                      <w:color w:val="auto"/>
                      <w:spacing w:val="-10"/>
                      <w:szCs w:val="21"/>
                    </w:rPr>
                  </w:pPr>
                  <w:r>
                    <w:rPr>
                      <w:color w:val="auto"/>
                      <w:szCs w:val="21"/>
                    </w:rPr>
                    <w:t>SO</w:t>
                  </w:r>
                  <w:r>
                    <w:rPr>
                      <w:color w:val="auto"/>
                      <w:szCs w:val="21"/>
                      <w:vertAlign w:val="subscript"/>
                    </w:rPr>
                    <w:t>2</w:t>
                  </w:r>
                </w:p>
              </w:tc>
              <w:tc>
                <w:tcPr>
                  <w:tcW w:w="577" w:type="pct"/>
                  <w:vMerge w:val="restart"/>
                  <w:vAlign w:val="center"/>
                </w:tcPr>
                <w:p w14:paraId="287F5471">
                  <w:pPr>
                    <w:adjustRightInd w:val="0"/>
                    <w:snapToGrid w:val="0"/>
                    <w:jc w:val="center"/>
                    <w:rPr>
                      <w:color w:val="auto"/>
                      <w:szCs w:val="21"/>
                    </w:rPr>
                  </w:pPr>
                  <w:r>
                    <w:rPr>
                      <w:rFonts w:hint="eastAsia"/>
                      <w:color w:val="auto"/>
                      <w:szCs w:val="21"/>
                    </w:rPr>
                    <w:t>1次/月</w:t>
                  </w:r>
                </w:p>
              </w:tc>
              <w:tc>
                <w:tcPr>
                  <w:tcW w:w="660" w:type="pct"/>
                  <w:shd w:val="clear" w:color="auto" w:fill="auto"/>
                  <w:vAlign w:val="center"/>
                </w:tcPr>
                <w:p w14:paraId="37D74972">
                  <w:pPr>
                    <w:adjustRightInd w:val="0"/>
                    <w:snapToGrid w:val="0"/>
                    <w:jc w:val="center"/>
                    <w:rPr>
                      <w:color w:val="auto"/>
                      <w:szCs w:val="21"/>
                    </w:rPr>
                  </w:pPr>
                  <w:r>
                    <w:rPr>
                      <w:rFonts w:hint="eastAsia"/>
                      <w:color w:val="auto"/>
                      <w:szCs w:val="21"/>
                    </w:rPr>
                    <w:t>300</w:t>
                  </w:r>
                </w:p>
              </w:tc>
              <w:tc>
                <w:tcPr>
                  <w:tcW w:w="1642" w:type="pct"/>
                  <w:vMerge w:val="restart"/>
                  <w:shd w:val="clear" w:color="auto" w:fill="auto"/>
                  <w:vAlign w:val="center"/>
                </w:tcPr>
                <w:p w14:paraId="59295E73">
                  <w:pPr>
                    <w:adjustRightInd w:val="0"/>
                    <w:snapToGrid w:val="0"/>
                    <w:jc w:val="center"/>
                    <w:rPr>
                      <w:color w:val="auto"/>
                      <w:szCs w:val="21"/>
                    </w:rPr>
                  </w:pPr>
                  <w:r>
                    <w:rPr>
                      <w:rFonts w:hint="eastAsia"/>
                      <w:color w:val="auto"/>
                      <w:kern w:val="0"/>
                      <w:szCs w:val="21"/>
                      <w:lang w:bidi="ar"/>
                    </w:rPr>
                    <w:t>《锅炉大气污染物排放标准》（</w:t>
                  </w:r>
                  <w:r>
                    <w:rPr>
                      <w:color w:val="auto"/>
                      <w:kern w:val="0"/>
                      <w:szCs w:val="21"/>
                      <w:lang w:bidi="ar"/>
                    </w:rPr>
                    <w:t>GB13271-2014</w:t>
                  </w:r>
                  <w:r>
                    <w:rPr>
                      <w:rFonts w:hint="eastAsia"/>
                      <w:color w:val="auto"/>
                      <w:kern w:val="0"/>
                      <w:szCs w:val="21"/>
                      <w:lang w:bidi="ar"/>
                    </w:rPr>
                    <w:t>）表</w:t>
                  </w:r>
                  <w:r>
                    <w:rPr>
                      <w:color w:val="auto"/>
                      <w:kern w:val="0"/>
                      <w:szCs w:val="21"/>
                      <w:lang w:bidi="ar"/>
                    </w:rPr>
                    <w:t>2</w:t>
                  </w:r>
                  <w:r>
                    <w:rPr>
                      <w:rFonts w:hint="eastAsia"/>
                      <w:color w:val="auto"/>
                      <w:kern w:val="0"/>
                      <w:szCs w:val="21"/>
                      <w:lang w:bidi="ar"/>
                    </w:rPr>
                    <w:t>中燃煤锅炉排放浓度限值</w:t>
                  </w:r>
                </w:p>
              </w:tc>
            </w:tr>
            <w:tr w14:paraId="133382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78" w:type="pct"/>
                  <w:vMerge w:val="continue"/>
                  <w:shd w:val="clear" w:color="auto" w:fill="auto"/>
                  <w:vAlign w:val="center"/>
                </w:tcPr>
                <w:p w14:paraId="19A972BB">
                  <w:pPr>
                    <w:adjustRightInd w:val="0"/>
                    <w:snapToGrid w:val="0"/>
                    <w:jc w:val="center"/>
                    <w:rPr>
                      <w:color w:val="auto"/>
                      <w:szCs w:val="21"/>
                    </w:rPr>
                  </w:pPr>
                </w:p>
              </w:tc>
              <w:tc>
                <w:tcPr>
                  <w:tcW w:w="1016" w:type="pct"/>
                  <w:vMerge w:val="continue"/>
                  <w:shd w:val="clear" w:color="auto" w:fill="auto"/>
                  <w:vAlign w:val="center"/>
                </w:tcPr>
                <w:p w14:paraId="14A31DDE">
                  <w:pPr>
                    <w:adjustRightInd w:val="0"/>
                    <w:snapToGrid w:val="0"/>
                    <w:jc w:val="center"/>
                    <w:rPr>
                      <w:color w:val="auto"/>
                      <w:szCs w:val="21"/>
                    </w:rPr>
                  </w:pPr>
                </w:p>
              </w:tc>
              <w:tc>
                <w:tcPr>
                  <w:tcW w:w="625" w:type="pct"/>
                  <w:vAlign w:val="center"/>
                </w:tcPr>
                <w:p w14:paraId="50BD8E63">
                  <w:pPr>
                    <w:adjustRightInd w:val="0"/>
                    <w:snapToGrid w:val="0"/>
                    <w:jc w:val="center"/>
                    <w:rPr>
                      <w:bCs/>
                      <w:color w:val="auto"/>
                      <w:spacing w:val="-10"/>
                      <w:szCs w:val="21"/>
                    </w:rPr>
                  </w:pPr>
                  <w:r>
                    <w:rPr>
                      <w:color w:val="auto"/>
                      <w:szCs w:val="21"/>
                    </w:rPr>
                    <w:t>NO</w:t>
                  </w:r>
                  <w:r>
                    <w:rPr>
                      <w:color w:val="auto"/>
                      <w:szCs w:val="21"/>
                      <w:vertAlign w:val="subscript"/>
                    </w:rPr>
                    <w:t>X</w:t>
                  </w:r>
                </w:p>
              </w:tc>
              <w:tc>
                <w:tcPr>
                  <w:tcW w:w="577" w:type="pct"/>
                  <w:vMerge w:val="continue"/>
                  <w:vAlign w:val="center"/>
                </w:tcPr>
                <w:p w14:paraId="130C4369">
                  <w:pPr>
                    <w:adjustRightInd w:val="0"/>
                    <w:snapToGrid w:val="0"/>
                    <w:jc w:val="center"/>
                    <w:rPr>
                      <w:color w:val="auto"/>
                      <w:szCs w:val="21"/>
                    </w:rPr>
                  </w:pPr>
                </w:p>
              </w:tc>
              <w:tc>
                <w:tcPr>
                  <w:tcW w:w="660" w:type="pct"/>
                  <w:shd w:val="clear" w:color="auto" w:fill="auto"/>
                  <w:vAlign w:val="center"/>
                </w:tcPr>
                <w:p w14:paraId="5882C5A5">
                  <w:pPr>
                    <w:adjustRightInd w:val="0"/>
                    <w:snapToGrid w:val="0"/>
                    <w:jc w:val="center"/>
                    <w:rPr>
                      <w:color w:val="auto"/>
                      <w:szCs w:val="21"/>
                    </w:rPr>
                  </w:pPr>
                  <w:r>
                    <w:rPr>
                      <w:rFonts w:hint="eastAsia"/>
                      <w:color w:val="auto"/>
                      <w:szCs w:val="21"/>
                    </w:rPr>
                    <w:t>300</w:t>
                  </w:r>
                </w:p>
              </w:tc>
              <w:tc>
                <w:tcPr>
                  <w:tcW w:w="1642" w:type="pct"/>
                  <w:vMerge w:val="continue"/>
                  <w:shd w:val="clear" w:color="auto" w:fill="auto"/>
                  <w:vAlign w:val="center"/>
                </w:tcPr>
                <w:p w14:paraId="2BE5351E">
                  <w:pPr>
                    <w:adjustRightInd w:val="0"/>
                    <w:snapToGrid w:val="0"/>
                    <w:jc w:val="center"/>
                    <w:rPr>
                      <w:color w:val="auto"/>
                      <w:szCs w:val="21"/>
                    </w:rPr>
                  </w:pPr>
                </w:p>
              </w:tc>
            </w:tr>
            <w:tr w14:paraId="20D356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78" w:type="pct"/>
                  <w:vMerge w:val="continue"/>
                  <w:shd w:val="clear" w:color="auto" w:fill="auto"/>
                  <w:vAlign w:val="center"/>
                </w:tcPr>
                <w:p w14:paraId="3A144212">
                  <w:pPr>
                    <w:adjustRightInd w:val="0"/>
                    <w:snapToGrid w:val="0"/>
                    <w:jc w:val="center"/>
                    <w:rPr>
                      <w:color w:val="auto"/>
                      <w:szCs w:val="21"/>
                    </w:rPr>
                  </w:pPr>
                </w:p>
              </w:tc>
              <w:tc>
                <w:tcPr>
                  <w:tcW w:w="1016" w:type="pct"/>
                  <w:vMerge w:val="continue"/>
                  <w:shd w:val="clear" w:color="auto" w:fill="auto"/>
                  <w:vAlign w:val="center"/>
                </w:tcPr>
                <w:p w14:paraId="36377FB6">
                  <w:pPr>
                    <w:adjustRightInd w:val="0"/>
                    <w:snapToGrid w:val="0"/>
                    <w:jc w:val="center"/>
                    <w:rPr>
                      <w:color w:val="auto"/>
                      <w:szCs w:val="21"/>
                    </w:rPr>
                  </w:pPr>
                </w:p>
              </w:tc>
              <w:tc>
                <w:tcPr>
                  <w:tcW w:w="625" w:type="pct"/>
                  <w:vAlign w:val="center"/>
                </w:tcPr>
                <w:p w14:paraId="0A2B346C">
                  <w:pPr>
                    <w:adjustRightInd w:val="0"/>
                    <w:snapToGrid w:val="0"/>
                    <w:jc w:val="center"/>
                    <w:rPr>
                      <w:bCs/>
                      <w:color w:val="auto"/>
                      <w:spacing w:val="-10"/>
                      <w:szCs w:val="21"/>
                    </w:rPr>
                  </w:pPr>
                  <w:r>
                    <w:rPr>
                      <w:rFonts w:hint="eastAsia"/>
                      <w:bCs/>
                      <w:color w:val="auto"/>
                      <w:spacing w:val="-10"/>
                      <w:szCs w:val="21"/>
                    </w:rPr>
                    <w:t>颗粒物</w:t>
                  </w:r>
                </w:p>
              </w:tc>
              <w:tc>
                <w:tcPr>
                  <w:tcW w:w="577" w:type="pct"/>
                  <w:vMerge w:val="continue"/>
                  <w:vAlign w:val="center"/>
                </w:tcPr>
                <w:p w14:paraId="3686DBC4">
                  <w:pPr>
                    <w:adjustRightInd w:val="0"/>
                    <w:snapToGrid w:val="0"/>
                    <w:jc w:val="center"/>
                    <w:rPr>
                      <w:color w:val="auto"/>
                      <w:szCs w:val="21"/>
                    </w:rPr>
                  </w:pPr>
                </w:p>
              </w:tc>
              <w:tc>
                <w:tcPr>
                  <w:tcW w:w="660" w:type="pct"/>
                  <w:shd w:val="clear" w:color="auto" w:fill="auto"/>
                  <w:vAlign w:val="center"/>
                </w:tcPr>
                <w:p w14:paraId="6EA9C172">
                  <w:pPr>
                    <w:adjustRightInd w:val="0"/>
                    <w:snapToGrid w:val="0"/>
                    <w:jc w:val="center"/>
                    <w:rPr>
                      <w:color w:val="auto"/>
                      <w:szCs w:val="21"/>
                    </w:rPr>
                  </w:pPr>
                  <w:r>
                    <w:rPr>
                      <w:rFonts w:hint="eastAsia"/>
                      <w:color w:val="auto"/>
                      <w:szCs w:val="21"/>
                    </w:rPr>
                    <w:t>50</w:t>
                  </w:r>
                </w:p>
              </w:tc>
              <w:tc>
                <w:tcPr>
                  <w:tcW w:w="1642" w:type="pct"/>
                  <w:vMerge w:val="continue"/>
                  <w:shd w:val="clear" w:color="auto" w:fill="auto"/>
                  <w:vAlign w:val="center"/>
                </w:tcPr>
                <w:p w14:paraId="016F2B0E">
                  <w:pPr>
                    <w:adjustRightInd w:val="0"/>
                    <w:snapToGrid w:val="0"/>
                    <w:jc w:val="center"/>
                    <w:rPr>
                      <w:color w:val="auto"/>
                      <w:szCs w:val="21"/>
                    </w:rPr>
                  </w:pPr>
                </w:p>
              </w:tc>
            </w:tr>
          </w:tbl>
          <w:p w14:paraId="66A1E9B6">
            <w:pPr>
              <w:adjustRightInd w:val="0"/>
              <w:snapToGrid w:val="0"/>
              <w:spacing w:line="360" w:lineRule="auto"/>
              <w:ind w:firstLine="482" w:firstLineChars="200"/>
              <w:rPr>
                <w:b/>
                <w:color w:val="auto"/>
                <w:sz w:val="24"/>
              </w:rPr>
            </w:pPr>
            <w:r>
              <w:rPr>
                <w:rFonts w:hint="eastAsia"/>
                <w:b/>
                <w:color w:val="auto"/>
                <w:sz w:val="24"/>
              </w:rPr>
              <w:t>4、措施可行性分析</w:t>
            </w:r>
          </w:p>
          <w:p w14:paraId="6C8FE37D">
            <w:pPr>
              <w:pStyle w:val="33"/>
              <w:adjustRightInd/>
              <w:spacing w:line="360" w:lineRule="auto"/>
              <w:ind w:firstLine="480" w:firstLineChars="200"/>
              <w:rPr>
                <w:rFonts w:ascii="Times New Roman"/>
                <w:color w:val="auto"/>
              </w:rPr>
            </w:pPr>
            <w:r>
              <w:rPr>
                <w:rFonts w:hint="eastAsia" w:ascii="Times New Roman"/>
                <w:color w:val="auto"/>
              </w:rPr>
              <w:t>生物质锅炉燃烧时的废气（颗粒物、SO</w:t>
            </w:r>
            <w:r>
              <w:rPr>
                <w:rFonts w:hint="eastAsia" w:ascii="Times New Roman"/>
                <w:color w:val="auto"/>
                <w:vertAlign w:val="subscript"/>
              </w:rPr>
              <w:t>2</w:t>
            </w:r>
            <w:r>
              <w:rPr>
                <w:rFonts w:hint="eastAsia" w:ascii="Times New Roman"/>
                <w:color w:val="auto"/>
              </w:rPr>
              <w:t>、NO</w:t>
            </w:r>
            <w:r>
              <w:rPr>
                <w:rFonts w:hint="eastAsia" w:ascii="Times New Roman"/>
                <w:color w:val="auto"/>
                <w:vertAlign w:val="subscript"/>
              </w:rPr>
              <w:t>X</w:t>
            </w:r>
            <w:r>
              <w:rPr>
                <w:rFonts w:hint="eastAsia" w:ascii="Times New Roman"/>
                <w:color w:val="auto"/>
              </w:rPr>
              <w:t>）经收集经过布袋除尘器处理，袋式除尘器是一种干式滤尘装置，它适用于捕集细小、干燥、非纤维性粉尘。该工艺适用范围广，除尘效率高，尤其适用于粉尘废气等，设备占地面积小；吸附效率高，吸附容量大，适用面广；能力强；操作简易、安全；运行费用低；一次性投资费用不高，性价比高。维护方便，无技术要求；布袋除尘器具有来源广泛价格低廉等特点；因此维护成本不高。经济环保，高效安全。</w:t>
            </w:r>
          </w:p>
          <w:p w14:paraId="67171803">
            <w:pPr>
              <w:pStyle w:val="33"/>
              <w:adjustRightInd/>
              <w:spacing w:line="360" w:lineRule="auto"/>
              <w:ind w:firstLine="480" w:firstLineChars="200"/>
              <w:rPr>
                <w:rFonts w:ascii="Times New Roman"/>
                <w:color w:val="auto"/>
              </w:rPr>
            </w:pPr>
            <w:r>
              <w:rPr>
                <w:rFonts w:hint="eastAsia" w:ascii="Times New Roman"/>
                <w:color w:val="auto"/>
              </w:rPr>
              <w:t>查阅《排污许可证申请与核发技术规范 锅炉》（HJ953-2018）表3可知，项目生产设施属于燃生物质颗粒锅炉，推荐可行性污染防治设施为袋式除尘、旋风除尘技术，故本项目布袋除尘器措施可行。</w:t>
            </w:r>
          </w:p>
          <w:p w14:paraId="4FE75BF5">
            <w:pPr>
              <w:spacing w:line="360" w:lineRule="auto"/>
              <w:ind w:firstLine="482" w:firstLineChars="200"/>
              <w:jc w:val="left"/>
              <w:rPr>
                <w:bCs/>
                <w:color w:val="auto"/>
                <w:sz w:val="24"/>
              </w:rPr>
            </w:pPr>
            <w:r>
              <w:rPr>
                <w:rFonts w:hint="eastAsia" w:ascii="Calibri" w:hAnsi="Calibri" w:cs="Calibri"/>
                <w:b/>
                <w:bCs/>
                <w:color w:val="auto"/>
                <w:sz w:val="24"/>
                <w:lang w:val="en-US" w:eastAsia="zh-CN" w:bidi="ar"/>
              </w:rPr>
              <w:t>5</w:t>
            </w:r>
            <w:r>
              <w:rPr>
                <w:rFonts w:hint="eastAsia" w:ascii="宋体" w:hAnsi="宋体" w:cs="宋体"/>
                <w:b/>
                <w:bCs/>
                <w:color w:val="auto"/>
                <w:sz w:val="24"/>
                <w:lang w:bidi="ar"/>
              </w:rPr>
              <w:t>、排气筒高度设置合理性分析</w:t>
            </w:r>
          </w:p>
          <w:p w14:paraId="79BFA8D5">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本项目设有组织排气筒1个，锅炉房排气筒（DA001），根据工程分析，项目排气筒排放的各污染物排放浓度均符合相关排放标准要求。</w:t>
            </w:r>
          </w:p>
          <w:p w14:paraId="48BCE39F">
            <w:pPr>
              <w:spacing w:line="360" w:lineRule="auto"/>
              <w:ind w:firstLine="480"/>
              <w:jc w:val="left"/>
              <w:rPr>
                <w:rFonts w:hint="default" w:ascii="Times New Roman" w:hAnsi="Times New Roman" w:cs="Times New Roman"/>
                <w:color w:val="auto"/>
                <w:sz w:val="24"/>
              </w:rPr>
            </w:pPr>
            <w:r>
              <w:rPr>
                <w:rFonts w:hint="default" w:ascii="Times New Roman" w:hAnsi="Times New Roman" w:cs="Times New Roman"/>
                <w:color w:val="auto"/>
                <w:sz w:val="24"/>
                <w:lang w:bidi="ar"/>
              </w:rPr>
              <w:t>本项目大气污染物排放执行《锅炉大气污染物排放标准》（GB13271-2014），根据《锅炉大气污染物排放标准》（GB13271-2014）要求：“燃煤锅炉烟囱（</w:t>
            </w:r>
            <w:r>
              <w:rPr>
                <w:rFonts w:hint="default" w:ascii="Times New Roman" w:hAnsi="Times New Roman" w:cs="Times New Roman"/>
                <w:color w:val="auto"/>
                <w:sz w:val="24"/>
                <w:lang w:val="en-US" w:eastAsia="zh-CN" w:bidi="ar"/>
              </w:rPr>
              <w:t>4</w:t>
            </w:r>
            <w:r>
              <w:rPr>
                <w:rFonts w:hint="default" w:ascii="Times New Roman" w:hAnsi="Times New Roman" w:cs="Times New Roman"/>
                <w:color w:val="auto"/>
                <w:sz w:val="24"/>
                <w:lang w:bidi="ar"/>
              </w:rPr>
              <w:t>-</w:t>
            </w:r>
            <w:r>
              <w:rPr>
                <w:rFonts w:hint="default" w:ascii="Times New Roman" w:hAnsi="Times New Roman" w:cs="Times New Roman"/>
                <w:color w:val="auto"/>
                <w:sz w:val="24"/>
                <w:lang w:val="en-US" w:eastAsia="zh-CN" w:bidi="ar"/>
              </w:rPr>
              <w:t>10</w:t>
            </w:r>
            <w:r>
              <w:rPr>
                <w:rFonts w:hint="default" w:ascii="Times New Roman" w:hAnsi="Times New Roman" w:cs="Times New Roman"/>
                <w:color w:val="auto"/>
                <w:sz w:val="24"/>
                <w:lang w:bidi="ar"/>
              </w:rPr>
              <w:t>t/h锅炉）不低于</w:t>
            </w:r>
            <w:r>
              <w:rPr>
                <w:rFonts w:hint="default" w:ascii="Times New Roman" w:hAnsi="Times New Roman" w:cs="Times New Roman"/>
                <w:color w:val="auto"/>
                <w:sz w:val="24"/>
                <w:lang w:val="en-US" w:eastAsia="zh-CN" w:bidi="ar"/>
              </w:rPr>
              <w:t>35</w:t>
            </w:r>
            <w:r>
              <w:rPr>
                <w:rFonts w:hint="default" w:ascii="Times New Roman" w:hAnsi="Times New Roman" w:cs="Times New Roman"/>
                <w:color w:val="auto"/>
                <w:sz w:val="24"/>
                <w:lang w:bidi="ar"/>
              </w:rPr>
              <w:t>米，新建锅炉房的烟囱周围半径200m距离内有建筑物时，其烟囱应高出最高建筑物3m以上”。</w:t>
            </w:r>
          </w:p>
          <w:p w14:paraId="11752880">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lang w:bidi="ar"/>
              </w:rPr>
              <w:t>根据现场踏勘，厂区现有烟囱高度为25m，项目周围200m半径范围内的建筑物最高15m（办公楼，四层建筑，高度为15m），因此，本环评建议厂区将烟囱加高至</w:t>
            </w:r>
            <w:r>
              <w:rPr>
                <w:rFonts w:hint="default" w:ascii="Times New Roman" w:hAnsi="Times New Roman" w:cs="Times New Roman"/>
                <w:color w:val="auto"/>
                <w:sz w:val="24"/>
                <w:lang w:val="en-US" w:eastAsia="zh-CN" w:bidi="ar"/>
              </w:rPr>
              <w:t>35</w:t>
            </w:r>
            <w:r>
              <w:rPr>
                <w:rFonts w:hint="default" w:ascii="Times New Roman" w:hAnsi="Times New Roman" w:cs="Times New Roman"/>
                <w:color w:val="auto"/>
                <w:sz w:val="24"/>
                <w:lang w:bidi="ar"/>
              </w:rPr>
              <w:t>m，加高后排气筒高度满足《锅炉大气污染物排放标准》（GB13271-2014）中关于排气筒高度的要求。</w:t>
            </w:r>
          </w:p>
          <w:p w14:paraId="569F72E4">
            <w:pPr>
              <w:spacing w:line="360" w:lineRule="auto"/>
              <w:ind w:firstLine="480"/>
              <w:jc w:val="left"/>
              <w:rPr>
                <w:rFonts w:hint="eastAsia" w:ascii="宋体" w:hAnsi="宋体" w:cs="宋体"/>
                <w:color w:val="auto"/>
                <w:sz w:val="24"/>
              </w:rPr>
            </w:pPr>
            <w:r>
              <w:rPr>
                <w:rFonts w:hint="eastAsia" w:ascii="宋体" w:hAnsi="宋体" w:cs="宋体"/>
                <w:color w:val="auto"/>
                <w:sz w:val="24"/>
                <w:lang w:bidi="ar"/>
              </w:rPr>
              <w:t>综上所述，项目拟设置的排气筒高度合理。</w:t>
            </w:r>
          </w:p>
          <w:p w14:paraId="6682C0E5">
            <w:pPr>
              <w:spacing w:line="360" w:lineRule="auto"/>
              <w:ind w:firstLine="482" w:firstLineChars="200"/>
              <w:jc w:val="left"/>
              <w:rPr>
                <w:rFonts w:hint="eastAsia" w:eastAsia="宋体"/>
                <w:bCs/>
                <w:color w:val="auto"/>
                <w:sz w:val="24"/>
                <w:lang w:eastAsia="zh-CN"/>
              </w:rPr>
            </w:pPr>
            <w:r>
              <w:rPr>
                <w:rFonts w:hint="eastAsia" w:ascii="Calibri" w:hAnsi="Calibri" w:cs="Calibri"/>
                <w:b/>
                <w:bCs/>
                <w:color w:val="auto"/>
                <w:sz w:val="24"/>
                <w:lang w:val="en-US" w:eastAsia="zh-CN" w:bidi="ar"/>
              </w:rPr>
              <w:t>6</w:t>
            </w:r>
            <w:r>
              <w:rPr>
                <w:rFonts w:hint="eastAsia" w:ascii="宋体" w:hAnsi="宋体" w:cs="宋体"/>
                <w:b/>
                <w:bCs/>
                <w:color w:val="auto"/>
                <w:sz w:val="24"/>
                <w:lang w:bidi="ar"/>
              </w:rPr>
              <w:t>、</w:t>
            </w:r>
            <w:r>
              <w:rPr>
                <w:rFonts w:hint="eastAsia" w:ascii="宋体" w:hAnsi="宋体" w:cs="宋体"/>
                <w:b/>
                <w:bCs/>
                <w:color w:val="auto"/>
                <w:sz w:val="24"/>
                <w:lang w:eastAsia="zh-CN" w:bidi="ar"/>
              </w:rPr>
              <w:t>总量核算分析</w:t>
            </w:r>
          </w:p>
          <w:p w14:paraId="5E82750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根据《排污许可证申请与核发技术规范一锅炉》(HJ953-2018)中基准烟气量</w:t>
            </w:r>
            <w:r>
              <w:rPr>
                <w:rFonts w:hint="eastAsia" w:cs="Times New Roman"/>
                <w:color w:val="auto"/>
                <w:kern w:val="0"/>
                <w:sz w:val="24"/>
                <w:szCs w:val="24"/>
                <w:lang w:val="en-US" w:eastAsia="zh-CN" w:bidi="ar"/>
              </w:rPr>
              <w:t>及允许排放量。</w:t>
            </w:r>
          </w:p>
          <w:p w14:paraId="4648F77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项目热值为</w:t>
            </w:r>
            <w:r>
              <w:rPr>
                <w:rFonts w:hint="eastAsia" w:ascii="Times New Roman" w:hAnsi="Times New Roman" w:eastAsia="宋体" w:cs="Times New Roman"/>
                <w:color w:val="auto"/>
                <w:kern w:val="0"/>
                <w:sz w:val="24"/>
                <w:szCs w:val="24"/>
                <w:u w:val="single"/>
                <w:lang w:val="en-US" w:eastAsia="zh-CN" w:bidi="ar"/>
              </w:rPr>
              <w:t>3500</w:t>
            </w:r>
            <w:r>
              <w:rPr>
                <w:rFonts w:hint="default" w:ascii="Times New Roman" w:hAnsi="Times New Roman" w:eastAsia="宋体" w:cs="Times New Roman"/>
                <w:color w:val="auto"/>
                <w:kern w:val="0"/>
                <w:sz w:val="24"/>
                <w:szCs w:val="24"/>
                <w:u w:val="single"/>
                <w:lang w:val="en-US" w:eastAsia="zh-CN" w:bidi="ar"/>
              </w:rPr>
              <w:t>K</w:t>
            </w:r>
            <w:r>
              <w:rPr>
                <w:rFonts w:hint="default" w:ascii="Times New Roman" w:hAnsi="Times New Roman" w:cs="Times New Roman"/>
                <w:color w:val="auto"/>
                <w:kern w:val="0"/>
                <w:sz w:val="24"/>
                <w:szCs w:val="24"/>
                <w:lang w:val="en-US" w:eastAsia="zh-CN" w:bidi="ar"/>
              </w:rPr>
              <w:t>cal/kg</w:t>
            </w:r>
            <w:r>
              <w:rPr>
                <w:rFonts w:hint="eastAsia" w:ascii="Times New Roman" w:hAnsi="Times New Roman" w:cs="Times New Roman"/>
                <w:color w:val="auto"/>
                <w:kern w:val="0"/>
                <w:sz w:val="24"/>
                <w:szCs w:val="24"/>
                <w:lang w:val="en-US" w:eastAsia="zh-CN" w:bidi="ar"/>
              </w:rPr>
              <w:t>（14.5MJ</w:t>
            </w:r>
            <w:r>
              <w:rPr>
                <w:rFonts w:hint="default" w:ascii="Times New Roman" w:hAnsi="Times New Roman" w:cs="Times New Roman"/>
                <w:color w:val="auto"/>
                <w:kern w:val="0"/>
                <w:sz w:val="24"/>
                <w:szCs w:val="24"/>
                <w:lang w:val="en-US" w:eastAsia="zh-CN" w:bidi="ar"/>
              </w:rPr>
              <w:t>/kg</w:t>
            </w:r>
            <w:r>
              <w:rPr>
                <w:rFonts w:hint="eastAsia" w:ascii="Times New Roman" w:hAnsi="Times New Roman" w:cs="Times New Roman"/>
                <w:color w:val="auto"/>
                <w:kern w:val="0"/>
                <w:sz w:val="24"/>
                <w:szCs w:val="24"/>
                <w:lang w:val="en-US" w:eastAsia="zh-CN" w:bidi="ar"/>
              </w:rPr>
              <w:t>），项目基准烟气量=</w:t>
            </w:r>
            <w:r>
              <w:rPr>
                <w:rFonts w:hint="default" w:ascii="Times New Roman" w:hAnsi="Times New Roman" w:cs="Times New Roman"/>
                <w:color w:val="auto"/>
                <w:kern w:val="0"/>
                <w:sz w:val="24"/>
                <w:szCs w:val="24"/>
                <w:lang w:val="en-US" w:eastAsia="zh-CN" w:bidi="ar"/>
              </w:rPr>
              <w:t>0.</w:t>
            </w:r>
            <w:r>
              <w:rPr>
                <w:rFonts w:hint="eastAsia" w:ascii="Times New Roman" w:hAnsi="Times New Roman" w:cs="Times New Roman"/>
                <w:color w:val="auto"/>
                <w:kern w:val="0"/>
                <w:sz w:val="24"/>
                <w:szCs w:val="24"/>
                <w:lang w:val="en-US" w:eastAsia="zh-CN" w:bidi="ar"/>
              </w:rPr>
              <w:t>385</w:t>
            </w:r>
            <w:r>
              <w:rPr>
                <w:rFonts w:hint="default" w:ascii="Times New Roman" w:hAnsi="Times New Roman" w:cs="Times New Roman"/>
                <w:color w:val="auto"/>
                <w:kern w:val="0"/>
                <w:sz w:val="24"/>
                <w:szCs w:val="24"/>
                <w:lang w:val="en-US" w:eastAsia="zh-CN" w:bidi="ar"/>
              </w:rPr>
              <w:t>net</w:t>
            </w:r>
            <w:r>
              <w:rPr>
                <w:rFonts w:hint="eastAsia" w:ascii="Times New Roman" w:hAnsi="Times New Roman" w:cs="Times New Roman"/>
                <w:color w:val="auto"/>
                <w:kern w:val="0"/>
                <w:sz w:val="24"/>
                <w:szCs w:val="24"/>
                <w:lang w:val="en-US" w:eastAsia="zh-CN" w:bidi="ar"/>
              </w:rPr>
              <w:t xml:space="preserve"> </w:t>
            </w:r>
            <w:r>
              <w:rPr>
                <w:rFonts w:hint="default" w:ascii="Times New Roman" w:hAnsi="Times New Roman" w:cs="Times New Roman"/>
                <w:color w:val="auto"/>
                <w:kern w:val="0"/>
                <w:sz w:val="24"/>
                <w:szCs w:val="24"/>
                <w:lang w:val="en-US" w:eastAsia="zh-CN" w:bidi="ar"/>
              </w:rPr>
              <w:t>ar +</w:t>
            </w:r>
            <w:r>
              <w:rPr>
                <w:rFonts w:hint="eastAsia" w:ascii="Times New Roman" w:hAnsi="Times New Roman" w:cs="Times New Roman"/>
                <w:color w:val="auto"/>
                <w:kern w:val="0"/>
                <w:sz w:val="24"/>
                <w:szCs w:val="24"/>
                <w:lang w:val="en-US" w:eastAsia="zh-CN" w:bidi="ar"/>
              </w:rPr>
              <w:t>1.095，核算得到6677.5标立方米</w:t>
            </w:r>
            <w:r>
              <w:rPr>
                <w:rFonts w:hint="default" w:ascii="Times New Roman" w:hAnsi="Times New Roman" w:cs="Times New Roman"/>
                <w:color w:val="auto"/>
                <w:kern w:val="0"/>
                <w:sz w:val="24"/>
                <w:szCs w:val="24"/>
                <w:lang w:val="en-US" w:eastAsia="zh-CN" w:bidi="ar"/>
              </w:rPr>
              <w:t>/</w:t>
            </w:r>
            <w:r>
              <w:rPr>
                <w:rFonts w:hint="eastAsia" w:ascii="Times New Roman" w:hAnsi="Times New Roman" w:cs="Times New Roman"/>
                <w:color w:val="auto"/>
                <w:kern w:val="0"/>
                <w:sz w:val="24"/>
                <w:szCs w:val="24"/>
                <w:lang w:val="en-US" w:eastAsia="zh-CN" w:bidi="ar"/>
              </w:rPr>
              <w:t>kg</w:t>
            </w:r>
            <w:r>
              <w:rPr>
                <w:rFonts w:hint="default" w:ascii="Times New Roman" w:hAnsi="Times New Roman" w:cs="Times New Roman"/>
                <w:color w:val="auto"/>
                <w:kern w:val="0"/>
                <w:sz w:val="24"/>
                <w:szCs w:val="24"/>
                <w:lang w:val="en-US" w:eastAsia="zh-CN" w:bidi="ar"/>
              </w:rPr>
              <w:t>-</w:t>
            </w:r>
            <w:r>
              <w:rPr>
                <w:rFonts w:hint="eastAsia" w:ascii="Times New Roman" w:hAnsi="Times New Roman" w:cs="Times New Roman"/>
                <w:color w:val="auto"/>
                <w:kern w:val="0"/>
                <w:sz w:val="24"/>
                <w:szCs w:val="24"/>
                <w:lang w:val="en-US" w:eastAsia="zh-CN" w:bidi="ar"/>
              </w:rPr>
              <w:t>原料。</w:t>
            </w:r>
            <w:r>
              <w:rPr>
                <w:rFonts w:hint="default" w:cs="Times New Roman"/>
                <w:color w:val="auto"/>
                <w:kern w:val="0"/>
                <w:sz w:val="24"/>
                <w:szCs w:val="24"/>
                <w:lang w:val="en-US" w:eastAsia="zh-CN" w:bidi="ar"/>
              </w:rPr>
              <w:t>固体燃料锅炉的废气污染物</w:t>
            </w:r>
            <w:r>
              <w:rPr>
                <w:rFonts w:hint="eastAsia" w:cs="Times New Roman"/>
                <w:color w:val="auto"/>
                <w:kern w:val="0"/>
                <w:sz w:val="24"/>
                <w:szCs w:val="24"/>
                <w:lang w:val="en-US" w:eastAsia="zh-CN" w:bidi="ar"/>
              </w:rPr>
              <w:t>（</w:t>
            </w:r>
            <w:r>
              <w:rPr>
                <w:rFonts w:hint="default" w:cs="Times New Roman"/>
                <w:color w:val="auto"/>
                <w:kern w:val="0"/>
                <w:sz w:val="24"/>
                <w:szCs w:val="24"/>
                <w:lang w:val="en-US" w:eastAsia="zh-CN" w:bidi="ar"/>
              </w:rPr>
              <w:t>颗粒物、二氧化硫、氮氧化物</w:t>
            </w:r>
            <w:r>
              <w:rPr>
                <w:rFonts w:hint="eastAsia" w:cs="Times New Roman"/>
                <w:color w:val="auto"/>
                <w:kern w:val="0"/>
                <w:sz w:val="24"/>
                <w:szCs w:val="24"/>
                <w:lang w:val="en-US" w:eastAsia="zh-CN" w:bidi="ar"/>
              </w:rPr>
              <w:t>）</w:t>
            </w:r>
            <w:r>
              <w:rPr>
                <w:rFonts w:hint="default" w:cs="Times New Roman"/>
                <w:color w:val="auto"/>
                <w:kern w:val="0"/>
                <w:sz w:val="24"/>
                <w:szCs w:val="24"/>
                <w:lang w:val="en-US" w:eastAsia="zh-CN" w:bidi="ar"/>
              </w:rPr>
              <w:t>年许可排放量按式计算。</w:t>
            </w:r>
          </w:p>
          <w:p w14:paraId="2C9698A1">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pPr>
            <w:r>
              <w:drawing>
                <wp:inline distT="0" distB="0" distL="114300" distR="114300">
                  <wp:extent cx="2743200" cy="485775"/>
                  <wp:effectExtent l="0" t="0" r="0" b="9525"/>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25"/>
                          <a:stretch>
                            <a:fillRect/>
                          </a:stretch>
                        </pic:blipFill>
                        <pic:spPr>
                          <a:xfrm>
                            <a:off x="0" y="0"/>
                            <a:ext cx="2743200" cy="485775"/>
                          </a:xfrm>
                          <a:prstGeom prst="rect">
                            <a:avLst/>
                          </a:prstGeom>
                          <a:noFill/>
                          <a:ln>
                            <a:noFill/>
                          </a:ln>
                        </pic:spPr>
                      </pic:pic>
                    </a:graphicData>
                  </a:graphic>
                </wp:inline>
              </w:drawing>
            </w:r>
          </w:p>
          <w:p w14:paraId="01AB82A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b w:val="0"/>
                <w:bCs w:val="0"/>
                <w:color w:val="auto"/>
                <w:sz w:val="24"/>
                <w:szCs w:val="24"/>
                <w:lang w:val="en-US" w:eastAsia="zh-CN"/>
              </w:rPr>
            </w:pPr>
            <w:r>
              <w:rPr>
                <w:rFonts w:hint="default"/>
                <w:b w:val="0"/>
                <w:bCs w:val="0"/>
                <w:color w:val="auto"/>
                <w:sz w:val="24"/>
                <w:szCs w:val="24"/>
                <w:lang w:val="en-US" w:eastAsia="zh-CN"/>
              </w:rPr>
              <w:t>式中</w:t>
            </w:r>
            <w:r>
              <w:rPr>
                <w:rFonts w:hint="eastAsia"/>
                <w:b w:val="0"/>
                <w:bCs w:val="0"/>
                <w:color w:val="auto"/>
                <w:sz w:val="24"/>
                <w:szCs w:val="24"/>
                <w:lang w:val="en-US" w:eastAsia="zh-CN"/>
              </w:rPr>
              <w:t>：</w:t>
            </w:r>
            <w:r>
              <w:rPr>
                <w:rFonts w:hint="default"/>
                <w:b w:val="0"/>
                <w:bCs w:val="0"/>
                <w:color w:val="auto"/>
                <w:sz w:val="24"/>
                <w:szCs w:val="24"/>
                <w:lang w:val="en-US" w:eastAsia="zh-CN"/>
              </w:rPr>
              <w:t>E</w:t>
            </w:r>
            <w:r>
              <w:rPr>
                <w:rFonts w:hint="eastAsia"/>
                <w:b w:val="0"/>
                <w:bCs w:val="0"/>
                <w:color w:val="auto"/>
                <w:sz w:val="24"/>
                <w:szCs w:val="24"/>
                <w:vertAlign w:val="subscript"/>
                <w:lang w:val="en-US" w:eastAsia="zh-CN"/>
              </w:rPr>
              <w:t>年许可</w:t>
            </w:r>
            <w:r>
              <w:rPr>
                <w:rFonts w:hint="eastAsia"/>
                <w:b w:val="0"/>
                <w:bCs w:val="0"/>
                <w:color w:val="auto"/>
                <w:sz w:val="24"/>
                <w:szCs w:val="24"/>
                <w:lang w:val="en-US" w:eastAsia="zh-CN"/>
              </w:rPr>
              <w:t>-</w:t>
            </w:r>
            <w:r>
              <w:rPr>
                <w:rFonts w:hint="default"/>
                <w:b w:val="0"/>
                <w:bCs w:val="0"/>
                <w:color w:val="auto"/>
                <w:sz w:val="24"/>
                <w:szCs w:val="24"/>
                <w:lang w:val="en-US" w:eastAsia="zh-CN"/>
              </w:rPr>
              <w:t>锅炉排污单位污染物年许可排放量，吨</w:t>
            </w:r>
            <w:r>
              <w:rPr>
                <w:rFonts w:hint="eastAsia"/>
                <w:b w:val="0"/>
                <w:bCs w:val="0"/>
                <w:color w:val="auto"/>
                <w:sz w:val="24"/>
                <w:szCs w:val="24"/>
                <w:lang w:val="en-US" w:eastAsia="zh-CN"/>
              </w:rPr>
              <w:t>；</w:t>
            </w:r>
          </w:p>
          <w:p w14:paraId="771413E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b w:val="0"/>
                <w:bCs w:val="0"/>
                <w:color w:val="auto"/>
                <w:sz w:val="24"/>
                <w:szCs w:val="24"/>
                <w:lang w:val="en-US" w:eastAsia="zh-CN"/>
              </w:rPr>
            </w:pPr>
            <w:r>
              <w:rPr>
                <w:rFonts w:hint="default"/>
                <w:b w:val="0"/>
                <w:bCs w:val="0"/>
                <w:color w:val="auto"/>
                <w:sz w:val="24"/>
                <w:szCs w:val="24"/>
                <w:lang w:val="en-US" w:eastAsia="zh-CN"/>
              </w:rPr>
              <w:t>C</w:t>
            </w:r>
            <w:r>
              <w:rPr>
                <w:rFonts w:hint="default"/>
                <w:b w:val="0"/>
                <w:bCs w:val="0"/>
                <w:color w:val="auto"/>
                <w:sz w:val="24"/>
                <w:szCs w:val="24"/>
                <w:vertAlign w:val="subscript"/>
                <w:lang w:val="en-US" w:eastAsia="zh-CN"/>
              </w:rPr>
              <w:t>i</w:t>
            </w:r>
            <w:r>
              <w:rPr>
                <w:rFonts w:hint="default"/>
                <w:b w:val="0"/>
                <w:bCs w:val="0"/>
                <w:color w:val="auto"/>
                <w:sz w:val="24"/>
                <w:szCs w:val="24"/>
                <w:lang w:val="en-US" w:eastAsia="zh-CN"/>
              </w:rPr>
              <w:t>-第i个主要排放口污染物排放标准浓度限值，毫克/立方米</w:t>
            </w:r>
            <w:r>
              <w:rPr>
                <w:rFonts w:hint="eastAsia"/>
                <w:b w:val="0"/>
                <w:bCs w:val="0"/>
                <w:color w:val="auto"/>
                <w:sz w:val="24"/>
                <w:szCs w:val="24"/>
                <w:lang w:val="en-US" w:eastAsia="zh-CN"/>
              </w:rPr>
              <w:t>；根据排放标准，项目颗粒物、二氧化硫、氮氧化物的</w:t>
            </w:r>
            <w:r>
              <w:rPr>
                <w:rFonts w:hint="default"/>
                <w:b w:val="0"/>
                <w:bCs w:val="0"/>
                <w:color w:val="auto"/>
                <w:sz w:val="24"/>
                <w:szCs w:val="24"/>
                <w:lang w:val="en-US" w:eastAsia="zh-CN"/>
              </w:rPr>
              <w:t>标准浓度限值</w:t>
            </w:r>
            <w:r>
              <w:rPr>
                <w:rFonts w:hint="eastAsia"/>
                <w:b w:val="0"/>
                <w:bCs w:val="0"/>
                <w:color w:val="auto"/>
                <w:sz w:val="24"/>
                <w:szCs w:val="24"/>
                <w:lang w:val="en-US" w:eastAsia="zh-CN"/>
              </w:rPr>
              <w:t>分别为50</w:t>
            </w:r>
            <w:r>
              <w:rPr>
                <w:rFonts w:hint="eastAsia" w:ascii="Times New Roman" w:hAnsi="Times New Roman" w:eastAsia="宋体" w:cs="Times New Roman"/>
                <w:b w:val="0"/>
                <w:bCs w:val="0"/>
                <w:color w:val="auto"/>
                <w:kern w:val="0"/>
                <w:sz w:val="24"/>
                <w:szCs w:val="24"/>
                <w:u w:val="none"/>
                <w:vertAlign w:val="baseline"/>
                <w:lang w:val="en-US" w:eastAsia="zh-CN" w:bidi="ar"/>
              </w:rPr>
              <w:t>mg/m</w:t>
            </w:r>
            <w:r>
              <w:rPr>
                <w:rFonts w:hint="eastAsia" w:ascii="Times New Roman" w:hAnsi="Times New Roman" w:eastAsia="宋体" w:cs="Times New Roman"/>
                <w:b w:val="0"/>
                <w:bCs w:val="0"/>
                <w:color w:val="auto"/>
                <w:kern w:val="0"/>
                <w:sz w:val="24"/>
                <w:szCs w:val="24"/>
                <w:u w:val="none"/>
                <w:vertAlign w:val="superscript"/>
                <w:lang w:val="en-US" w:eastAsia="zh-CN" w:bidi="ar"/>
              </w:rPr>
              <w:t>3</w:t>
            </w:r>
            <w:r>
              <w:rPr>
                <w:rFonts w:hint="eastAsia"/>
                <w:b w:val="0"/>
                <w:bCs w:val="0"/>
                <w:color w:val="auto"/>
                <w:sz w:val="24"/>
                <w:szCs w:val="24"/>
                <w:lang w:val="en-US" w:eastAsia="zh-CN"/>
              </w:rPr>
              <w:t>、300</w:t>
            </w:r>
            <w:r>
              <w:rPr>
                <w:rFonts w:hint="eastAsia" w:ascii="Times New Roman" w:hAnsi="Times New Roman" w:eastAsia="宋体" w:cs="Times New Roman"/>
                <w:b w:val="0"/>
                <w:bCs w:val="0"/>
                <w:color w:val="auto"/>
                <w:kern w:val="0"/>
                <w:sz w:val="24"/>
                <w:szCs w:val="24"/>
                <w:u w:val="none"/>
                <w:vertAlign w:val="baseline"/>
                <w:lang w:val="en-US" w:eastAsia="zh-CN" w:bidi="ar"/>
              </w:rPr>
              <w:t>mg/m</w:t>
            </w:r>
            <w:r>
              <w:rPr>
                <w:rFonts w:hint="eastAsia" w:ascii="Times New Roman" w:hAnsi="Times New Roman" w:eastAsia="宋体" w:cs="Times New Roman"/>
                <w:b w:val="0"/>
                <w:bCs w:val="0"/>
                <w:color w:val="auto"/>
                <w:kern w:val="0"/>
                <w:sz w:val="24"/>
                <w:szCs w:val="24"/>
                <w:u w:val="none"/>
                <w:vertAlign w:val="superscript"/>
                <w:lang w:val="en-US" w:eastAsia="zh-CN" w:bidi="ar"/>
              </w:rPr>
              <w:t>3</w:t>
            </w:r>
            <w:r>
              <w:rPr>
                <w:rFonts w:hint="eastAsia"/>
                <w:b w:val="0"/>
                <w:bCs w:val="0"/>
                <w:color w:val="auto"/>
                <w:sz w:val="24"/>
                <w:szCs w:val="24"/>
                <w:lang w:val="en-US" w:eastAsia="zh-CN"/>
              </w:rPr>
              <w:t>、300</w:t>
            </w:r>
            <w:r>
              <w:rPr>
                <w:rFonts w:hint="eastAsia" w:ascii="Times New Roman" w:hAnsi="Times New Roman" w:eastAsia="宋体" w:cs="Times New Roman"/>
                <w:b w:val="0"/>
                <w:bCs w:val="0"/>
                <w:color w:val="auto"/>
                <w:kern w:val="0"/>
                <w:sz w:val="24"/>
                <w:szCs w:val="24"/>
                <w:u w:val="none"/>
                <w:vertAlign w:val="baseline"/>
                <w:lang w:val="en-US" w:eastAsia="zh-CN" w:bidi="ar"/>
              </w:rPr>
              <w:t>mg/m</w:t>
            </w:r>
            <w:r>
              <w:rPr>
                <w:rFonts w:hint="eastAsia" w:ascii="Times New Roman" w:hAnsi="Times New Roman" w:eastAsia="宋体" w:cs="Times New Roman"/>
                <w:b w:val="0"/>
                <w:bCs w:val="0"/>
                <w:color w:val="auto"/>
                <w:kern w:val="0"/>
                <w:sz w:val="24"/>
                <w:szCs w:val="24"/>
                <w:u w:val="none"/>
                <w:vertAlign w:val="superscript"/>
                <w:lang w:val="en-US" w:eastAsia="zh-CN" w:bidi="ar"/>
              </w:rPr>
              <w:t>3</w:t>
            </w:r>
            <w:r>
              <w:rPr>
                <w:rFonts w:hint="eastAsia"/>
                <w:b w:val="0"/>
                <w:bCs w:val="0"/>
                <w:color w:val="auto"/>
                <w:sz w:val="24"/>
                <w:szCs w:val="24"/>
                <w:lang w:val="en-US" w:eastAsia="zh-CN"/>
              </w:rPr>
              <w:t>。</w:t>
            </w:r>
          </w:p>
          <w:p w14:paraId="59B00BB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b w:val="0"/>
                <w:bCs w:val="0"/>
                <w:color w:val="auto"/>
                <w:sz w:val="24"/>
                <w:szCs w:val="24"/>
                <w:lang w:val="en-US" w:eastAsia="zh-CN"/>
              </w:rPr>
            </w:pPr>
            <w:r>
              <w:rPr>
                <w:rFonts w:hint="default"/>
                <w:b w:val="0"/>
                <w:bCs w:val="0"/>
                <w:color w:val="auto"/>
                <w:sz w:val="24"/>
                <w:szCs w:val="24"/>
                <w:lang w:val="en-US" w:eastAsia="zh-CN"/>
              </w:rPr>
              <w:t>Vi-第i个主要排放口基准烟气量，标立方米/千克或标立方米/立方米</w:t>
            </w:r>
            <w:r>
              <w:rPr>
                <w:rFonts w:hint="eastAsia"/>
                <w:b w:val="0"/>
                <w:bCs w:val="0"/>
                <w:color w:val="auto"/>
                <w:sz w:val="24"/>
                <w:szCs w:val="24"/>
                <w:lang w:val="en-US" w:eastAsia="zh-CN"/>
              </w:rPr>
              <w:t>；</w:t>
            </w:r>
          </w:p>
          <w:p w14:paraId="4ED3D4E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b w:val="0"/>
                <w:bCs w:val="0"/>
                <w:color w:val="auto"/>
                <w:sz w:val="24"/>
                <w:szCs w:val="24"/>
                <w:lang w:val="en-US" w:eastAsia="zh-CN"/>
              </w:rPr>
            </w:pPr>
            <w:r>
              <w:rPr>
                <w:rFonts w:hint="default"/>
                <w:b w:val="0"/>
                <w:bCs w:val="0"/>
                <w:color w:val="auto"/>
                <w:sz w:val="24"/>
                <w:szCs w:val="24"/>
                <w:lang w:val="en-US" w:eastAsia="zh-CN"/>
              </w:rPr>
              <w:t>R</w:t>
            </w:r>
            <w:r>
              <w:rPr>
                <w:rFonts w:hint="eastAsia"/>
                <w:b w:val="0"/>
                <w:bCs w:val="0"/>
                <w:color w:val="auto"/>
                <w:sz w:val="24"/>
                <w:szCs w:val="24"/>
                <w:lang w:val="en-US" w:eastAsia="zh-CN"/>
              </w:rPr>
              <w:t>；</w:t>
            </w:r>
            <w:r>
              <w:rPr>
                <w:rFonts w:hint="default"/>
                <w:b w:val="0"/>
                <w:bCs w:val="0"/>
                <w:color w:val="auto"/>
                <w:sz w:val="24"/>
                <w:szCs w:val="24"/>
                <w:lang w:val="en-US" w:eastAsia="zh-CN"/>
              </w:rPr>
              <w:t>-第i个主要排放口所对应的锅炉前三年年平均燃料使用量(未投运或投运不满一年的锅炉按照设计年燃料使用量进行选取，投运满一年但未满三年的锅炉按运行周期年平均燃料使用量选取，当前三年或周期年年平均燃料使用量超过设计燃料使用量时，按设计燃料使用量选取)，</w:t>
            </w:r>
            <w:r>
              <w:rPr>
                <w:rFonts w:hint="eastAsia"/>
                <w:b w:val="0"/>
                <w:bCs w:val="0"/>
                <w:color w:val="auto"/>
                <w:sz w:val="24"/>
                <w:szCs w:val="24"/>
                <w:lang w:val="en-US" w:eastAsia="zh-CN"/>
              </w:rPr>
              <w:t>本项目按设计使用量2200t计算：</w:t>
            </w:r>
          </w:p>
          <w:p w14:paraId="617459C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b w:val="0"/>
                <w:bCs w:val="0"/>
                <w:color w:val="auto"/>
                <w:sz w:val="24"/>
                <w:szCs w:val="24"/>
                <w:lang w:val="en-US" w:eastAsia="zh-CN"/>
              </w:rPr>
            </w:pPr>
            <w:r>
              <w:rPr>
                <w:rFonts w:hint="default"/>
                <w:b w:val="0"/>
                <w:bCs w:val="0"/>
                <w:color w:val="auto"/>
                <w:sz w:val="24"/>
                <w:szCs w:val="24"/>
                <w:lang w:val="en-US" w:eastAsia="zh-CN"/>
              </w:rPr>
              <w:t>6</w:t>
            </w:r>
            <w:r>
              <w:rPr>
                <w:rFonts w:hint="eastAsia"/>
                <w:b w:val="0"/>
                <w:bCs w:val="0"/>
                <w:color w:val="auto"/>
                <w:sz w:val="24"/>
                <w:szCs w:val="24"/>
                <w:lang w:val="en-US" w:eastAsia="zh-CN"/>
              </w:rPr>
              <w:t>：</w:t>
            </w:r>
            <w:r>
              <w:rPr>
                <w:rFonts w:hint="default"/>
                <w:b w:val="0"/>
                <w:bCs w:val="0"/>
                <w:color w:val="auto"/>
                <w:sz w:val="24"/>
                <w:szCs w:val="24"/>
                <w:lang w:val="en-US" w:eastAsia="zh-CN"/>
              </w:rPr>
              <w:t>-第i个主要排放口所对应的大气污染物许可排放量调整系数，</w:t>
            </w:r>
            <w:r>
              <w:rPr>
                <w:rFonts w:hint="eastAsia"/>
                <w:b w:val="0"/>
                <w:bCs w:val="0"/>
                <w:color w:val="auto"/>
                <w:sz w:val="24"/>
                <w:szCs w:val="24"/>
                <w:lang w:val="en-US" w:eastAsia="zh-CN"/>
              </w:rPr>
              <w:t>颗粒物、二氧化硫、氮氧化物分别取值1、0.8、1</w:t>
            </w:r>
            <w:r>
              <w:rPr>
                <w:rFonts w:hint="default"/>
                <w:b w:val="0"/>
                <w:bCs w:val="0"/>
                <w:color w:val="auto"/>
                <w:sz w:val="24"/>
                <w:szCs w:val="24"/>
                <w:lang w:val="en-US" w:eastAsia="zh-CN"/>
              </w:rPr>
              <w:t>。</w:t>
            </w:r>
          </w:p>
          <w:p w14:paraId="6B8FCDA5">
            <w:pPr>
              <w:pStyle w:val="33"/>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根据</w:t>
            </w:r>
            <w:r>
              <w:rPr>
                <w:rFonts w:hint="eastAsia" w:ascii="Times New Roman" w:hAnsi="Times New Roman" w:eastAsia="宋体" w:cs="Times New Roman"/>
                <w:color w:val="auto"/>
                <w:kern w:val="0"/>
                <w:sz w:val="24"/>
                <w:szCs w:val="24"/>
                <w:lang w:val="en-US" w:eastAsia="zh-CN" w:bidi="ar"/>
              </w:rPr>
              <w:t>《排污许可证申请与核发技术规范一锅炉》(HJ953-2018)</w:t>
            </w:r>
            <w:r>
              <w:rPr>
                <w:rFonts w:hint="default" w:ascii="Times New Roman" w:hAnsi="Times New Roman" w:cs="Times New Roman"/>
                <w:color w:val="auto"/>
                <w:sz w:val="24"/>
                <w:szCs w:val="24"/>
                <w:lang w:val="en-US" w:eastAsia="zh-CN"/>
              </w:rPr>
              <w:t>，核算项目锅炉废气二氧化硫、氮氧化物、颗粒物允许排放总量为</w:t>
            </w:r>
            <w:r>
              <w:rPr>
                <w:rFonts w:hint="eastAsia" w:ascii="Times New Roman" w:hAnsi="Times New Roman" w:cs="Times New Roman"/>
                <w:color w:val="auto"/>
                <w:sz w:val="24"/>
                <w:szCs w:val="24"/>
                <w:lang w:val="en-US" w:eastAsia="zh-CN"/>
              </w:rPr>
              <w:t>3.5257</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4.40715</w:t>
            </w:r>
            <w:r>
              <w:rPr>
                <w:rFonts w:hint="default" w:ascii="Times New Roman" w:hAnsi="Times New Roman" w:cs="Times New Roman"/>
                <w:color w:val="auto"/>
                <w:sz w:val="24"/>
                <w:szCs w:val="24"/>
                <w:lang w:val="en-US" w:eastAsia="zh-CN"/>
              </w:rPr>
              <w:t>t/a、</w:t>
            </w:r>
            <w:r>
              <w:rPr>
                <w:rFonts w:hint="eastAsia" w:ascii="Times New Roman" w:hAnsi="Times New Roman" w:cs="Times New Roman"/>
                <w:color w:val="auto"/>
                <w:sz w:val="24"/>
                <w:szCs w:val="24"/>
                <w:lang w:val="en-US" w:eastAsia="zh-CN"/>
              </w:rPr>
              <w:t>0.7345</w:t>
            </w:r>
            <w:r>
              <w:rPr>
                <w:rFonts w:hint="default" w:ascii="Times New Roman" w:hAnsi="Times New Roman" w:cs="Times New Roman"/>
                <w:color w:val="auto"/>
                <w:sz w:val="24"/>
                <w:szCs w:val="24"/>
                <w:lang w:val="en-US" w:eastAsia="zh-CN"/>
              </w:rPr>
              <w:t>t/a。</w:t>
            </w:r>
          </w:p>
          <w:p w14:paraId="3E077E1A">
            <w:pPr>
              <w:pStyle w:val="33"/>
              <w:adjustRightInd/>
              <w:spacing w:line="360" w:lineRule="auto"/>
              <w:ind w:firstLine="482" w:firstLineChars="200"/>
              <w:rPr>
                <w:rFonts w:ascii="Times New Roman" w:cs="Times New Roman"/>
                <w:b/>
                <w:bCs/>
                <w:color w:val="auto"/>
              </w:rPr>
            </w:pPr>
            <w:r>
              <w:rPr>
                <w:rFonts w:hint="eastAsia" w:ascii="Times New Roman" w:cs="Times New Roman"/>
                <w:b/>
                <w:bCs/>
                <w:color w:val="auto"/>
                <w:lang w:val="en-US" w:eastAsia="zh-CN"/>
              </w:rPr>
              <w:t>7</w:t>
            </w:r>
            <w:r>
              <w:rPr>
                <w:rFonts w:hint="eastAsia" w:ascii="Times New Roman" w:cs="Times New Roman"/>
                <w:b/>
                <w:bCs/>
                <w:color w:val="auto"/>
              </w:rPr>
              <w:t>、小结</w:t>
            </w:r>
          </w:p>
          <w:p w14:paraId="407D8D27">
            <w:pPr>
              <w:pStyle w:val="33"/>
              <w:adjustRightInd/>
              <w:spacing w:line="360" w:lineRule="auto"/>
              <w:ind w:firstLine="480" w:firstLineChars="200"/>
              <w:rPr>
                <w:rFonts w:ascii="Times New Roman" w:cs="Times New Roman"/>
                <w:color w:val="auto"/>
              </w:rPr>
            </w:pPr>
            <w:r>
              <w:rPr>
                <w:rFonts w:ascii="Times New Roman" w:cs="Times New Roman"/>
                <w:color w:val="auto"/>
              </w:rPr>
              <w:t>综上所述，本评价认为本项目运营过程中所产生的废气均能得到有效处置，废气处理措施合理可行</w:t>
            </w:r>
            <w:r>
              <w:rPr>
                <w:rFonts w:hint="eastAsia" w:ascii="Times New Roman" w:cs="Times New Roman"/>
                <w:color w:val="auto"/>
              </w:rPr>
              <w:t>，对周边环境影响可接受。</w:t>
            </w:r>
          </w:p>
          <w:p w14:paraId="2B9CE59D">
            <w:pPr>
              <w:adjustRightInd w:val="0"/>
              <w:snapToGrid w:val="0"/>
              <w:spacing w:line="360" w:lineRule="auto"/>
              <w:ind w:firstLine="482" w:firstLineChars="200"/>
              <w:rPr>
                <w:b/>
                <w:color w:val="auto"/>
                <w:sz w:val="24"/>
              </w:rPr>
            </w:pPr>
            <w:r>
              <w:rPr>
                <w:rFonts w:hint="eastAsia"/>
                <w:b/>
                <w:color w:val="auto"/>
                <w:sz w:val="24"/>
              </w:rPr>
              <w:t>二、废水</w:t>
            </w:r>
          </w:p>
          <w:p w14:paraId="3D2186B6">
            <w:pPr>
              <w:adjustRightInd w:val="0"/>
              <w:snapToGrid w:val="0"/>
              <w:spacing w:line="360" w:lineRule="auto"/>
              <w:ind w:firstLine="482" w:firstLineChars="200"/>
              <w:rPr>
                <w:b/>
                <w:color w:val="auto"/>
                <w:sz w:val="24"/>
              </w:rPr>
            </w:pPr>
            <w:r>
              <w:rPr>
                <w:rFonts w:hint="eastAsia"/>
                <w:b/>
                <w:color w:val="auto"/>
                <w:sz w:val="24"/>
              </w:rPr>
              <w:t>1、废水源强</w:t>
            </w:r>
          </w:p>
          <w:p w14:paraId="4A39C351">
            <w:pPr>
              <w:pStyle w:val="31"/>
              <w:ind w:firstLine="480"/>
              <w:rPr>
                <w:color w:val="auto"/>
                <w:u w:val="single"/>
              </w:rPr>
            </w:pPr>
            <w:r>
              <w:rPr>
                <w:rFonts w:hint="eastAsia" w:hAnsi="宋体"/>
                <w:color w:val="auto"/>
                <w:u w:val="single"/>
              </w:rPr>
              <w:t>项目排水系统实行“清污分流、雨污分流”，</w:t>
            </w:r>
            <w:r>
              <w:rPr>
                <w:rFonts w:hint="eastAsia"/>
                <w:color w:val="auto"/>
                <w:u w:val="single"/>
              </w:rPr>
              <w:t>本项目营运期产生的废水主要是洗脱过程中排放的洗涤废水、软水制备浓水</w:t>
            </w:r>
            <w:r>
              <w:rPr>
                <w:rFonts w:hint="eastAsia"/>
                <w:color w:val="auto"/>
                <w:u w:val="single"/>
                <w:lang w:eastAsia="zh-CN"/>
              </w:rPr>
              <w:t>、锅炉定期排放浓水、地面清洁废水</w:t>
            </w:r>
            <w:r>
              <w:rPr>
                <w:rFonts w:hint="eastAsia"/>
                <w:color w:val="auto"/>
                <w:u w:val="single"/>
              </w:rPr>
              <w:t>和员工的生活污水。</w:t>
            </w:r>
          </w:p>
          <w:p w14:paraId="2506D40B">
            <w:pPr>
              <w:pStyle w:val="31"/>
              <w:ind w:firstLine="480"/>
              <w:rPr>
                <w:color w:val="auto"/>
                <w:u w:val="single"/>
              </w:rPr>
            </w:pPr>
            <w:r>
              <w:rPr>
                <w:rFonts w:hint="eastAsia"/>
                <w:color w:val="auto"/>
                <w:u w:val="single"/>
              </w:rPr>
              <w:t>（1）洗涤废水</w:t>
            </w:r>
          </w:p>
          <w:p w14:paraId="120166C4">
            <w:pPr>
              <w:pStyle w:val="31"/>
              <w:ind w:firstLine="480"/>
              <w:rPr>
                <w:rFonts w:hint="eastAsia" w:eastAsia="宋体"/>
                <w:color w:val="auto"/>
                <w:u w:val="single"/>
                <w:lang w:eastAsia="zh-CN"/>
              </w:rPr>
            </w:pPr>
            <w:r>
              <w:rPr>
                <w:rFonts w:hint="eastAsia"/>
                <w:color w:val="auto"/>
                <w:u w:val="single"/>
              </w:rPr>
              <w:t>根据业主提供的相关技术资料，</w:t>
            </w:r>
            <w:r>
              <w:rPr>
                <w:rFonts w:hint="eastAsia"/>
                <w:color w:val="auto"/>
                <w:u w:val="single"/>
                <w:lang w:eastAsia="zh-CN"/>
              </w:rPr>
              <w:t>洗涤废水</w:t>
            </w:r>
            <w:r>
              <w:rPr>
                <w:rFonts w:hint="eastAsia"/>
                <w:color w:val="auto"/>
                <w:u w:val="single"/>
              </w:rPr>
              <w:t>排放量为生产用水量的90%，则洗涤废水产生量为</w:t>
            </w:r>
            <w:r>
              <w:rPr>
                <w:rFonts w:hint="eastAsia"/>
                <w:color w:val="auto"/>
                <w:u w:val="single"/>
                <w:lang w:val="en-US" w:eastAsia="zh-CN"/>
              </w:rPr>
              <w:t>51</w:t>
            </w:r>
            <w:r>
              <w:rPr>
                <w:rFonts w:hint="eastAsia"/>
                <w:color w:val="auto"/>
                <w:u w:val="single"/>
              </w:rPr>
              <w:t>m</w:t>
            </w:r>
            <w:r>
              <w:rPr>
                <w:rFonts w:hint="eastAsia"/>
                <w:color w:val="auto"/>
                <w:u w:val="single"/>
                <w:vertAlign w:val="superscript"/>
              </w:rPr>
              <w:t>3</w:t>
            </w:r>
            <w:r>
              <w:rPr>
                <w:rFonts w:hint="eastAsia"/>
                <w:color w:val="auto"/>
                <w:u w:val="single"/>
              </w:rPr>
              <w:t>/d（约</w:t>
            </w:r>
            <w:r>
              <w:rPr>
                <w:rFonts w:hint="eastAsia"/>
                <w:color w:val="auto"/>
                <w:u w:val="single"/>
                <w:lang w:eastAsia="zh-CN"/>
              </w:rPr>
              <w:t>18360</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lang w:eastAsia="zh-CN"/>
              </w:rPr>
              <w:t>。</w:t>
            </w:r>
          </w:p>
          <w:p w14:paraId="5AD02C97">
            <w:pPr>
              <w:pStyle w:val="31"/>
              <w:ind w:firstLine="480"/>
              <w:rPr>
                <w:color w:val="auto"/>
              </w:rPr>
            </w:pPr>
            <w:r>
              <w:rPr>
                <w:rFonts w:hint="eastAsia"/>
                <w:color w:val="auto"/>
              </w:rPr>
              <w:t>洗涤所用清洗剂、漂洗剂等均不含磷，根据企业早期进行的废水站进口水质监测结果，项目布草洗涤车间排放废水各污染因子浓度，具体为COD：299mg/L，氨氮：未检测，SS：74mg/L，LAS：0.2</w:t>
            </w:r>
            <w:r>
              <w:rPr>
                <w:rFonts w:hint="eastAsia"/>
                <w:color w:val="auto"/>
                <w:lang w:val="en-US" w:eastAsia="zh-CN"/>
              </w:rPr>
              <w:t>2</w:t>
            </w:r>
            <w:r>
              <w:rPr>
                <w:rFonts w:hint="eastAsia"/>
                <w:color w:val="auto"/>
              </w:rPr>
              <w:t>mg/L。根据企业</w:t>
            </w:r>
            <w:r>
              <w:rPr>
                <w:rFonts w:hint="eastAsia"/>
                <w:color w:val="auto"/>
                <w:lang w:eastAsia="zh-CN"/>
              </w:rPr>
              <w:t>验收</w:t>
            </w:r>
            <w:r>
              <w:rPr>
                <w:rFonts w:hint="eastAsia"/>
                <w:bCs/>
                <w:color w:val="auto"/>
              </w:rPr>
              <w:t>监测报告，企业洗涤废水经废水处理站处理后排放浓度为：</w:t>
            </w:r>
            <w:r>
              <w:rPr>
                <w:rFonts w:hint="eastAsia"/>
                <w:color w:val="auto"/>
              </w:rPr>
              <w:t>COD：152mg/L，氨氮：7.06mg/L，SS：37mg/L，LAS：0.2</w:t>
            </w:r>
            <w:r>
              <w:rPr>
                <w:rFonts w:hint="eastAsia"/>
                <w:color w:val="auto"/>
                <w:lang w:val="en-US" w:eastAsia="zh-CN"/>
              </w:rPr>
              <w:t>0</w:t>
            </w:r>
            <w:r>
              <w:rPr>
                <w:rFonts w:hint="eastAsia"/>
                <w:color w:val="auto"/>
              </w:rPr>
              <w:t>mg/L</w:t>
            </w:r>
          </w:p>
          <w:p w14:paraId="7F4B9051">
            <w:pPr>
              <w:pStyle w:val="31"/>
              <w:ind w:firstLine="480"/>
              <w:rPr>
                <w:color w:val="auto"/>
              </w:rPr>
            </w:pPr>
            <w:r>
              <w:rPr>
                <w:rFonts w:hint="eastAsia"/>
                <w:color w:val="auto"/>
              </w:rPr>
              <w:t>本建设项目洗涤废水经处理后须达到《医疗机构水污染物排放标准》（GB18466-2005）中表2预处理排放标准与</w:t>
            </w:r>
            <w:r>
              <w:rPr>
                <w:color w:val="auto"/>
              </w:rPr>
              <w:t>《污水综合排放标准》（GB8978-1996）表4中三级标准</w:t>
            </w:r>
            <w:r>
              <w:rPr>
                <w:rFonts w:hint="eastAsia"/>
                <w:color w:val="auto"/>
              </w:rPr>
              <w:t>两者中较严者，通过厂区北侧污水排放口排至市政管网，纳入衡阳西渡高新区污水处理厂深度处理后排入蒸水，尾水排放可达《城镇污水处理厂污染物排放标准》（GB18918-2002）中的一级A标准。</w:t>
            </w:r>
          </w:p>
          <w:p w14:paraId="642068B6">
            <w:pPr>
              <w:pStyle w:val="31"/>
              <w:ind w:firstLine="480"/>
              <w:rPr>
                <w:color w:val="auto"/>
                <w:u w:val="single"/>
              </w:rPr>
            </w:pPr>
            <w:r>
              <w:rPr>
                <w:rFonts w:hint="eastAsia"/>
                <w:color w:val="auto"/>
                <w:u w:val="single"/>
              </w:rPr>
              <w:t>（</w:t>
            </w:r>
            <w:r>
              <w:rPr>
                <w:rFonts w:hint="eastAsia"/>
                <w:color w:val="auto"/>
                <w:u w:val="single"/>
                <w:lang w:val="en-US" w:eastAsia="zh-CN"/>
              </w:rPr>
              <w:t>2</w:t>
            </w:r>
            <w:r>
              <w:rPr>
                <w:rFonts w:hint="eastAsia"/>
                <w:color w:val="auto"/>
                <w:u w:val="single"/>
              </w:rPr>
              <w:t>）</w:t>
            </w:r>
            <w:r>
              <w:rPr>
                <w:rFonts w:hint="eastAsia"/>
                <w:color w:val="auto"/>
                <w:u w:val="single"/>
                <w:lang w:eastAsia="zh-CN"/>
              </w:rPr>
              <w:t>锅炉定期排放浓水</w:t>
            </w:r>
          </w:p>
          <w:p w14:paraId="67B8F033">
            <w:pPr>
              <w:pStyle w:val="31"/>
              <w:ind w:firstLine="480"/>
              <w:rPr>
                <w:rFonts w:hint="eastAsia"/>
                <w:color w:val="auto"/>
                <w:u w:val="single"/>
                <w:lang w:eastAsia="zh-CN"/>
              </w:rPr>
            </w:pPr>
            <w:r>
              <w:rPr>
                <w:rFonts w:hint="eastAsia"/>
                <w:color w:val="auto"/>
                <w:u w:val="single"/>
                <w:lang w:eastAsia="zh-CN"/>
              </w:rPr>
              <w:t>锅炉定期排放浓水</w:t>
            </w:r>
            <w:r>
              <w:rPr>
                <w:rFonts w:hint="eastAsia"/>
                <w:color w:val="auto"/>
                <w:u w:val="single"/>
              </w:rPr>
              <w:t>产生量为</w:t>
            </w:r>
            <w:r>
              <w:rPr>
                <w:rFonts w:hint="eastAsia"/>
                <w:color w:val="auto"/>
                <w:u w:val="single"/>
                <w:lang w:val="en-US" w:eastAsia="zh-CN"/>
              </w:rPr>
              <w:t>0.64</w:t>
            </w:r>
            <w:r>
              <w:rPr>
                <w:rFonts w:hint="eastAsia"/>
                <w:color w:val="auto"/>
                <w:u w:val="single"/>
              </w:rPr>
              <w:t>m</w:t>
            </w:r>
            <w:r>
              <w:rPr>
                <w:rFonts w:hint="eastAsia"/>
                <w:color w:val="auto"/>
                <w:u w:val="single"/>
                <w:vertAlign w:val="superscript"/>
              </w:rPr>
              <w:t>3</w:t>
            </w:r>
            <w:r>
              <w:rPr>
                <w:rFonts w:hint="eastAsia"/>
                <w:color w:val="auto"/>
                <w:u w:val="single"/>
              </w:rPr>
              <w:t>/d（约</w:t>
            </w:r>
            <w:r>
              <w:rPr>
                <w:rFonts w:hint="eastAsia"/>
                <w:color w:val="auto"/>
                <w:u w:val="single"/>
                <w:lang w:val="en-US" w:eastAsia="zh-CN"/>
              </w:rPr>
              <w:t>230.4</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lang w:eastAsia="zh-CN"/>
              </w:rPr>
              <w:t>，排入厂区雨水管网，后进入市政雨水管网。</w:t>
            </w:r>
          </w:p>
          <w:p w14:paraId="061BD007">
            <w:pPr>
              <w:pStyle w:val="31"/>
              <w:ind w:firstLine="480"/>
              <w:rPr>
                <w:rFonts w:hint="eastAsia"/>
                <w:color w:val="auto"/>
                <w:u w:val="single"/>
                <w:lang w:eastAsia="zh-CN"/>
              </w:rPr>
            </w:pPr>
            <w:r>
              <w:rPr>
                <w:rFonts w:hint="eastAsia"/>
                <w:color w:val="auto"/>
                <w:u w:val="single"/>
              </w:rPr>
              <w:t>（</w:t>
            </w:r>
            <w:r>
              <w:rPr>
                <w:rFonts w:hint="eastAsia"/>
                <w:color w:val="auto"/>
                <w:u w:val="single"/>
                <w:lang w:val="en-US" w:eastAsia="zh-CN"/>
              </w:rPr>
              <w:t>3</w:t>
            </w:r>
            <w:r>
              <w:rPr>
                <w:rFonts w:hint="eastAsia"/>
                <w:color w:val="auto"/>
                <w:u w:val="single"/>
              </w:rPr>
              <w:t>）</w:t>
            </w:r>
            <w:r>
              <w:rPr>
                <w:rFonts w:hint="eastAsia"/>
                <w:color w:val="auto"/>
                <w:u w:val="single"/>
                <w:lang w:eastAsia="zh-CN"/>
              </w:rPr>
              <w:t>软水制备浓水</w:t>
            </w:r>
          </w:p>
          <w:p w14:paraId="2B4E02C0">
            <w:pPr>
              <w:pStyle w:val="31"/>
              <w:ind w:firstLine="480"/>
              <w:rPr>
                <w:rFonts w:hint="eastAsia"/>
                <w:color w:val="auto"/>
                <w:u w:val="single"/>
                <w:lang w:eastAsia="zh-CN"/>
              </w:rPr>
            </w:pPr>
            <w:r>
              <w:rPr>
                <w:rFonts w:hint="eastAsia"/>
                <w:color w:val="auto"/>
                <w:u w:val="single"/>
              </w:rPr>
              <w:t>软水制备产生浓水量为</w:t>
            </w:r>
            <w:r>
              <w:rPr>
                <w:rFonts w:hint="eastAsia"/>
                <w:color w:val="auto"/>
                <w:u w:val="single"/>
                <w:lang w:eastAsia="zh-CN"/>
              </w:rPr>
              <w:t>5.647</w:t>
            </w:r>
            <w:r>
              <w:rPr>
                <w:rFonts w:hint="eastAsia"/>
                <w:color w:val="auto"/>
                <w:u w:val="single"/>
              </w:rPr>
              <w:t>m</w:t>
            </w:r>
            <w:r>
              <w:rPr>
                <w:rFonts w:hint="eastAsia"/>
                <w:color w:val="auto"/>
                <w:u w:val="single"/>
                <w:vertAlign w:val="superscript"/>
              </w:rPr>
              <w:t>3</w:t>
            </w:r>
            <w:r>
              <w:rPr>
                <w:rFonts w:hint="eastAsia"/>
                <w:color w:val="auto"/>
                <w:u w:val="single"/>
              </w:rPr>
              <w:t>/d（</w:t>
            </w:r>
            <w:r>
              <w:rPr>
                <w:rFonts w:hint="eastAsia"/>
                <w:color w:val="auto"/>
                <w:u w:val="single"/>
                <w:lang w:eastAsia="zh-CN"/>
              </w:rPr>
              <w:t>2032.92</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lang w:eastAsia="zh-CN"/>
              </w:rPr>
              <w:t>，部分用于地面保洁，剩余部分排入厂区雨水管网5.</w:t>
            </w:r>
            <w:r>
              <w:rPr>
                <w:rFonts w:hint="eastAsia"/>
                <w:color w:val="auto"/>
                <w:u w:val="single"/>
                <w:lang w:val="en-US" w:eastAsia="zh-CN"/>
              </w:rPr>
              <w:t>287</w:t>
            </w:r>
            <w:r>
              <w:rPr>
                <w:rFonts w:hint="eastAsia"/>
                <w:color w:val="auto"/>
                <w:u w:val="single"/>
              </w:rPr>
              <w:t>m</w:t>
            </w:r>
            <w:r>
              <w:rPr>
                <w:rFonts w:hint="eastAsia"/>
                <w:color w:val="auto"/>
                <w:u w:val="single"/>
                <w:vertAlign w:val="superscript"/>
              </w:rPr>
              <w:t>3</w:t>
            </w:r>
            <w:r>
              <w:rPr>
                <w:rFonts w:hint="eastAsia"/>
                <w:color w:val="auto"/>
                <w:u w:val="single"/>
              </w:rPr>
              <w:t>/d（</w:t>
            </w:r>
            <w:r>
              <w:rPr>
                <w:rFonts w:hint="eastAsia"/>
                <w:color w:val="auto"/>
                <w:u w:val="single"/>
                <w:lang w:val="en-US" w:eastAsia="zh-CN"/>
              </w:rPr>
              <w:t>1903.32</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lang w:eastAsia="zh-CN"/>
              </w:rPr>
              <w:t>，后进入市政雨水管网。</w:t>
            </w:r>
          </w:p>
          <w:p w14:paraId="1F497388">
            <w:pPr>
              <w:pStyle w:val="31"/>
              <w:ind w:firstLine="480"/>
              <w:rPr>
                <w:rFonts w:hint="eastAsia" w:eastAsia="宋体"/>
                <w:color w:val="auto"/>
                <w:u w:val="single"/>
                <w:lang w:eastAsia="zh-CN"/>
              </w:rPr>
            </w:pPr>
            <w:r>
              <w:rPr>
                <w:rFonts w:hint="eastAsia"/>
                <w:color w:val="auto"/>
                <w:u w:val="single"/>
              </w:rPr>
              <w:t>（</w:t>
            </w:r>
            <w:r>
              <w:rPr>
                <w:rFonts w:hint="eastAsia"/>
                <w:color w:val="auto"/>
                <w:u w:val="single"/>
                <w:lang w:val="en-US" w:eastAsia="zh-CN"/>
              </w:rPr>
              <w:t>4</w:t>
            </w:r>
            <w:r>
              <w:rPr>
                <w:rFonts w:hint="eastAsia"/>
                <w:color w:val="auto"/>
                <w:u w:val="single"/>
              </w:rPr>
              <w:t>）</w:t>
            </w:r>
            <w:r>
              <w:rPr>
                <w:rFonts w:hint="eastAsia"/>
                <w:color w:val="auto"/>
                <w:u w:val="single"/>
                <w:lang w:eastAsia="zh-CN"/>
              </w:rPr>
              <w:t>地面保洁废水</w:t>
            </w:r>
          </w:p>
          <w:p w14:paraId="08D3F7A0">
            <w:pPr>
              <w:pStyle w:val="31"/>
              <w:ind w:firstLine="480"/>
              <w:rPr>
                <w:rFonts w:hint="eastAsia"/>
                <w:color w:val="auto"/>
              </w:rPr>
            </w:pPr>
            <w:r>
              <w:rPr>
                <w:rFonts w:hint="eastAsia"/>
                <w:color w:val="auto"/>
                <w:u w:val="single"/>
                <w:lang w:eastAsia="zh-CN"/>
              </w:rPr>
              <w:t>项目地面保洁用水来源于软水制备产生的浓水</w:t>
            </w:r>
            <w:r>
              <w:rPr>
                <w:rFonts w:hint="eastAsia"/>
                <w:color w:val="auto"/>
                <w:u w:val="single"/>
                <w:lang w:val="en-US" w:eastAsia="zh-CN"/>
              </w:rPr>
              <w:t>0.36</w:t>
            </w:r>
            <w:r>
              <w:rPr>
                <w:rFonts w:hint="eastAsia"/>
                <w:color w:val="auto"/>
                <w:u w:val="single"/>
              </w:rPr>
              <w:t>m</w:t>
            </w:r>
            <w:r>
              <w:rPr>
                <w:rFonts w:hint="eastAsia"/>
                <w:color w:val="auto"/>
                <w:u w:val="single"/>
                <w:vertAlign w:val="superscript"/>
              </w:rPr>
              <w:t>3</w:t>
            </w:r>
            <w:r>
              <w:rPr>
                <w:rFonts w:hint="eastAsia"/>
                <w:color w:val="auto"/>
                <w:u w:val="single"/>
              </w:rPr>
              <w:t>/d（</w:t>
            </w:r>
            <w:r>
              <w:rPr>
                <w:rFonts w:hint="eastAsia"/>
                <w:color w:val="auto"/>
                <w:u w:val="single"/>
                <w:lang w:val="en-US" w:eastAsia="zh-CN"/>
              </w:rPr>
              <w:t>129.6</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lang w:eastAsia="zh-CN"/>
              </w:rPr>
              <w:t>，采用拖洗方式，无废水排放。</w:t>
            </w:r>
          </w:p>
          <w:p w14:paraId="10EC701C">
            <w:pPr>
              <w:pStyle w:val="31"/>
              <w:ind w:firstLine="480"/>
              <w:rPr>
                <w:rFonts w:hint="eastAsia" w:eastAsia="宋体"/>
                <w:color w:val="auto"/>
                <w:lang w:eastAsia="zh-CN"/>
              </w:rPr>
            </w:pPr>
            <w:r>
              <w:rPr>
                <w:rFonts w:hint="eastAsia"/>
                <w:color w:val="auto"/>
              </w:rPr>
              <w:t>（</w:t>
            </w:r>
            <w:r>
              <w:rPr>
                <w:rFonts w:hint="eastAsia"/>
                <w:color w:val="auto"/>
                <w:lang w:val="en-US" w:eastAsia="zh-CN"/>
              </w:rPr>
              <w:t>5</w:t>
            </w:r>
            <w:r>
              <w:rPr>
                <w:rFonts w:hint="eastAsia"/>
                <w:color w:val="auto"/>
              </w:rPr>
              <w:t>）生活</w:t>
            </w:r>
            <w:r>
              <w:rPr>
                <w:rFonts w:hint="eastAsia"/>
                <w:color w:val="auto"/>
                <w:lang w:eastAsia="zh-CN"/>
              </w:rPr>
              <w:t>污水</w:t>
            </w:r>
          </w:p>
          <w:p w14:paraId="59959F3D">
            <w:pPr>
              <w:pStyle w:val="31"/>
              <w:ind w:firstLine="480"/>
              <w:rPr>
                <w:color w:val="auto"/>
              </w:rPr>
            </w:pPr>
            <w:r>
              <w:rPr>
                <w:rFonts w:hint="eastAsia"/>
                <w:color w:val="auto"/>
              </w:rPr>
              <w:t>本项目新增</w:t>
            </w:r>
            <w:r>
              <w:rPr>
                <w:color w:val="auto"/>
              </w:rPr>
              <w:t>职工定员</w:t>
            </w:r>
            <w:r>
              <w:rPr>
                <w:rFonts w:hint="eastAsia"/>
                <w:color w:val="auto"/>
              </w:rPr>
              <w:t>50</w:t>
            </w:r>
            <w:r>
              <w:rPr>
                <w:color w:val="auto"/>
              </w:rPr>
              <w:t>人</w:t>
            </w:r>
            <w:r>
              <w:rPr>
                <w:rFonts w:hint="eastAsia"/>
                <w:color w:val="auto"/>
              </w:rPr>
              <w:t>，厂区食宿员工20人，</w:t>
            </w:r>
            <w:r>
              <w:rPr>
                <w:color w:val="auto"/>
              </w:rPr>
              <w:t>年工作时间为</w:t>
            </w:r>
            <w:r>
              <w:rPr>
                <w:rFonts w:hint="eastAsia"/>
                <w:color w:val="auto"/>
              </w:rPr>
              <w:t>360</w:t>
            </w:r>
            <w:r>
              <w:rPr>
                <w:color w:val="auto"/>
              </w:rPr>
              <w:t>天，</w:t>
            </w:r>
            <w:r>
              <w:rPr>
                <w:rFonts w:hint="eastAsia"/>
                <w:color w:val="auto"/>
              </w:rPr>
              <w:t>生活污水产生量按用水量的80%计，则生活污水量为</w:t>
            </w:r>
            <w:r>
              <w:rPr>
                <w:rFonts w:hint="eastAsia" w:hAnsi="宋体"/>
                <w:color w:val="auto"/>
              </w:rPr>
              <w:t>3.232</w:t>
            </w:r>
            <w:r>
              <w:rPr>
                <w:rFonts w:hAnsi="宋体"/>
                <w:color w:val="auto"/>
              </w:rPr>
              <w:t>m</w:t>
            </w:r>
            <w:r>
              <w:rPr>
                <w:rFonts w:hAnsi="宋体"/>
                <w:color w:val="auto"/>
                <w:vertAlign w:val="superscript"/>
              </w:rPr>
              <w:t>3</w:t>
            </w:r>
            <w:r>
              <w:rPr>
                <w:rFonts w:hAnsi="宋体"/>
                <w:color w:val="auto"/>
              </w:rPr>
              <w:t>/d</w:t>
            </w:r>
            <w:r>
              <w:rPr>
                <w:rFonts w:hint="eastAsia"/>
                <w:color w:val="auto"/>
              </w:rPr>
              <w:t>（</w:t>
            </w:r>
            <w:r>
              <w:rPr>
                <w:rFonts w:hint="eastAsia" w:hAnsi="宋体"/>
                <w:color w:val="auto"/>
              </w:rPr>
              <w:t>1163.52</w:t>
            </w:r>
            <w:r>
              <w:rPr>
                <w:rFonts w:hAnsi="宋体"/>
                <w:color w:val="auto"/>
              </w:rPr>
              <w:t>m</w:t>
            </w:r>
            <w:r>
              <w:rPr>
                <w:rFonts w:hAnsi="宋体"/>
                <w:color w:val="auto"/>
                <w:vertAlign w:val="superscript"/>
              </w:rPr>
              <w:t>3</w:t>
            </w:r>
            <w:r>
              <w:rPr>
                <w:rFonts w:hAnsi="宋体"/>
                <w:color w:val="auto"/>
              </w:rPr>
              <w:t>/a</w:t>
            </w:r>
            <w:r>
              <w:rPr>
                <w:rFonts w:hint="eastAsia"/>
                <w:color w:val="auto"/>
              </w:rPr>
              <w:t>）。项目生活污水经化粪池处理后，同处理达标后生产废水一起经厂区北侧的污水排放口排入市镇管网。类比一般生活污水水质，具体为COD：300mg/L，BOD</w:t>
            </w:r>
            <w:r>
              <w:rPr>
                <w:rFonts w:hint="eastAsia"/>
                <w:color w:val="auto"/>
                <w:vertAlign w:val="subscript"/>
              </w:rPr>
              <w:t>5</w:t>
            </w:r>
            <w:r>
              <w:rPr>
                <w:rFonts w:hint="eastAsia"/>
                <w:color w:val="auto"/>
              </w:rPr>
              <w:t>：200mg/L，SS：250mg/L，NH</w:t>
            </w:r>
            <w:r>
              <w:rPr>
                <w:rFonts w:hint="eastAsia"/>
                <w:color w:val="auto"/>
                <w:vertAlign w:val="subscript"/>
              </w:rPr>
              <w:t>3</w:t>
            </w:r>
            <w:r>
              <w:rPr>
                <w:rFonts w:hint="eastAsia"/>
                <w:color w:val="auto"/>
              </w:rPr>
              <w:t>-N：30mg/L。</w:t>
            </w:r>
          </w:p>
          <w:p w14:paraId="5C0AC26C">
            <w:pPr>
              <w:pStyle w:val="31"/>
              <w:ind w:firstLine="480"/>
              <w:rPr>
                <w:color w:val="auto"/>
              </w:rPr>
            </w:pPr>
            <w:r>
              <w:rPr>
                <w:rFonts w:hint="eastAsia"/>
                <w:color w:val="auto"/>
              </w:rPr>
              <w:t>本项目营运期废水产排情况如下表4-6所示。</w:t>
            </w:r>
          </w:p>
          <w:p w14:paraId="23D18C37">
            <w:pPr>
              <w:spacing w:before="120" w:beforeLines="50"/>
              <w:jc w:val="center"/>
              <w:rPr>
                <w:b/>
                <w:color w:val="auto"/>
                <w:szCs w:val="21"/>
              </w:rPr>
            </w:pPr>
            <w:r>
              <w:rPr>
                <w:b/>
                <w:color w:val="auto"/>
                <w:szCs w:val="21"/>
              </w:rPr>
              <w:t>表</w:t>
            </w:r>
            <w:r>
              <w:rPr>
                <w:rFonts w:hint="eastAsia"/>
                <w:b/>
                <w:color w:val="auto"/>
                <w:szCs w:val="21"/>
              </w:rPr>
              <w:t>4-6  废水污染源强核算结果一览表</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82"/>
              <w:gridCol w:w="849"/>
              <w:gridCol w:w="1047"/>
              <w:gridCol w:w="821"/>
              <w:gridCol w:w="773"/>
              <w:gridCol w:w="648"/>
              <w:gridCol w:w="558"/>
              <w:gridCol w:w="537"/>
              <w:gridCol w:w="956"/>
              <w:gridCol w:w="821"/>
              <w:gridCol w:w="773"/>
              <w:gridCol w:w="482"/>
              <w:gridCol w:w="591"/>
            </w:tblGrid>
            <w:tr w14:paraId="3646BE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restart"/>
                  <w:shd w:val="clear" w:color="auto" w:fill="auto"/>
                  <w:vAlign w:val="center"/>
                </w:tcPr>
                <w:p w14:paraId="38FCF1CC">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产污环节</w:t>
                  </w:r>
                </w:p>
              </w:tc>
              <w:tc>
                <w:tcPr>
                  <w:tcW w:w="0" w:type="auto"/>
                  <w:vMerge w:val="restart"/>
                  <w:shd w:val="clear" w:color="auto" w:fill="auto"/>
                  <w:vAlign w:val="center"/>
                </w:tcPr>
                <w:p w14:paraId="5AD4F474">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污染物种类</w:t>
                  </w:r>
                </w:p>
              </w:tc>
              <w:tc>
                <w:tcPr>
                  <w:tcW w:w="0" w:type="auto"/>
                  <w:gridSpan w:val="3"/>
                  <w:vAlign w:val="center"/>
                </w:tcPr>
                <w:p w14:paraId="36B2DBB6">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污染物产生情况</w:t>
                  </w:r>
                </w:p>
              </w:tc>
              <w:tc>
                <w:tcPr>
                  <w:tcW w:w="0" w:type="auto"/>
                  <w:gridSpan w:val="3"/>
                  <w:shd w:val="clear" w:color="auto" w:fill="auto"/>
                  <w:vAlign w:val="center"/>
                </w:tcPr>
                <w:p w14:paraId="06A3993B">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治理措施</w:t>
                  </w:r>
                </w:p>
              </w:tc>
              <w:tc>
                <w:tcPr>
                  <w:tcW w:w="0" w:type="auto"/>
                  <w:gridSpan w:val="3"/>
                  <w:shd w:val="clear" w:color="auto" w:fill="auto"/>
                  <w:vAlign w:val="center"/>
                </w:tcPr>
                <w:p w14:paraId="4D3A242E">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污染物排放情况</w:t>
                  </w:r>
                </w:p>
              </w:tc>
              <w:tc>
                <w:tcPr>
                  <w:tcW w:w="0" w:type="auto"/>
                  <w:vMerge w:val="restart"/>
                  <w:shd w:val="clear" w:color="auto" w:fill="auto"/>
                  <w:vAlign w:val="center"/>
                </w:tcPr>
                <w:p w14:paraId="4A8AD7F2">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排放方式</w:t>
                  </w:r>
                </w:p>
              </w:tc>
              <w:tc>
                <w:tcPr>
                  <w:tcW w:w="0" w:type="auto"/>
                  <w:vMerge w:val="restart"/>
                  <w:shd w:val="clear" w:color="auto" w:fill="auto"/>
                  <w:vAlign w:val="center"/>
                </w:tcPr>
                <w:p w14:paraId="4B8B3395">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排放去向</w:t>
                  </w:r>
                </w:p>
              </w:tc>
            </w:tr>
            <w:tr w14:paraId="6A78EE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530F0EF4">
                  <w:pPr>
                    <w:jc w:val="center"/>
                    <w:rPr>
                      <w:bCs/>
                      <w:color w:val="auto"/>
                      <w:spacing w:val="-10"/>
                      <w:sz w:val="21"/>
                      <w:szCs w:val="21"/>
                    </w:rPr>
                  </w:pPr>
                </w:p>
              </w:tc>
              <w:tc>
                <w:tcPr>
                  <w:tcW w:w="0" w:type="auto"/>
                  <w:vMerge w:val="continue"/>
                  <w:shd w:val="clear" w:color="auto" w:fill="auto"/>
                  <w:vAlign w:val="center"/>
                </w:tcPr>
                <w:p w14:paraId="03BD8162">
                  <w:pPr>
                    <w:jc w:val="center"/>
                    <w:rPr>
                      <w:bCs/>
                      <w:color w:val="auto"/>
                      <w:spacing w:val="-10"/>
                      <w:sz w:val="21"/>
                      <w:szCs w:val="21"/>
                    </w:rPr>
                  </w:pPr>
                </w:p>
              </w:tc>
              <w:tc>
                <w:tcPr>
                  <w:tcW w:w="1047" w:type="dxa"/>
                  <w:shd w:val="clear" w:color="auto" w:fill="auto"/>
                  <w:vAlign w:val="center"/>
                </w:tcPr>
                <w:p w14:paraId="18193ECE">
                  <w:pPr>
                    <w:widowControl/>
                    <w:jc w:val="center"/>
                    <w:textAlignment w:val="center"/>
                    <w:rPr>
                      <w:bCs/>
                      <w:color w:val="auto"/>
                      <w:spacing w:val="-10"/>
                      <w:sz w:val="21"/>
                      <w:szCs w:val="21"/>
                    </w:rPr>
                  </w:pPr>
                  <w:r>
                    <w:rPr>
                      <w:rFonts w:hint="eastAsia" w:ascii="宋体" w:hAnsi="宋体" w:cs="宋体"/>
                      <w:b/>
                      <w:bCs/>
                      <w:color w:val="auto"/>
                      <w:kern w:val="0"/>
                      <w:sz w:val="21"/>
                      <w:szCs w:val="21"/>
                      <w:lang w:bidi="ar"/>
                    </w:rPr>
                    <w:t>废水产生量</w:t>
                  </w:r>
                  <w:r>
                    <w:rPr>
                      <w:b/>
                      <w:bCs/>
                      <w:color w:val="auto"/>
                      <w:kern w:val="0"/>
                      <w:sz w:val="21"/>
                      <w:szCs w:val="21"/>
                      <w:lang w:bidi="ar"/>
                    </w:rPr>
                    <w:t>t/a</w:t>
                  </w:r>
                </w:p>
              </w:tc>
              <w:tc>
                <w:tcPr>
                  <w:tcW w:w="821" w:type="dxa"/>
                  <w:vAlign w:val="center"/>
                </w:tcPr>
                <w:p w14:paraId="1B8B3323">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产生量</w:t>
                  </w:r>
                  <w:r>
                    <w:rPr>
                      <w:b/>
                      <w:bCs/>
                      <w:color w:val="auto"/>
                      <w:kern w:val="0"/>
                      <w:sz w:val="21"/>
                      <w:szCs w:val="21"/>
                      <w:lang w:bidi="ar"/>
                    </w:rPr>
                    <w:t>t/a</w:t>
                  </w:r>
                </w:p>
              </w:tc>
              <w:tc>
                <w:tcPr>
                  <w:tcW w:w="0" w:type="auto"/>
                  <w:shd w:val="clear" w:color="auto" w:fill="auto"/>
                  <w:vAlign w:val="center"/>
                </w:tcPr>
                <w:p w14:paraId="46359870">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产生浓度</w:t>
                  </w:r>
                  <w:r>
                    <w:rPr>
                      <w:b/>
                      <w:bCs/>
                      <w:color w:val="auto"/>
                      <w:kern w:val="0"/>
                      <w:sz w:val="21"/>
                      <w:szCs w:val="21"/>
                      <w:lang w:bidi="ar"/>
                    </w:rPr>
                    <w:t>mg/L</w:t>
                  </w:r>
                </w:p>
              </w:tc>
              <w:tc>
                <w:tcPr>
                  <w:tcW w:w="0" w:type="auto"/>
                  <w:shd w:val="clear" w:color="auto" w:fill="auto"/>
                  <w:vAlign w:val="center"/>
                </w:tcPr>
                <w:p w14:paraId="1125C88C">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工艺</w:t>
                  </w:r>
                </w:p>
              </w:tc>
              <w:tc>
                <w:tcPr>
                  <w:tcW w:w="0" w:type="auto"/>
                  <w:shd w:val="clear" w:color="auto" w:fill="auto"/>
                  <w:vAlign w:val="center"/>
                </w:tcPr>
                <w:p w14:paraId="718B5DC0">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治理效率</w:t>
                  </w:r>
                  <w:r>
                    <w:rPr>
                      <w:b/>
                      <w:bCs/>
                      <w:color w:val="auto"/>
                      <w:kern w:val="0"/>
                      <w:sz w:val="21"/>
                      <w:szCs w:val="21"/>
                      <w:lang w:bidi="ar"/>
                    </w:rPr>
                    <w:t>/%</w:t>
                  </w:r>
                </w:p>
              </w:tc>
              <w:tc>
                <w:tcPr>
                  <w:tcW w:w="0" w:type="auto"/>
                  <w:shd w:val="clear" w:color="auto" w:fill="auto"/>
                  <w:vAlign w:val="center"/>
                </w:tcPr>
                <w:p w14:paraId="0A98861D">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是否为技术可行</w:t>
                  </w:r>
                </w:p>
              </w:tc>
              <w:tc>
                <w:tcPr>
                  <w:tcW w:w="0" w:type="auto"/>
                  <w:shd w:val="clear" w:color="auto" w:fill="auto"/>
                  <w:vAlign w:val="center"/>
                </w:tcPr>
                <w:p w14:paraId="185DC7A7">
                  <w:pPr>
                    <w:widowControl/>
                    <w:jc w:val="center"/>
                    <w:textAlignment w:val="center"/>
                    <w:rPr>
                      <w:bCs/>
                      <w:color w:val="auto"/>
                      <w:spacing w:val="-10"/>
                      <w:sz w:val="21"/>
                      <w:szCs w:val="21"/>
                    </w:rPr>
                  </w:pPr>
                  <w:r>
                    <w:rPr>
                      <w:rFonts w:hint="eastAsia" w:ascii="宋体" w:hAnsi="宋体" w:cs="宋体"/>
                      <w:b/>
                      <w:bCs/>
                      <w:color w:val="auto"/>
                      <w:kern w:val="0"/>
                      <w:sz w:val="21"/>
                      <w:szCs w:val="21"/>
                      <w:lang w:bidi="ar"/>
                    </w:rPr>
                    <w:t>废水排放量</w:t>
                  </w:r>
                  <w:r>
                    <w:rPr>
                      <w:b/>
                      <w:bCs/>
                      <w:color w:val="auto"/>
                      <w:kern w:val="0"/>
                      <w:sz w:val="21"/>
                      <w:szCs w:val="21"/>
                      <w:lang w:bidi="ar"/>
                    </w:rPr>
                    <w:t>t/a</w:t>
                  </w:r>
                </w:p>
              </w:tc>
              <w:tc>
                <w:tcPr>
                  <w:tcW w:w="0" w:type="auto"/>
                  <w:shd w:val="clear" w:color="auto" w:fill="auto"/>
                  <w:vAlign w:val="center"/>
                </w:tcPr>
                <w:p w14:paraId="60C0FF39">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排放量</w:t>
                  </w:r>
                  <w:r>
                    <w:rPr>
                      <w:b/>
                      <w:bCs/>
                      <w:color w:val="auto"/>
                      <w:kern w:val="0"/>
                      <w:sz w:val="21"/>
                      <w:szCs w:val="21"/>
                      <w:lang w:bidi="ar"/>
                    </w:rPr>
                    <w:t>t/a</w:t>
                  </w:r>
                </w:p>
              </w:tc>
              <w:tc>
                <w:tcPr>
                  <w:tcW w:w="0" w:type="auto"/>
                  <w:shd w:val="clear" w:color="auto" w:fill="auto"/>
                  <w:vAlign w:val="center"/>
                </w:tcPr>
                <w:p w14:paraId="670C1854">
                  <w:pPr>
                    <w:widowControl/>
                    <w:jc w:val="center"/>
                    <w:textAlignment w:val="center"/>
                    <w:rPr>
                      <w:b/>
                      <w:bCs/>
                      <w:color w:val="auto"/>
                      <w:spacing w:val="-10"/>
                      <w:sz w:val="21"/>
                      <w:szCs w:val="21"/>
                    </w:rPr>
                  </w:pPr>
                  <w:r>
                    <w:rPr>
                      <w:rFonts w:hint="eastAsia" w:ascii="宋体" w:hAnsi="宋体" w:cs="宋体"/>
                      <w:b/>
                      <w:bCs/>
                      <w:color w:val="auto"/>
                      <w:kern w:val="0"/>
                      <w:sz w:val="21"/>
                      <w:szCs w:val="21"/>
                      <w:lang w:bidi="ar"/>
                    </w:rPr>
                    <w:t>排放浓度</w:t>
                  </w:r>
                  <w:r>
                    <w:rPr>
                      <w:b/>
                      <w:bCs/>
                      <w:color w:val="auto"/>
                      <w:kern w:val="0"/>
                      <w:sz w:val="21"/>
                      <w:szCs w:val="21"/>
                      <w:lang w:bidi="ar"/>
                    </w:rPr>
                    <w:t>mg/L</w:t>
                  </w:r>
                </w:p>
              </w:tc>
              <w:tc>
                <w:tcPr>
                  <w:tcW w:w="0" w:type="auto"/>
                  <w:vMerge w:val="continue"/>
                  <w:shd w:val="clear" w:color="auto" w:fill="auto"/>
                  <w:vAlign w:val="center"/>
                </w:tcPr>
                <w:p w14:paraId="560E3A90">
                  <w:pPr>
                    <w:jc w:val="center"/>
                    <w:rPr>
                      <w:bCs/>
                      <w:color w:val="auto"/>
                      <w:spacing w:val="-10"/>
                      <w:sz w:val="21"/>
                      <w:szCs w:val="21"/>
                    </w:rPr>
                  </w:pPr>
                </w:p>
              </w:tc>
              <w:tc>
                <w:tcPr>
                  <w:tcW w:w="0" w:type="auto"/>
                  <w:vMerge w:val="continue"/>
                  <w:shd w:val="clear" w:color="auto" w:fill="auto"/>
                  <w:vAlign w:val="center"/>
                </w:tcPr>
                <w:p w14:paraId="7AE97D4D">
                  <w:pPr>
                    <w:jc w:val="center"/>
                    <w:rPr>
                      <w:bCs/>
                      <w:color w:val="auto"/>
                      <w:spacing w:val="-10"/>
                      <w:sz w:val="21"/>
                      <w:szCs w:val="21"/>
                    </w:rPr>
                  </w:pPr>
                </w:p>
              </w:tc>
            </w:tr>
            <w:tr w14:paraId="17EB2C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0" w:hRule="atLeast"/>
              </w:trPr>
              <w:tc>
                <w:tcPr>
                  <w:tcW w:w="0" w:type="auto"/>
                  <w:vMerge w:val="restart"/>
                  <w:shd w:val="clear" w:color="auto" w:fill="auto"/>
                  <w:vAlign w:val="center"/>
                </w:tcPr>
                <w:p w14:paraId="3C6C3EA6">
                  <w:pPr>
                    <w:widowControl/>
                    <w:jc w:val="center"/>
                    <w:textAlignment w:val="center"/>
                    <w:rPr>
                      <w:bCs/>
                      <w:color w:val="auto"/>
                      <w:spacing w:val="-10"/>
                      <w:sz w:val="21"/>
                      <w:szCs w:val="21"/>
                    </w:rPr>
                  </w:pPr>
                  <w:r>
                    <w:rPr>
                      <w:rFonts w:hint="eastAsia" w:ascii="宋体" w:hAnsi="宋体" w:cs="宋体"/>
                      <w:color w:val="auto"/>
                      <w:kern w:val="0"/>
                      <w:sz w:val="21"/>
                      <w:szCs w:val="21"/>
                      <w:lang w:bidi="ar"/>
                    </w:rPr>
                    <w:t>生活污水</w:t>
                  </w:r>
                </w:p>
              </w:tc>
              <w:tc>
                <w:tcPr>
                  <w:tcW w:w="0" w:type="auto"/>
                  <w:shd w:val="clear" w:color="auto" w:fill="auto"/>
                  <w:vAlign w:val="center"/>
                </w:tcPr>
                <w:p w14:paraId="1FAC4CA9">
                  <w:pPr>
                    <w:widowControl/>
                    <w:jc w:val="center"/>
                    <w:textAlignment w:val="center"/>
                    <w:rPr>
                      <w:bCs/>
                      <w:color w:val="auto"/>
                      <w:spacing w:val="-10"/>
                      <w:sz w:val="21"/>
                      <w:szCs w:val="21"/>
                    </w:rPr>
                  </w:pPr>
                  <w:r>
                    <w:rPr>
                      <w:color w:val="auto"/>
                      <w:kern w:val="0"/>
                      <w:sz w:val="21"/>
                      <w:szCs w:val="21"/>
                      <w:lang w:bidi="ar"/>
                    </w:rPr>
                    <w:t>COD</w:t>
                  </w:r>
                </w:p>
              </w:tc>
              <w:tc>
                <w:tcPr>
                  <w:tcW w:w="1047" w:type="dxa"/>
                  <w:vMerge w:val="restart"/>
                  <w:shd w:val="clear" w:color="auto" w:fill="auto"/>
                  <w:vAlign w:val="center"/>
                </w:tcPr>
                <w:p w14:paraId="3005A784">
                  <w:pPr>
                    <w:widowControl/>
                    <w:jc w:val="center"/>
                    <w:textAlignment w:val="center"/>
                    <w:rPr>
                      <w:bCs/>
                      <w:color w:val="auto"/>
                      <w:spacing w:val="-10"/>
                      <w:sz w:val="21"/>
                      <w:szCs w:val="21"/>
                    </w:rPr>
                  </w:pPr>
                  <w:r>
                    <w:rPr>
                      <w:color w:val="auto"/>
                      <w:kern w:val="0"/>
                      <w:sz w:val="21"/>
                      <w:szCs w:val="21"/>
                      <w:lang w:bidi="ar"/>
                    </w:rPr>
                    <w:t>1163.52</w:t>
                  </w:r>
                </w:p>
              </w:tc>
              <w:tc>
                <w:tcPr>
                  <w:tcW w:w="821" w:type="dxa"/>
                  <w:vAlign w:val="center"/>
                </w:tcPr>
                <w:p w14:paraId="63F84EAA">
                  <w:pPr>
                    <w:widowControl/>
                    <w:jc w:val="center"/>
                    <w:textAlignment w:val="center"/>
                    <w:rPr>
                      <w:color w:val="auto"/>
                      <w:sz w:val="21"/>
                      <w:szCs w:val="21"/>
                    </w:rPr>
                  </w:pPr>
                  <w:r>
                    <w:rPr>
                      <w:color w:val="auto"/>
                      <w:kern w:val="0"/>
                      <w:sz w:val="21"/>
                      <w:szCs w:val="21"/>
                      <w:lang w:bidi="ar"/>
                    </w:rPr>
                    <w:t xml:space="preserve">0.3258 </w:t>
                  </w:r>
                </w:p>
              </w:tc>
              <w:tc>
                <w:tcPr>
                  <w:tcW w:w="0" w:type="auto"/>
                  <w:shd w:val="clear" w:color="auto" w:fill="auto"/>
                  <w:vAlign w:val="center"/>
                </w:tcPr>
                <w:p w14:paraId="47EEB62F">
                  <w:pPr>
                    <w:widowControl/>
                    <w:jc w:val="center"/>
                    <w:textAlignment w:val="center"/>
                    <w:rPr>
                      <w:bCs/>
                      <w:color w:val="auto"/>
                      <w:spacing w:val="-10"/>
                      <w:sz w:val="21"/>
                      <w:szCs w:val="21"/>
                    </w:rPr>
                  </w:pPr>
                  <w:r>
                    <w:rPr>
                      <w:color w:val="auto"/>
                      <w:kern w:val="0"/>
                      <w:sz w:val="21"/>
                      <w:szCs w:val="21"/>
                      <w:lang w:bidi="ar"/>
                    </w:rPr>
                    <w:t>280</w:t>
                  </w:r>
                </w:p>
              </w:tc>
              <w:tc>
                <w:tcPr>
                  <w:tcW w:w="0" w:type="auto"/>
                  <w:vMerge w:val="restart"/>
                  <w:shd w:val="clear" w:color="auto" w:fill="auto"/>
                  <w:vAlign w:val="center"/>
                </w:tcPr>
                <w:p w14:paraId="2BD00E87">
                  <w:pPr>
                    <w:widowControl/>
                    <w:jc w:val="center"/>
                    <w:textAlignment w:val="center"/>
                    <w:rPr>
                      <w:bCs/>
                      <w:color w:val="auto"/>
                      <w:spacing w:val="-10"/>
                      <w:sz w:val="21"/>
                      <w:szCs w:val="21"/>
                    </w:rPr>
                  </w:pPr>
                  <w:r>
                    <w:rPr>
                      <w:rFonts w:hint="eastAsia" w:ascii="宋体" w:hAnsi="宋体" w:cs="宋体"/>
                      <w:color w:val="auto"/>
                      <w:kern w:val="0"/>
                      <w:sz w:val="21"/>
                      <w:szCs w:val="21"/>
                      <w:lang w:bidi="ar"/>
                    </w:rPr>
                    <w:t>化粪池</w:t>
                  </w:r>
                  <w:r>
                    <w:rPr>
                      <w:color w:val="auto"/>
                      <w:kern w:val="0"/>
                      <w:sz w:val="21"/>
                      <w:szCs w:val="21"/>
                      <w:lang w:bidi="ar"/>
                    </w:rPr>
                    <w:t>+</w:t>
                  </w:r>
                  <w:r>
                    <w:rPr>
                      <w:rFonts w:hint="eastAsia" w:ascii="宋体" w:hAnsi="宋体" w:cs="宋体"/>
                      <w:color w:val="auto"/>
                      <w:kern w:val="0"/>
                      <w:sz w:val="21"/>
                      <w:szCs w:val="21"/>
                      <w:lang w:bidi="ar"/>
                    </w:rPr>
                    <w:t>市政管网</w:t>
                  </w:r>
                  <w:r>
                    <w:rPr>
                      <w:color w:val="auto"/>
                      <w:kern w:val="0"/>
                      <w:sz w:val="21"/>
                      <w:szCs w:val="21"/>
                      <w:lang w:bidi="ar"/>
                    </w:rPr>
                    <w:t>+</w:t>
                  </w:r>
                  <w:r>
                    <w:rPr>
                      <w:rFonts w:hint="eastAsia" w:ascii="宋体" w:hAnsi="宋体" w:cs="宋体"/>
                      <w:color w:val="auto"/>
                      <w:kern w:val="0"/>
                      <w:sz w:val="21"/>
                      <w:szCs w:val="21"/>
                      <w:lang w:bidi="ar"/>
                    </w:rPr>
                    <w:t>污水处理厂</w:t>
                  </w:r>
                </w:p>
              </w:tc>
              <w:tc>
                <w:tcPr>
                  <w:tcW w:w="0" w:type="auto"/>
                  <w:vMerge w:val="restart"/>
                  <w:shd w:val="clear" w:color="auto" w:fill="auto"/>
                  <w:vAlign w:val="center"/>
                </w:tcPr>
                <w:p w14:paraId="67CA28A2">
                  <w:pPr>
                    <w:widowControl/>
                    <w:jc w:val="center"/>
                    <w:textAlignment w:val="center"/>
                    <w:rPr>
                      <w:bCs/>
                      <w:color w:val="auto"/>
                      <w:spacing w:val="-10"/>
                      <w:sz w:val="21"/>
                      <w:szCs w:val="21"/>
                    </w:rPr>
                  </w:pPr>
                  <w:r>
                    <w:rPr>
                      <w:color w:val="auto"/>
                      <w:kern w:val="0"/>
                      <w:sz w:val="21"/>
                      <w:szCs w:val="21"/>
                      <w:lang w:bidi="ar"/>
                    </w:rPr>
                    <w:t>/</w:t>
                  </w:r>
                </w:p>
              </w:tc>
              <w:tc>
                <w:tcPr>
                  <w:tcW w:w="0" w:type="auto"/>
                  <w:vMerge w:val="restart"/>
                  <w:shd w:val="clear" w:color="auto" w:fill="auto"/>
                  <w:vAlign w:val="center"/>
                </w:tcPr>
                <w:p w14:paraId="5185B5A7">
                  <w:pPr>
                    <w:widowControl/>
                    <w:jc w:val="center"/>
                    <w:textAlignment w:val="center"/>
                    <w:rPr>
                      <w:bCs/>
                      <w:color w:val="auto"/>
                      <w:spacing w:val="-10"/>
                      <w:sz w:val="21"/>
                      <w:szCs w:val="21"/>
                    </w:rPr>
                  </w:pPr>
                  <w:r>
                    <w:rPr>
                      <w:rFonts w:hint="eastAsia" w:ascii="宋体" w:hAnsi="宋体" w:cs="宋体"/>
                      <w:color w:val="auto"/>
                      <w:kern w:val="0"/>
                      <w:sz w:val="21"/>
                      <w:szCs w:val="21"/>
                      <w:lang w:bidi="ar"/>
                    </w:rPr>
                    <w:t>是</w:t>
                  </w:r>
                </w:p>
              </w:tc>
              <w:tc>
                <w:tcPr>
                  <w:tcW w:w="0" w:type="auto"/>
                  <w:vMerge w:val="restart"/>
                  <w:shd w:val="clear" w:color="auto" w:fill="auto"/>
                  <w:vAlign w:val="center"/>
                </w:tcPr>
                <w:p w14:paraId="1196A99A">
                  <w:pPr>
                    <w:widowControl/>
                    <w:jc w:val="center"/>
                    <w:textAlignment w:val="center"/>
                    <w:rPr>
                      <w:bCs/>
                      <w:color w:val="auto"/>
                      <w:spacing w:val="-10"/>
                      <w:sz w:val="21"/>
                      <w:szCs w:val="21"/>
                    </w:rPr>
                  </w:pPr>
                  <w:r>
                    <w:rPr>
                      <w:color w:val="auto"/>
                      <w:kern w:val="0"/>
                      <w:sz w:val="21"/>
                      <w:szCs w:val="21"/>
                      <w:lang w:bidi="ar"/>
                    </w:rPr>
                    <w:t>1163.52</w:t>
                  </w:r>
                </w:p>
              </w:tc>
              <w:tc>
                <w:tcPr>
                  <w:tcW w:w="0" w:type="auto"/>
                  <w:shd w:val="clear" w:color="auto" w:fill="auto"/>
                  <w:vAlign w:val="center"/>
                </w:tcPr>
                <w:p w14:paraId="5BF53BEE">
                  <w:pPr>
                    <w:widowControl/>
                    <w:jc w:val="center"/>
                    <w:textAlignment w:val="center"/>
                    <w:rPr>
                      <w:color w:val="auto"/>
                      <w:sz w:val="21"/>
                      <w:szCs w:val="21"/>
                    </w:rPr>
                  </w:pPr>
                  <w:r>
                    <w:rPr>
                      <w:color w:val="auto"/>
                      <w:kern w:val="0"/>
                      <w:sz w:val="21"/>
                      <w:szCs w:val="21"/>
                      <w:lang w:bidi="ar"/>
                    </w:rPr>
                    <w:t xml:space="preserve">0.0582 </w:t>
                  </w:r>
                </w:p>
              </w:tc>
              <w:tc>
                <w:tcPr>
                  <w:tcW w:w="0" w:type="auto"/>
                  <w:shd w:val="clear" w:color="auto" w:fill="auto"/>
                  <w:vAlign w:val="center"/>
                </w:tcPr>
                <w:p w14:paraId="6A090222">
                  <w:pPr>
                    <w:widowControl/>
                    <w:jc w:val="center"/>
                    <w:textAlignment w:val="center"/>
                    <w:rPr>
                      <w:bCs/>
                      <w:color w:val="auto"/>
                      <w:spacing w:val="-10"/>
                      <w:sz w:val="21"/>
                      <w:szCs w:val="21"/>
                    </w:rPr>
                  </w:pPr>
                  <w:r>
                    <w:rPr>
                      <w:color w:val="auto"/>
                      <w:kern w:val="0"/>
                      <w:sz w:val="21"/>
                      <w:szCs w:val="21"/>
                      <w:lang w:bidi="ar"/>
                    </w:rPr>
                    <w:t>50</w:t>
                  </w:r>
                </w:p>
              </w:tc>
              <w:tc>
                <w:tcPr>
                  <w:tcW w:w="0" w:type="auto"/>
                  <w:vMerge w:val="restart"/>
                  <w:shd w:val="clear" w:color="auto" w:fill="auto"/>
                  <w:vAlign w:val="center"/>
                </w:tcPr>
                <w:p w14:paraId="76A3C909">
                  <w:pPr>
                    <w:widowControl/>
                    <w:jc w:val="center"/>
                    <w:textAlignment w:val="center"/>
                    <w:rPr>
                      <w:bCs/>
                      <w:color w:val="auto"/>
                      <w:spacing w:val="-10"/>
                      <w:sz w:val="21"/>
                      <w:szCs w:val="21"/>
                    </w:rPr>
                  </w:pPr>
                  <w:r>
                    <w:rPr>
                      <w:rFonts w:hint="eastAsia" w:ascii="宋体" w:hAnsi="宋体" w:cs="宋体"/>
                      <w:color w:val="auto"/>
                      <w:kern w:val="0"/>
                      <w:sz w:val="21"/>
                      <w:szCs w:val="21"/>
                      <w:lang w:bidi="ar"/>
                    </w:rPr>
                    <w:t>间接排放</w:t>
                  </w:r>
                </w:p>
              </w:tc>
              <w:tc>
                <w:tcPr>
                  <w:tcW w:w="0" w:type="auto"/>
                  <w:vMerge w:val="restart"/>
                  <w:shd w:val="clear" w:color="auto" w:fill="auto"/>
                  <w:vAlign w:val="center"/>
                </w:tcPr>
                <w:p w14:paraId="046453B0">
                  <w:pPr>
                    <w:widowControl/>
                    <w:jc w:val="center"/>
                    <w:textAlignment w:val="center"/>
                    <w:rPr>
                      <w:bCs/>
                      <w:color w:val="auto"/>
                      <w:spacing w:val="-10"/>
                      <w:sz w:val="21"/>
                      <w:szCs w:val="21"/>
                    </w:rPr>
                  </w:pPr>
                  <w:r>
                    <w:rPr>
                      <w:rFonts w:hint="eastAsia" w:ascii="宋体" w:hAnsi="宋体" w:cs="宋体"/>
                      <w:color w:val="auto"/>
                      <w:kern w:val="0"/>
                      <w:sz w:val="21"/>
                      <w:szCs w:val="21"/>
                      <w:lang w:bidi="ar"/>
                    </w:rPr>
                    <w:t>西渡高新区污水处理厂</w:t>
                  </w:r>
                </w:p>
              </w:tc>
            </w:tr>
            <w:tr w14:paraId="587ACB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62" w:hRule="atLeast"/>
              </w:trPr>
              <w:tc>
                <w:tcPr>
                  <w:tcW w:w="0" w:type="auto"/>
                  <w:vMerge w:val="continue"/>
                  <w:shd w:val="clear" w:color="auto" w:fill="auto"/>
                  <w:vAlign w:val="center"/>
                </w:tcPr>
                <w:p w14:paraId="34105E7E">
                  <w:pPr>
                    <w:jc w:val="center"/>
                    <w:rPr>
                      <w:bCs/>
                      <w:color w:val="auto"/>
                      <w:spacing w:val="-10"/>
                      <w:sz w:val="21"/>
                      <w:szCs w:val="21"/>
                    </w:rPr>
                  </w:pPr>
                </w:p>
              </w:tc>
              <w:tc>
                <w:tcPr>
                  <w:tcW w:w="0" w:type="auto"/>
                  <w:shd w:val="clear" w:color="auto" w:fill="auto"/>
                  <w:vAlign w:val="center"/>
                </w:tcPr>
                <w:p w14:paraId="7305E8A7">
                  <w:pPr>
                    <w:widowControl/>
                    <w:jc w:val="center"/>
                    <w:textAlignment w:val="center"/>
                    <w:rPr>
                      <w:bCs/>
                      <w:color w:val="auto"/>
                      <w:spacing w:val="-10"/>
                      <w:sz w:val="21"/>
                      <w:szCs w:val="21"/>
                    </w:rPr>
                  </w:pPr>
                  <w:r>
                    <w:rPr>
                      <w:color w:val="auto"/>
                      <w:kern w:val="0"/>
                      <w:sz w:val="21"/>
                      <w:szCs w:val="21"/>
                      <w:lang w:bidi="ar"/>
                    </w:rPr>
                    <w:t>BOD</w:t>
                  </w:r>
                  <w:r>
                    <w:rPr>
                      <w:color w:val="auto"/>
                      <w:kern w:val="0"/>
                      <w:sz w:val="21"/>
                      <w:szCs w:val="21"/>
                      <w:vertAlign w:val="subscript"/>
                      <w:lang w:bidi="ar"/>
                    </w:rPr>
                    <w:t>5</w:t>
                  </w:r>
                </w:p>
              </w:tc>
              <w:tc>
                <w:tcPr>
                  <w:tcW w:w="1047" w:type="dxa"/>
                  <w:vMerge w:val="continue"/>
                  <w:shd w:val="clear" w:color="auto" w:fill="auto"/>
                  <w:vAlign w:val="center"/>
                </w:tcPr>
                <w:p w14:paraId="44BB498D">
                  <w:pPr>
                    <w:jc w:val="center"/>
                    <w:rPr>
                      <w:bCs/>
                      <w:color w:val="auto"/>
                      <w:spacing w:val="-10"/>
                      <w:sz w:val="21"/>
                      <w:szCs w:val="21"/>
                    </w:rPr>
                  </w:pPr>
                </w:p>
              </w:tc>
              <w:tc>
                <w:tcPr>
                  <w:tcW w:w="821" w:type="dxa"/>
                  <w:vAlign w:val="center"/>
                </w:tcPr>
                <w:p w14:paraId="60017BDD">
                  <w:pPr>
                    <w:widowControl/>
                    <w:jc w:val="center"/>
                    <w:textAlignment w:val="center"/>
                    <w:rPr>
                      <w:color w:val="auto"/>
                      <w:sz w:val="21"/>
                      <w:szCs w:val="21"/>
                    </w:rPr>
                  </w:pPr>
                  <w:r>
                    <w:rPr>
                      <w:color w:val="auto"/>
                      <w:kern w:val="0"/>
                      <w:sz w:val="21"/>
                      <w:szCs w:val="21"/>
                      <w:lang w:bidi="ar"/>
                    </w:rPr>
                    <w:t xml:space="preserve">0.1862 </w:t>
                  </w:r>
                </w:p>
              </w:tc>
              <w:tc>
                <w:tcPr>
                  <w:tcW w:w="0" w:type="auto"/>
                  <w:shd w:val="clear" w:color="auto" w:fill="auto"/>
                  <w:vAlign w:val="center"/>
                </w:tcPr>
                <w:p w14:paraId="33F9BEBA">
                  <w:pPr>
                    <w:widowControl/>
                    <w:jc w:val="center"/>
                    <w:textAlignment w:val="center"/>
                    <w:rPr>
                      <w:bCs/>
                      <w:color w:val="auto"/>
                      <w:spacing w:val="-10"/>
                      <w:sz w:val="21"/>
                      <w:szCs w:val="21"/>
                    </w:rPr>
                  </w:pPr>
                  <w:r>
                    <w:rPr>
                      <w:color w:val="auto"/>
                      <w:kern w:val="0"/>
                      <w:sz w:val="21"/>
                      <w:szCs w:val="21"/>
                      <w:lang w:bidi="ar"/>
                    </w:rPr>
                    <w:t>160</w:t>
                  </w:r>
                </w:p>
              </w:tc>
              <w:tc>
                <w:tcPr>
                  <w:tcW w:w="0" w:type="auto"/>
                  <w:vMerge w:val="continue"/>
                  <w:shd w:val="clear" w:color="auto" w:fill="auto"/>
                  <w:vAlign w:val="center"/>
                </w:tcPr>
                <w:p w14:paraId="0F16BF90">
                  <w:pPr>
                    <w:jc w:val="center"/>
                    <w:rPr>
                      <w:bCs/>
                      <w:color w:val="auto"/>
                      <w:spacing w:val="-10"/>
                      <w:sz w:val="21"/>
                      <w:szCs w:val="21"/>
                    </w:rPr>
                  </w:pPr>
                </w:p>
              </w:tc>
              <w:tc>
                <w:tcPr>
                  <w:tcW w:w="0" w:type="auto"/>
                  <w:vMerge w:val="continue"/>
                  <w:shd w:val="clear" w:color="auto" w:fill="auto"/>
                  <w:vAlign w:val="center"/>
                </w:tcPr>
                <w:p w14:paraId="76BFB08E">
                  <w:pPr>
                    <w:jc w:val="center"/>
                    <w:rPr>
                      <w:bCs/>
                      <w:color w:val="auto"/>
                      <w:spacing w:val="-10"/>
                      <w:sz w:val="21"/>
                      <w:szCs w:val="21"/>
                    </w:rPr>
                  </w:pPr>
                </w:p>
              </w:tc>
              <w:tc>
                <w:tcPr>
                  <w:tcW w:w="0" w:type="auto"/>
                  <w:vMerge w:val="continue"/>
                  <w:shd w:val="clear" w:color="auto" w:fill="auto"/>
                  <w:vAlign w:val="center"/>
                </w:tcPr>
                <w:p w14:paraId="32E52F19">
                  <w:pPr>
                    <w:jc w:val="center"/>
                    <w:rPr>
                      <w:bCs/>
                      <w:color w:val="auto"/>
                      <w:spacing w:val="-10"/>
                      <w:sz w:val="21"/>
                      <w:szCs w:val="21"/>
                    </w:rPr>
                  </w:pPr>
                </w:p>
              </w:tc>
              <w:tc>
                <w:tcPr>
                  <w:tcW w:w="0" w:type="auto"/>
                  <w:vMerge w:val="continue"/>
                  <w:shd w:val="clear" w:color="auto" w:fill="auto"/>
                  <w:vAlign w:val="center"/>
                </w:tcPr>
                <w:p w14:paraId="1D4CA122">
                  <w:pPr>
                    <w:jc w:val="center"/>
                    <w:rPr>
                      <w:bCs/>
                      <w:color w:val="auto"/>
                      <w:spacing w:val="-10"/>
                      <w:sz w:val="21"/>
                      <w:szCs w:val="21"/>
                    </w:rPr>
                  </w:pPr>
                </w:p>
              </w:tc>
              <w:tc>
                <w:tcPr>
                  <w:tcW w:w="0" w:type="auto"/>
                  <w:shd w:val="clear" w:color="auto" w:fill="auto"/>
                  <w:vAlign w:val="center"/>
                </w:tcPr>
                <w:p w14:paraId="1FCE6108">
                  <w:pPr>
                    <w:widowControl/>
                    <w:jc w:val="center"/>
                    <w:textAlignment w:val="center"/>
                    <w:rPr>
                      <w:color w:val="auto"/>
                      <w:sz w:val="21"/>
                      <w:szCs w:val="21"/>
                    </w:rPr>
                  </w:pPr>
                  <w:r>
                    <w:rPr>
                      <w:color w:val="auto"/>
                      <w:kern w:val="0"/>
                      <w:sz w:val="21"/>
                      <w:szCs w:val="21"/>
                      <w:lang w:bidi="ar"/>
                    </w:rPr>
                    <w:t xml:space="preserve">0.0116 </w:t>
                  </w:r>
                </w:p>
              </w:tc>
              <w:tc>
                <w:tcPr>
                  <w:tcW w:w="0" w:type="auto"/>
                  <w:shd w:val="clear" w:color="auto" w:fill="auto"/>
                  <w:vAlign w:val="center"/>
                </w:tcPr>
                <w:p w14:paraId="4B6D34EA">
                  <w:pPr>
                    <w:widowControl/>
                    <w:jc w:val="center"/>
                    <w:textAlignment w:val="center"/>
                    <w:rPr>
                      <w:bCs/>
                      <w:color w:val="auto"/>
                      <w:spacing w:val="-10"/>
                      <w:sz w:val="21"/>
                      <w:szCs w:val="21"/>
                    </w:rPr>
                  </w:pPr>
                  <w:r>
                    <w:rPr>
                      <w:color w:val="auto"/>
                      <w:kern w:val="0"/>
                      <w:sz w:val="21"/>
                      <w:szCs w:val="21"/>
                      <w:lang w:bidi="ar"/>
                    </w:rPr>
                    <w:t>10</w:t>
                  </w:r>
                </w:p>
              </w:tc>
              <w:tc>
                <w:tcPr>
                  <w:tcW w:w="0" w:type="auto"/>
                  <w:vMerge w:val="continue"/>
                  <w:shd w:val="clear" w:color="auto" w:fill="auto"/>
                  <w:vAlign w:val="center"/>
                </w:tcPr>
                <w:p w14:paraId="3793DA03">
                  <w:pPr>
                    <w:jc w:val="center"/>
                    <w:rPr>
                      <w:bCs/>
                      <w:color w:val="auto"/>
                      <w:spacing w:val="-10"/>
                      <w:sz w:val="21"/>
                      <w:szCs w:val="21"/>
                    </w:rPr>
                  </w:pPr>
                </w:p>
              </w:tc>
              <w:tc>
                <w:tcPr>
                  <w:tcW w:w="0" w:type="auto"/>
                  <w:vMerge w:val="continue"/>
                  <w:shd w:val="clear" w:color="auto" w:fill="auto"/>
                  <w:vAlign w:val="center"/>
                </w:tcPr>
                <w:p w14:paraId="3E1F793C">
                  <w:pPr>
                    <w:jc w:val="center"/>
                    <w:rPr>
                      <w:bCs/>
                      <w:color w:val="auto"/>
                      <w:spacing w:val="-10"/>
                      <w:sz w:val="21"/>
                      <w:szCs w:val="21"/>
                    </w:rPr>
                  </w:pPr>
                </w:p>
              </w:tc>
            </w:tr>
            <w:tr w14:paraId="0B7568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8" w:hRule="atLeast"/>
              </w:trPr>
              <w:tc>
                <w:tcPr>
                  <w:tcW w:w="0" w:type="auto"/>
                  <w:vMerge w:val="continue"/>
                  <w:shd w:val="clear" w:color="auto" w:fill="auto"/>
                  <w:vAlign w:val="center"/>
                </w:tcPr>
                <w:p w14:paraId="79EF7C0C">
                  <w:pPr>
                    <w:jc w:val="center"/>
                    <w:rPr>
                      <w:bCs/>
                      <w:color w:val="auto"/>
                      <w:spacing w:val="-10"/>
                      <w:sz w:val="21"/>
                      <w:szCs w:val="21"/>
                    </w:rPr>
                  </w:pPr>
                </w:p>
              </w:tc>
              <w:tc>
                <w:tcPr>
                  <w:tcW w:w="0" w:type="auto"/>
                  <w:shd w:val="clear" w:color="auto" w:fill="auto"/>
                  <w:vAlign w:val="center"/>
                </w:tcPr>
                <w:p w14:paraId="7376D6D6">
                  <w:pPr>
                    <w:widowControl/>
                    <w:jc w:val="center"/>
                    <w:textAlignment w:val="center"/>
                    <w:rPr>
                      <w:bCs/>
                      <w:color w:val="auto"/>
                      <w:spacing w:val="-10"/>
                      <w:sz w:val="21"/>
                      <w:szCs w:val="21"/>
                    </w:rPr>
                  </w:pPr>
                  <w:r>
                    <w:rPr>
                      <w:color w:val="auto"/>
                      <w:kern w:val="0"/>
                      <w:sz w:val="21"/>
                      <w:szCs w:val="21"/>
                      <w:lang w:bidi="ar"/>
                    </w:rPr>
                    <w:t>NH</w:t>
                  </w:r>
                  <w:r>
                    <w:rPr>
                      <w:color w:val="auto"/>
                      <w:kern w:val="0"/>
                      <w:sz w:val="21"/>
                      <w:szCs w:val="21"/>
                      <w:vertAlign w:val="subscript"/>
                      <w:lang w:bidi="ar"/>
                    </w:rPr>
                    <w:t>3</w:t>
                  </w:r>
                  <w:r>
                    <w:rPr>
                      <w:color w:val="auto"/>
                      <w:kern w:val="0"/>
                      <w:sz w:val="21"/>
                      <w:szCs w:val="21"/>
                      <w:lang w:bidi="ar"/>
                    </w:rPr>
                    <w:t>-N</w:t>
                  </w:r>
                </w:p>
              </w:tc>
              <w:tc>
                <w:tcPr>
                  <w:tcW w:w="1047" w:type="dxa"/>
                  <w:vMerge w:val="continue"/>
                  <w:shd w:val="clear" w:color="auto" w:fill="auto"/>
                  <w:vAlign w:val="center"/>
                </w:tcPr>
                <w:p w14:paraId="311CC0F6">
                  <w:pPr>
                    <w:jc w:val="center"/>
                    <w:rPr>
                      <w:bCs/>
                      <w:color w:val="auto"/>
                      <w:spacing w:val="-10"/>
                      <w:sz w:val="21"/>
                      <w:szCs w:val="21"/>
                    </w:rPr>
                  </w:pPr>
                </w:p>
              </w:tc>
              <w:tc>
                <w:tcPr>
                  <w:tcW w:w="821" w:type="dxa"/>
                  <w:vAlign w:val="center"/>
                </w:tcPr>
                <w:p w14:paraId="37236287">
                  <w:pPr>
                    <w:widowControl/>
                    <w:jc w:val="center"/>
                    <w:textAlignment w:val="center"/>
                    <w:rPr>
                      <w:color w:val="auto"/>
                      <w:sz w:val="21"/>
                      <w:szCs w:val="21"/>
                    </w:rPr>
                  </w:pPr>
                  <w:r>
                    <w:rPr>
                      <w:color w:val="auto"/>
                      <w:kern w:val="0"/>
                      <w:sz w:val="21"/>
                      <w:szCs w:val="21"/>
                      <w:lang w:bidi="ar"/>
                    </w:rPr>
                    <w:t xml:space="preserve">0.0291 </w:t>
                  </w:r>
                </w:p>
              </w:tc>
              <w:tc>
                <w:tcPr>
                  <w:tcW w:w="0" w:type="auto"/>
                  <w:shd w:val="clear" w:color="auto" w:fill="auto"/>
                  <w:vAlign w:val="center"/>
                </w:tcPr>
                <w:p w14:paraId="6387A19E">
                  <w:pPr>
                    <w:widowControl/>
                    <w:jc w:val="center"/>
                    <w:textAlignment w:val="center"/>
                    <w:rPr>
                      <w:bCs/>
                      <w:color w:val="auto"/>
                      <w:spacing w:val="-10"/>
                      <w:sz w:val="21"/>
                      <w:szCs w:val="21"/>
                    </w:rPr>
                  </w:pPr>
                  <w:r>
                    <w:rPr>
                      <w:color w:val="auto"/>
                      <w:kern w:val="0"/>
                      <w:sz w:val="21"/>
                      <w:szCs w:val="21"/>
                      <w:lang w:bidi="ar"/>
                    </w:rPr>
                    <w:t>25</w:t>
                  </w:r>
                </w:p>
              </w:tc>
              <w:tc>
                <w:tcPr>
                  <w:tcW w:w="0" w:type="auto"/>
                  <w:vMerge w:val="continue"/>
                  <w:shd w:val="clear" w:color="auto" w:fill="auto"/>
                  <w:vAlign w:val="center"/>
                </w:tcPr>
                <w:p w14:paraId="65501CAA">
                  <w:pPr>
                    <w:jc w:val="center"/>
                    <w:rPr>
                      <w:bCs/>
                      <w:color w:val="auto"/>
                      <w:spacing w:val="-10"/>
                      <w:sz w:val="21"/>
                      <w:szCs w:val="21"/>
                    </w:rPr>
                  </w:pPr>
                </w:p>
              </w:tc>
              <w:tc>
                <w:tcPr>
                  <w:tcW w:w="0" w:type="auto"/>
                  <w:vMerge w:val="continue"/>
                  <w:shd w:val="clear" w:color="auto" w:fill="auto"/>
                  <w:vAlign w:val="center"/>
                </w:tcPr>
                <w:p w14:paraId="4D687FAC">
                  <w:pPr>
                    <w:jc w:val="center"/>
                    <w:rPr>
                      <w:bCs/>
                      <w:color w:val="auto"/>
                      <w:spacing w:val="-10"/>
                      <w:sz w:val="21"/>
                      <w:szCs w:val="21"/>
                    </w:rPr>
                  </w:pPr>
                </w:p>
              </w:tc>
              <w:tc>
                <w:tcPr>
                  <w:tcW w:w="0" w:type="auto"/>
                  <w:vMerge w:val="continue"/>
                  <w:shd w:val="clear" w:color="auto" w:fill="auto"/>
                  <w:vAlign w:val="center"/>
                </w:tcPr>
                <w:p w14:paraId="3CF6C220">
                  <w:pPr>
                    <w:jc w:val="center"/>
                    <w:rPr>
                      <w:bCs/>
                      <w:color w:val="auto"/>
                      <w:spacing w:val="-10"/>
                      <w:sz w:val="21"/>
                      <w:szCs w:val="21"/>
                    </w:rPr>
                  </w:pPr>
                </w:p>
              </w:tc>
              <w:tc>
                <w:tcPr>
                  <w:tcW w:w="0" w:type="auto"/>
                  <w:vMerge w:val="continue"/>
                  <w:shd w:val="clear" w:color="auto" w:fill="auto"/>
                  <w:vAlign w:val="center"/>
                </w:tcPr>
                <w:p w14:paraId="61821AE4">
                  <w:pPr>
                    <w:jc w:val="center"/>
                    <w:rPr>
                      <w:bCs/>
                      <w:color w:val="auto"/>
                      <w:spacing w:val="-10"/>
                      <w:sz w:val="21"/>
                      <w:szCs w:val="21"/>
                    </w:rPr>
                  </w:pPr>
                </w:p>
              </w:tc>
              <w:tc>
                <w:tcPr>
                  <w:tcW w:w="0" w:type="auto"/>
                  <w:shd w:val="clear" w:color="auto" w:fill="auto"/>
                  <w:vAlign w:val="center"/>
                </w:tcPr>
                <w:p w14:paraId="574E91CA">
                  <w:pPr>
                    <w:widowControl/>
                    <w:jc w:val="center"/>
                    <w:textAlignment w:val="center"/>
                    <w:rPr>
                      <w:color w:val="auto"/>
                      <w:sz w:val="21"/>
                      <w:szCs w:val="21"/>
                    </w:rPr>
                  </w:pPr>
                  <w:r>
                    <w:rPr>
                      <w:color w:val="auto"/>
                      <w:kern w:val="0"/>
                      <w:sz w:val="21"/>
                      <w:szCs w:val="21"/>
                      <w:lang w:bidi="ar"/>
                    </w:rPr>
                    <w:t xml:space="preserve">0.0058 </w:t>
                  </w:r>
                </w:p>
              </w:tc>
              <w:tc>
                <w:tcPr>
                  <w:tcW w:w="0" w:type="auto"/>
                  <w:shd w:val="clear" w:color="auto" w:fill="auto"/>
                  <w:vAlign w:val="center"/>
                </w:tcPr>
                <w:p w14:paraId="7C3BE0F9">
                  <w:pPr>
                    <w:widowControl/>
                    <w:jc w:val="center"/>
                    <w:textAlignment w:val="center"/>
                    <w:rPr>
                      <w:bCs/>
                      <w:color w:val="auto"/>
                      <w:spacing w:val="-10"/>
                      <w:sz w:val="21"/>
                      <w:szCs w:val="21"/>
                    </w:rPr>
                  </w:pPr>
                  <w:r>
                    <w:rPr>
                      <w:color w:val="auto"/>
                      <w:kern w:val="0"/>
                      <w:sz w:val="21"/>
                      <w:szCs w:val="21"/>
                      <w:lang w:bidi="ar"/>
                    </w:rPr>
                    <w:t>5</w:t>
                  </w:r>
                </w:p>
              </w:tc>
              <w:tc>
                <w:tcPr>
                  <w:tcW w:w="0" w:type="auto"/>
                  <w:vMerge w:val="continue"/>
                  <w:shd w:val="clear" w:color="auto" w:fill="auto"/>
                  <w:vAlign w:val="center"/>
                </w:tcPr>
                <w:p w14:paraId="2032B48F">
                  <w:pPr>
                    <w:jc w:val="center"/>
                    <w:rPr>
                      <w:bCs/>
                      <w:color w:val="auto"/>
                      <w:spacing w:val="-10"/>
                      <w:sz w:val="21"/>
                      <w:szCs w:val="21"/>
                    </w:rPr>
                  </w:pPr>
                </w:p>
              </w:tc>
              <w:tc>
                <w:tcPr>
                  <w:tcW w:w="0" w:type="auto"/>
                  <w:vMerge w:val="continue"/>
                  <w:shd w:val="clear" w:color="auto" w:fill="auto"/>
                  <w:vAlign w:val="center"/>
                </w:tcPr>
                <w:p w14:paraId="54458E6A">
                  <w:pPr>
                    <w:jc w:val="center"/>
                    <w:rPr>
                      <w:bCs/>
                      <w:color w:val="auto"/>
                      <w:spacing w:val="-10"/>
                      <w:sz w:val="21"/>
                      <w:szCs w:val="21"/>
                    </w:rPr>
                  </w:pPr>
                </w:p>
              </w:tc>
            </w:tr>
            <w:tr w14:paraId="6425FF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32406B56">
                  <w:pPr>
                    <w:jc w:val="center"/>
                    <w:rPr>
                      <w:bCs/>
                      <w:color w:val="auto"/>
                      <w:spacing w:val="-10"/>
                      <w:sz w:val="21"/>
                      <w:szCs w:val="21"/>
                    </w:rPr>
                  </w:pPr>
                </w:p>
              </w:tc>
              <w:tc>
                <w:tcPr>
                  <w:tcW w:w="0" w:type="auto"/>
                  <w:shd w:val="clear" w:color="auto" w:fill="auto"/>
                  <w:vAlign w:val="center"/>
                </w:tcPr>
                <w:p w14:paraId="6C62970F">
                  <w:pPr>
                    <w:widowControl/>
                    <w:jc w:val="center"/>
                    <w:textAlignment w:val="center"/>
                    <w:rPr>
                      <w:bCs/>
                      <w:color w:val="auto"/>
                      <w:spacing w:val="-10"/>
                      <w:sz w:val="21"/>
                      <w:szCs w:val="21"/>
                    </w:rPr>
                  </w:pPr>
                  <w:r>
                    <w:rPr>
                      <w:color w:val="auto"/>
                      <w:kern w:val="0"/>
                      <w:sz w:val="21"/>
                      <w:szCs w:val="21"/>
                      <w:lang w:bidi="ar"/>
                    </w:rPr>
                    <w:t>SS</w:t>
                  </w:r>
                </w:p>
              </w:tc>
              <w:tc>
                <w:tcPr>
                  <w:tcW w:w="1047" w:type="dxa"/>
                  <w:vMerge w:val="continue"/>
                  <w:shd w:val="clear" w:color="auto" w:fill="auto"/>
                  <w:vAlign w:val="center"/>
                </w:tcPr>
                <w:p w14:paraId="1D4A0BF8">
                  <w:pPr>
                    <w:jc w:val="center"/>
                    <w:rPr>
                      <w:bCs/>
                      <w:color w:val="auto"/>
                      <w:spacing w:val="-10"/>
                      <w:sz w:val="21"/>
                      <w:szCs w:val="21"/>
                    </w:rPr>
                  </w:pPr>
                </w:p>
              </w:tc>
              <w:tc>
                <w:tcPr>
                  <w:tcW w:w="821" w:type="dxa"/>
                  <w:vAlign w:val="center"/>
                </w:tcPr>
                <w:p w14:paraId="3CB9E3C3">
                  <w:pPr>
                    <w:widowControl/>
                    <w:jc w:val="center"/>
                    <w:textAlignment w:val="center"/>
                    <w:rPr>
                      <w:color w:val="auto"/>
                      <w:sz w:val="21"/>
                      <w:szCs w:val="21"/>
                    </w:rPr>
                  </w:pPr>
                  <w:r>
                    <w:rPr>
                      <w:color w:val="auto"/>
                      <w:kern w:val="0"/>
                      <w:sz w:val="21"/>
                      <w:szCs w:val="21"/>
                      <w:lang w:bidi="ar"/>
                    </w:rPr>
                    <w:t xml:space="preserve">0.1745 </w:t>
                  </w:r>
                </w:p>
              </w:tc>
              <w:tc>
                <w:tcPr>
                  <w:tcW w:w="0" w:type="auto"/>
                  <w:shd w:val="clear" w:color="auto" w:fill="auto"/>
                  <w:vAlign w:val="center"/>
                </w:tcPr>
                <w:p w14:paraId="4263924C">
                  <w:pPr>
                    <w:widowControl/>
                    <w:jc w:val="center"/>
                    <w:textAlignment w:val="center"/>
                    <w:rPr>
                      <w:bCs/>
                      <w:color w:val="auto"/>
                      <w:spacing w:val="-10"/>
                      <w:sz w:val="21"/>
                      <w:szCs w:val="21"/>
                    </w:rPr>
                  </w:pPr>
                  <w:r>
                    <w:rPr>
                      <w:color w:val="auto"/>
                      <w:kern w:val="0"/>
                      <w:sz w:val="21"/>
                      <w:szCs w:val="21"/>
                      <w:lang w:bidi="ar"/>
                    </w:rPr>
                    <w:t>150</w:t>
                  </w:r>
                </w:p>
              </w:tc>
              <w:tc>
                <w:tcPr>
                  <w:tcW w:w="0" w:type="auto"/>
                  <w:vMerge w:val="continue"/>
                  <w:shd w:val="clear" w:color="auto" w:fill="auto"/>
                  <w:vAlign w:val="center"/>
                </w:tcPr>
                <w:p w14:paraId="00F03B04">
                  <w:pPr>
                    <w:jc w:val="center"/>
                    <w:rPr>
                      <w:bCs/>
                      <w:color w:val="auto"/>
                      <w:spacing w:val="-10"/>
                      <w:sz w:val="21"/>
                      <w:szCs w:val="21"/>
                    </w:rPr>
                  </w:pPr>
                </w:p>
              </w:tc>
              <w:tc>
                <w:tcPr>
                  <w:tcW w:w="0" w:type="auto"/>
                  <w:vMerge w:val="continue"/>
                  <w:shd w:val="clear" w:color="auto" w:fill="auto"/>
                  <w:vAlign w:val="center"/>
                </w:tcPr>
                <w:p w14:paraId="1B14ADEB">
                  <w:pPr>
                    <w:jc w:val="center"/>
                    <w:rPr>
                      <w:bCs/>
                      <w:color w:val="auto"/>
                      <w:spacing w:val="-10"/>
                      <w:sz w:val="21"/>
                      <w:szCs w:val="21"/>
                    </w:rPr>
                  </w:pPr>
                </w:p>
              </w:tc>
              <w:tc>
                <w:tcPr>
                  <w:tcW w:w="0" w:type="auto"/>
                  <w:vMerge w:val="continue"/>
                  <w:shd w:val="clear" w:color="auto" w:fill="auto"/>
                  <w:vAlign w:val="center"/>
                </w:tcPr>
                <w:p w14:paraId="0360E352">
                  <w:pPr>
                    <w:jc w:val="center"/>
                    <w:rPr>
                      <w:bCs/>
                      <w:color w:val="auto"/>
                      <w:spacing w:val="-10"/>
                      <w:sz w:val="21"/>
                      <w:szCs w:val="21"/>
                    </w:rPr>
                  </w:pPr>
                </w:p>
              </w:tc>
              <w:tc>
                <w:tcPr>
                  <w:tcW w:w="0" w:type="auto"/>
                  <w:vMerge w:val="continue"/>
                  <w:shd w:val="clear" w:color="auto" w:fill="auto"/>
                  <w:vAlign w:val="center"/>
                </w:tcPr>
                <w:p w14:paraId="36FD82B0">
                  <w:pPr>
                    <w:jc w:val="center"/>
                    <w:rPr>
                      <w:bCs/>
                      <w:color w:val="auto"/>
                      <w:spacing w:val="-10"/>
                      <w:sz w:val="21"/>
                      <w:szCs w:val="21"/>
                    </w:rPr>
                  </w:pPr>
                </w:p>
              </w:tc>
              <w:tc>
                <w:tcPr>
                  <w:tcW w:w="0" w:type="auto"/>
                  <w:shd w:val="clear" w:color="auto" w:fill="auto"/>
                  <w:vAlign w:val="center"/>
                </w:tcPr>
                <w:p w14:paraId="368B7D7B">
                  <w:pPr>
                    <w:widowControl/>
                    <w:jc w:val="center"/>
                    <w:textAlignment w:val="center"/>
                    <w:rPr>
                      <w:color w:val="auto"/>
                      <w:sz w:val="21"/>
                      <w:szCs w:val="21"/>
                    </w:rPr>
                  </w:pPr>
                  <w:r>
                    <w:rPr>
                      <w:color w:val="auto"/>
                      <w:kern w:val="0"/>
                      <w:sz w:val="21"/>
                      <w:szCs w:val="21"/>
                      <w:lang w:bidi="ar"/>
                    </w:rPr>
                    <w:t xml:space="preserve">0.0116 </w:t>
                  </w:r>
                </w:p>
              </w:tc>
              <w:tc>
                <w:tcPr>
                  <w:tcW w:w="0" w:type="auto"/>
                  <w:shd w:val="clear" w:color="auto" w:fill="auto"/>
                  <w:vAlign w:val="center"/>
                </w:tcPr>
                <w:p w14:paraId="2059AA42">
                  <w:pPr>
                    <w:widowControl/>
                    <w:jc w:val="center"/>
                    <w:textAlignment w:val="center"/>
                    <w:rPr>
                      <w:bCs/>
                      <w:color w:val="auto"/>
                      <w:spacing w:val="-10"/>
                      <w:sz w:val="21"/>
                      <w:szCs w:val="21"/>
                    </w:rPr>
                  </w:pPr>
                  <w:r>
                    <w:rPr>
                      <w:color w:val="auto"/>
                      <w:kern w:val="0"/>
                      <w:sz w:val="21"/>
                      <w:szCs w:val="21"/>
                      <w:lang w:bidi="ar"/>
                    </w:rPr>
                    <w:t>10</w:t>
                  </w:r>
                </w:p>
              </w:tc>
              <w:tc>
                <w:tcPr>
                  <w:tcW w:w="0" w:type="auto"/>
                  <w:vMerge w:val="continue"/>
                  <w:shd w:val="clear" w:color="auto" w:fill="auto"/>
                  <w:vAlign w:val="center"/>
                </w:tcPr>
                <w:p w14:paraId="2AE55FE6">
                  <w:pPr>
                    <w:jc w:val="center"/>
                    <w:rPr>
                      <w:bCs/>
                      <w:color w:val="auto"/>
                      <w:spacing w:val="-10"/>
                      <w:sz w:val="21"/>
                      <w:szCs w:val="21"/>
                    </w:rPr>
                  </w:pPr>
                </w:p>
              </w:tc>
              <w:tc>
                <w:tcPr>
                  <w:tcW w:w="0" w:type="auto"/>
                  <w:vMerge w:val="continue"/>
                  <w:shd w:val="clear" w:color="auto" w:fill="auto"/>
                  <w:vAlign w:val="center"/>
                </w:tcPr>
                <w:p w14:paraId="3C9CBDB1">
                  <w:pPr>
                    <w:jc w:val="center"/>
                    <w:rPr>
                      <w:bCs/>
                      <w:color w:val="auto"/>
                      <w:spacing w:val="-10"/>
                      <w:sz w:val="21"/>
                      <w:szCs w:val="21"/>
                    </w:rPr>
                  </w:pPr>
                </w:p>
              </w:tc>
            </w:tr>
            <w:tr w14:paraId="79E0CC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9" w:hRule="atLeast"/>
              </w:trPr>
              <w:tc>
                <w:tcPr>
                  <w:tcW w:w="0" w:type="auto"/>
                  <w:vMerge w:val="restart"/>
                  <w:shd w:val="clear" w:color="auto" w:fill="auto"/>
                  <w:vAlign w:val="center"/>
                </w:tcPr>
                <w:p w14:paraId="20C98C4E">
                  <w:pPr>
                    <w:widowControl/>
                    <w:jc w:val="center"/>
                    <w:textAlignment w:val="center"/>
                    <w:rPr>
                      <w:bCs/>
                      <w:color w:val="auto"/>
                      <w:spacing w:val="-10"/>
                      <w:sz w:val="21"/>
                      <w:szCs w:val="21"/>
                    </w:rPr>
                  </w:pPr>
                  <w:r>
                    <w:rPr>
                      <w:rFonts w:hint="eastAsia" w:ascii="宋体" w:hAnsi="宋体" w:cs="宋体"/>
                      <w:color w:val="auto"/>
                      <w:kern w:val="0"/>
                      <w:sz w:val="21"/>
                      <w:szCs w:val="21"/>
                      <w:lang w:bidi="ar"/>
                    </w:rPr>
                    <w:t>生产废水</w:t>
                  </w:r>
                </w:p>
              </w:tc>
              <w:tc>
                <w:tcPr>
                  <w:tcW w:w="0" w:type="auto"/>
                  <w:shd w:val="clear" w:color="auto" w:fill="auto"/>
                  <w:vAlign w:val="center"/>
                </w:tcPr>
                <w:p w14:paraId="6F185C22">
                  <w:pPr>
                    <w:widowControl/>
                    <w:jc w:val="center"/>
                    <w:textAlignment w:val="center"/>
                    <w:rPr>
                      <w:bCs/>
                      <w:color w:val="auto"/>
                      <w:spacing w:val="-10"/>
                      <w:sz w:val="21"/>
                      <w:szCs w:val="21"/>
                    </w:rPr>
                  </w:pPr>
                  <w:r>
                    <w:rPr>
                      <w:rFonts w:hint="eastAsia" w:ascii="宋体" w:hAnsi="宋体" w:cs="宋体"/>
                      <w:color w:val="auto"/>
                      <w:kern w:val="0"/>
                      <w:sz w:val="21"/>
                      <w:szCs w:val="21"/>
                      <w:lang w:bidi="ar"/>
                    </w:rPr>
                    <w:t>水温</w:t>
                  </w:r>
                </w:p>
              </w:tc>
              <w:tc>
                <w:tcPr>
                  <w:tcW w:w="1047" w:type="dxa"/>
                  <w:vMerge w:val="restart"/>
                  <w:shd w:val="clear" w:color="auto" w:fill="auto"/>
                  <w:vAlign w:val="center"/>
                </w:tcPr>
                <w:p w14:paraId="14936F5A">
                  <w:pPr>
                    <w:widowControl/>
                    <w:jc w:val="center"/>
                    <w:textAlignment w:val="center"/>
                    <w:rPr>
                      <w:bCs/>
                      <w:color w:val="auto"/>
                      <w:spacing w:val="-10"/>
                      <w:sz w:val="21"/>
                      <w:szCs w:val="21"/>
                    </w:rPr>
                  </w:pPr>
                  <w:r>
                    <w:rPr>
                      <w:rFonts w:hint="eastAsia"/>
                      <w:color w:val="auto"/>
                      <w:sz w:val="21"/>
                      <w:szCs w:val="21"/>
                      <w:u w:val="single"/>
                      <w:lang w:eastAsia="zh-CN"/>
                    </w:rPr>
                    <w:t>18360</w:t>
                  </w:r>
                </w:p>
              </w:tc>
              <w:tc>
                <w:tcPr>
                  <w:tcW w:w="821" w:type="dxa"/>
                  <w:vAlign w:val="center"/>
                </w:tcPr>
                <w:p w14:paraId="772391DB">
                  <w:pPr>
                    <w:widowControl/>
                    <w:jc w:val="center"/>
                    <w:textAlignment w:val="center"/>
                    <w:rPr>
                      <w:color w:val="auto"/>
                      <w:sz w:val="21"/>
                      <w:szCs w:val="21"/>
                    </w:rPr>
                  </w:pPr>
                  <w:r>
                    <w:rPr>
                      <w:color w:val="auto"/>
                      <w:kern w:val="0"/>
                      <w:sz w:val="21"/>
                      <w:szCs w:val="21"/>
                      <w:lang w:bidi="ar"/>
                    </w:rPr>
                    <w:t>/</w:t>
                  </w:r>
                </w:p>
              </w:tc>
              <w:tc>
                <w:tcPr>
                  <w:tcW w:w="0" w:type="auto"/>
                  <w:shd w:val="clear" w:color="auto" w:fill="auto"/>
                  <w:vAlign w:val="center"/>
                </w:tcPr>
                <w:p w14:paraId="2A9F674F">
                  <w:pPr>
                    <w:widowControl/>
                    <w:jc w:val="center"/>
                    <w:textAlignment w:val="center"/>
                    <w:rPr>
                      <w:color w:val="auto"/>
                      <w:sz w:val="21"/>
                      <w:szCs w:val="21"/>
                    </w:rPr>
                  </w:pPr>
                  <w:r>
                    <w:rPr>
                      <w:color w:val="auto"/>
                      <w:kern w:val="0"/>
                      <w:sz w:val="21"/>
                      <w:szCs w:val="21"/>
                      <w:lang w:bidi="ar"/>
                    </w:rPr>
                    <w:t>23</w:t>
                  </w:r>
                </w:p>
              </w:tc>
              <w:tc>
                <w:tcPr>
                  <w:tcW w:w="0" w:type="auto"/>
                  <w:vMerge w:val="restart"/>
                  <w:shd w:val="clear" w:color="auto" w:fill="auto"/>
                  <w:vAlign w:val="center"/>
                </w:tcPr>
                <w:p w14:paraId="404B1924">
                  <w:pPr>
                    <w:widowControl/>
                    <w:jc w:val="center"/>
                    <w:textAlignment w:val="center"/>
                    <w:rPr>
                      <w:bCs/>
                      <w:color w:val="auto"/>
                      <w:spacing w:val="-10"/>
                      <w:sz w:val="21"/>
                      <w:szCs w:val="21"/>
                    </w:rPr>
                  </w:pPr>
                  <w:r>
                    <w:rPr>
                      <w:rFonts w:hint="eastAsia" w:ascii="宋体" w:hAnsi="宋体" w:cs="宋体"/>
                      <w:color w:val="auto"/>
                      <w:kern w:val="0"/>
                      <w:sz w:val="21"/>
                      <w:szCs w:val="21"/>
                      <w:lang w:bidi="ar"/>
                    </w:rPr>
                    <w:t>车间预处理</w:t>
                  </w:r>
                  <w:r>
                    <w:rPr>
                      <w:color w:val="auto"/>
                      <w:kern w:val="0"/>
                      <w:sz w:val="21"/>
                      <w:szCs w:val="21"/>
                      <w:lang w:bidi="ar"/>
                    </w:rPr>
                    <w:t>+</w:t>
                  </w:r>
                  <w:r>
                    <w:rPr>
                      <w:rFonts w:hint="eastAsia" w:ascii="宋体" w:hAnsi="宋体" w:cs="宋体"/>
                      <w:color w:val="auto"/>
                      <w:kern w:val="0"/>
                      <w:sz w:val="21"/>
                      <w:szCs w:val="21"/>
                      <w:lang w:bidi="ar"/>
                    </w:rPr>
                    <w:t>生化</w:t>
                  </w:r>
                  <w:r>
                    <w:rPr>
                      <w:color w:val="auto"/>
                      <w:kern w:val="0"/>
                      <w:sz w:val="21"/>
                      <w:szCs w:val="21"/>
                      <w:lang w:bidi="ar"/>
                    </w:rPr>
                    <w:t>+</w:t>
                  </w:r>
                  <w:r>
                    <w:rPr>
                      <w:rFonts w:hint="eastAsia" w:ascii="宋体" w:hAnsi="宋体" w:cs="宋体"/>
                      <w:color w:val="auto"/>
                      <w:kern w:val="0"/>
                      <w:sz w:val="21"/>
                      <w:szCs w:val="21"/>
                      <w:lang w:bidi="ar"/>
                    </w:rPr>
                    <w:t>消毒</w:t>
                  </w:r>
                </w:p>
              </w:tc>
              <w:tc>
                <w:tcPr>
                  <w:tcW w:w="0" w:type="auto"/>
                  <w:vMerge w:val="restart"/>
                  <w:shd w:val="clear" w:color="auto" w:fill="auto"/>
                  <w:vAlign w:val="center"/>
                </w:tcPr>
                <w:p w14:paraId="1C1052F2">
                  <w:pPr>
                    <w:widowControl/>
                    <w:jc w:val="center"/>
                    <w:textAlignment w:val="center"/>
                    <w:rPr>
                      <w:bCs/>
                      <w:color w:val="auto"/>
                      <w:spacing w:val="-10"/>
                      <w:sz w:val="21"/>
                      <w:szCs w:val="21"/>
                    </w:rPr>
                  </w:pPr>
                  <w:r>
                    <w:rPr>
                      <w:color w:val="auto"/>
                      <w:kern w:val="0"/>
                      <w:sz w:val="21"/>
                      <w:szCs w:val="21"/>
                      <w:lang w:bidi="ar"/>
                    </w:rPr>
                    <w:t>/</w:t>
                  </w:r>
                </w:p>
              </w:tc>
              <w:tc>
                <w:tcPr>
                  <w:tcW w:w="0" w:type="auto"/>
                  <w:vMerge w:val="restart"/>
                  <w:shd w:val="clear" w:color="auto" w:fill="auto"/>
                  <w:vAlign w:val="center"/>
                </w:tcPr>
                <w:p w14:paraId="394AD1BA">
                  <w:pPr>
                    <w:widowControl/>
                    <w:jc w:val="center"/>
                    <w:textAlignment w:val="center"/>
                    <w:rPr>
                      <w:bCs/>
                      <w:color w:val="auto"/>
                      <w:spacing w:val="-10"/>
                      <w:sz w:val="21"/>
                      <w:szCs w:val="21"/>
                    </w:rPr>
                  </w:pPr>
                  <w:r>
                    <w:rPr>
                      <w:rFonts w:hint="eastAsia" w:ascii="宋体" w:hAnsi="宋体" w:cs="宋体"/>
                      <w:color w:val="auto"/>
                      <w:kern w:val="0"/>
                      <w:sz w:val="21"/>
                      <w:szCs w:val="21"/>
                      <w:lang w:bidi="ar"/>
                    </w:rPr>
                    <w:t>是</w:t>
                  </w:r>
                </w:p>
              </w:tc>
              <w:tc>
                <w:tcPr>
                  <w:tcW w:w="0" w:type="auto"/>
                  <w:vMerge w:val="restart"/>
                  <w:shd w:val="clear" w:color="auto" w:fill="auto"/>
                  <w:vAlign w:val="center"/>
                </w:tcPr>
                <w:p w14:paraId="065C8ED0">
                  <w:pPr>
                    <w:widowControl/>
                    <w:jc w:val="center"/>
                    <w:textAlignment w:val="center"/>
                    <w:rPr>
                      <w:bCs/>
                      <w:color w:val="auto"/>
                      <w:spacing w:val="-10"/>
                      <w:sz w:val="21"/>
                      <w:szCs w:val="21"/>
                    </w:rPr>
                  </w:pPr>
                  <w:r>
                    <w:rPr>
                      <w:rFonts w:hint="eastAsia"/>
                      <w:color w:val="auto"/>
                      <w:sz w:val="21"/>
                      <w:szCs w:val="21"/>
                      <w:u w:val="single"/>
                      <w:lang w:eastAsia="zh-CN"/>
                    </w:rPr>
                    <w:t>18360</w:t>
                  </w:r>
                </w:p>
              </w:tc>
              <w:tc>
                <w:tcPr>
                  <w:tcW w:w="0" w:type="auto"/>
                  <w:shd w:val="clear" w:color="auto" w:fill="auto"/>
                  <w:vAlign w:val="center"/>
                </w:tcPr>
                <w:p w14:paraId="27DF648E">
                  <w:pPr>
                    <w:jc w:val="center"/>
                    <w:rPr>
                      <w:color w:val="auto"/>
                      <w:sz w:val="21"/>
                      <w:szCs w:val="21"/>
                    </w:rPr>
                  </w:pPr>
                  <w:r>
                    <w:rPr>
                      <w:rFonts w:hint="eastAsia"/>
                      <w:color w:val="auto"/>
                      <w:sz w:val="21"/>
                      <w:szCs w:val="21"/>
                    </w:rPr>
                    <w:t>/</w:t>
                  </w:r>
                </w:p>
              </w:tc>
              <w:tc>
                <w:tcPr>
                  <w:tcW w:w="0" w:type="auto"/>
                  <w:shd w:val="clear" w:color="auto" w:fill="auto"/>
                  <w:vAlign w:val="center"/>
                </w:tcPr>
                <w:p w14:paraId="40216EC2">
                  <w:pPr>
                    <w:widowControl/>
                    <w:jc w:val="center"/>
                    <w:textAlignment w:val="center"/>
                    <w:rPr>
                      <w:bCs/>
                      <w:color w:val="auto"/>
                      <w:spacing w:val="-10"/>
                      <w:sz w:val="21"/>
                      <w:szCs w:val="21"/>
                    </w:rPr>
                  </w:pPr>
                  <w:r>
                    <w:rPr>
                      <w:color w:val="auto"/>
                      <w:kern w:val="0"/>
                      <w:sz w:val="21"/>
                      <w:szCs w:val="21"/>
                      <w:lang w:bidi="ar"/>
                    </w:rPr>
                    <w:t>/</w:t>
                  </w:r>
                </w:p>
              </w:tc>
              <w:tc>
                <w:tcPr>
                  <w:tcW w:w="0" w:type="auto"/>
                  <w:vMerge w:val="continue"/>
                  <w:shd w:val="clear" w:color="auto" w:fill="auto"/>
                  <w:vAlign w:val="center"/>
                </w:tcPr>
                <w:p w14:paraId="5DA2D3C7">
                  <w:pPr>
                    <w:jc w:val="center"/>
                    <w:rPr>
                      <w:bCs/>
                      <w:color w:val="FF0000"/>
                      <w:spacing w:val="-10"/>
                      <w:sz w:val="21"/>
                      <w:szCs w:val="21"/>
                    </w:rPr>
                  </w:pPr>
                </w:p>
              </w:tc>
              <w:tc>
                <w:tcPr>
                  <w:tcW w:w="0" w:type="auto"/>
                  <w:vMerge w:val="continue"/>
                  <w:shd w:val="clear" w:color="auto" w:fill="auto"/>
                  <w:vAlign w:val="center"/>
                </w:tcPr>
                <w:p w14:paraId="4AA36830">
                  <w:pPr>
                    <w:jc w:val="center"/>
                    <w:rPr>
                      <w:bCs/>
                      <w:color w:val="FF0000"/>
                      <w:spacing w:val="-10"/>
                      <w:sz w:val="21"/>
                      <w:szCs w:val="21"/>
                    </w:rPr>
                  </w:pPr>
                </w:p>
              </w:tc>
            </w:tr>
            <w:tr w14:paraId="6E44AB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401927D9">
                  <w:pPr>
                    <w:jc w:val="center"/>
                    <w:rPr>
                      <w:bCs/>
                      <w:color w:val="auto"/>
                      <w:spacing w:val="-10"/>
                      <w:sz w:val="21"/>
                      <w:szCs w:val="21"/>
                    </w:rPr>
                  </w:pPr>
                </w:p>
              </w:tc>
              <w:tc>
                <w:tcPr>
                  <w:tcW w:w="0" w:type="auto"/>
                  <w:shd w:val="clear" w:color="auto" w:fill="auto"/>
                  <w:vAlign w:val="center"/>
                </w:tcPr>
                <w:p w14:paraId="201A7465">
                  <w:pPr>
                    <w:widowControl/>
                    <w:jc w:val="center"/>
                    <w:textAlignment w:val="center"/>
                    <w:rPr>
                      <w:bCs/>
                      <w:color w:val="auto"/>
                      <w:spacing w:val="-10"/>
                      <w:sz w:val="21"/>
                      <w:szCs w:val="21"/>
                    </w:rPr>
                  </w:pPr>
                  <w:r>
                    <w:rPr>
                      <w:color w:val="auto"/>
                      <w:kern w:val="0"/>
                      <w:sz w:val="21"/>
                      <w:szCs w:val="21"/>
                      <w:lang w:bidi="ar"/>
                    </w:rPr>
                    <w:t>COD</w:t>
                  </w:r>
                </w:p>
              </w:tc>
              <w:tc>
                <w:tcPr>
                  <w:tcW w:w="1047" w:type="dxa"/>
                  <w:vMerge w:val="continue"/>
                  <w:shd w:val="clear" w:color="auto" w:fill="auto"/>
                  <w:vAlign w:val="center"/>
                </w:tcPr>
                <w:p w14:paraId="31F001E3">
                  <w:pPr>
                    <w:jc w:val="center"/>
                    <w:rPr>
                      <w:bCs/>
                      <w:color w:val="auto"/>
                      <w:spacing w:val="-10"/>
                      <w:sz w:val="21"/>
                      <w:szCs w:val="21"/>
                    </w:rPr>
                  </w:pPr>
                </w:p>
              </w:tc>
              <w:tc>
                <w:tcPr>
                  <w:tcW w:w="821" w:type="dxa"/>
                  <w:shd w:val="clear" w:color="auto" w:fill="auto"/>
                  <w:vAlign w:val="center"/>
                </w:tcPr>
                <w:p w14:paraId="5F8527F9">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5.4896 </w:t>
                  </w:r>
                </w:p>
              </w:tc>
              <w:tc>
                <w:tcPr>
                  <w:tcW w:w="0" w:type="auto"/>
                  <w:shd w:val="clear" w:color="auto" w:fill="auto"/>
                  <w:vAlign w:val="center"/>
                </w:tcPr>
                <w:p w14:paraId="125B5261">
                  <w:pPr>
                    <w:widowControl/>
                    <w:jc w:val="center"/>
                    <w:textAlignment w:val="center"/>
                    <w:rPr>
                      <w:color w:val="auto"/>
                      <w:sz w:val="21"/>
                      <w:szCs w:val="21"/>
                    </w:rPr>
                  </w:pPr>
                  <w:r>
                    <w:rPr>
                      <w:color w:val="auto"/>
                      <w:kern w:val="0"/>
                      <w:sz w:val="21"/>
                      <w:szCs w:val="21"/>
                      <w:lang w:bidi="ar"/>
                    </w:rPr>
                    <w:t>299</w:t>
                  </w:r>
                </w:p>
              </w:tc>
              <w:tc>
                <w:tcPr>
                  <w:tcW w:w="0" w:type="auto"/>
                  <w:vMerge w:val="continue"/>
                  <w:shd w:val="clear" w:color="auto" w:fill="auto"/>
                  <w:vAlign w:val="center"/>
                </w:tcPr>
                <w:p w14:paraId="5473FB53">
                  <w:pPr>
                    <w:jc w:val="center"/>
                    <w:rPr>
                      <w:bCs/>
                      <w:color w:val="auto"/>
                      <w:spacing w:val="-10"/>
                      <w:sz w:val="21"/>
                      <w:szCs w:val="21"/>
                    </w:rPr>
                  </w:pPr>
                </w:p>
              </w:tc>
              <w:tc>
                <w:tcPr>
                  <w:tcW w:w="0" w:type="auto"/>
                  <w:vMerge w:val="continue"/>
                  <w:shd w:val="clear" w:color="auto" w:fill="auto"/>
                  <w:vAlign w:val="center"/>
                </w:tcPr>
                <w:p w14:paraId="007D7FD0">
                  <w:pPr>
                    <w:jc w:val="center"/>
                    <w:rPr>
                      <w:bCs/>
                      <w:color w:val="auto"/>
                      <w:spacing w:val="-10"/>
                      <w:sz w:val="21"/>
                      <w:szCs w:val="21"/>
                    </w:rPr>
                  </w:pPr>
                </w:p>
              </w:tc>
              <w:tc>
                <w:tcPr>
                  <w:tcW w:w="0" w:type="auto"/>
                  <w:vMerge w:val="continue"/>
                  <w:shd w:val="clear" w:color="auto" w:fill="auto"/>
                  <w:vAlign w:val="center"/>
                </w:tcPr>
                <w:p w14:paraId="699D0E2D">
                  <w:pPr>
                    <w:jc w:val="center"/>
                    <w:rPr>
                      <w:bCs/>
                      <w:color w:val="auto"/>
                      <w:spacing w:val="-10"/>
                      <w:sz w:val="21"/>
                      <w:szCs w:val="21"/>
                    </w:rPr>
                  </w:pPr>
                </w:p>
              </w:tc>
              <w:tc>
                <w:tcPr>
                  <w:tcW w:w="0" w:type="auto"/>
                  <w:vMerge w:val="continue"/>
                  <w:shd w:val="clear" w:color="auto" w:fill="auto"/>
                  <w:vAlign w:val="center"/>
                </w:tcPr>
                <w:p w14:paraId="4935B65B">
                  <w:pPr>
                    <w:jc w:val="center"/>
                    <w:rPr>
                      <w:bCs/>
                      <w:color w:val="auto"/>
                      <w:spacing w:val="-10"/>
                      <w:sz w:val="21"/>
                      <w:szCs w:val="21"/>
                    </w:rPr>
                  </w:pPr>
                </w:p>
              </w:tc>
              <w:tc>
                <w:tcPr>
                  <w:tcW w:w="821" w:type="dxa"/>
                  <w:shd w:val="clear" w:color="auto" w:fill="auto"/>
                  <w:vAlign w:val="center"/>
                </w:tcPr>
                <w:p w14:paraId="2CA1967A">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2.7907 </w:t>
                  </w:r>
                </w:p>
              </w:tc>
              <w:tc>
                <w:tcPr>
                  <w:tcW w:w="0" w:type="auto"/>
                  <w:shd w:val="clear" w:color="auto" w:fill="auto"/>
                  <w:vAlign w:val="center"/>
                </w:tcPr>
                <w:p w14:paraId="4E16A2DB">
                  <w:pPr>
                    <w:widowControl/>
                    <w:jc w:val="center"/>
                    <w:textAlignment w:val="center"/>
                    <w:rPr>
                      <w:bCs/>
                      <w:color w:val="auto"/>
                      <w:spacing w:val="-10"/>
                      <w:sz w:val="21"/>
                      <w:szCs w:val="21"/>
                    </w:rPr>
                  </w:pPr>
                  <w:r>
                    <w:rPr>
                      <w:color w:val="auto"/>
                      <w:kern w:val="0"/>
                      <w:sz w:val="21"/>
                      <w:szCs w:val="21"/>
                      <w:lang w:bidi="ar"/>
                    </w:rPr>
                    <w:t>152</w:t>
                  </w:r>
                </w:p>
              </w:tc>
              <w:tc>
                <w:tcPr>
                  <w:tcW w:w="0" w:type="auto"/>
                  <w:vMerge w:val="continue"/>
                  <w:shd w:val="clear" w:color="auto" w:fill="auto"/>
                  <w:vAlign w:val="center"/>
                </w:tcPr>
                <w:p w14:paraId="557291E9">
                  <w:pPr>
                    <w:jc w:val="center"/>
                    <w:rPr>
                      <w:bCs/>
                      <w:color w:val="FF0000"/>
                      <w:spacing w:val="-10"/>
                      <w:sz w:val="21"/>
                      <w:szCs w:val="21"/>
                    </w:rPr>
                  </w:pPr>
                </w:p>
              </w:tc>
              <w:tc>
                <w:tcPr>
                  <w:tcW w:w="0" w:type="auto"/>
                  <w:vMerge w:val="continue"/>
                  <w:shd w:val="clear" w:color="auto" w:fill="auto"/>
                  <w:vAlign w:val="center"/>
                </w:tcPr>
                <w:p w14:paraId="27547622">
                  <w:pPr>
                    <w:jc w:val="center"/>
                    <w:rPr>
                      <w:bCs/>
                      <w:color w:val="FF0000"/>
                      <w:spacing w:val="-10"/>
                      <w:sz w:val="21"/>
                      <w:szCs w:val="21"/>
                    </w:rPr>
                  </w:pPr>
                </w:p>
              </w:tc>
            </w:tr>
            <w:tr w14:paraId="3BF4A2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5B7BD874">
                  <w:pPr>
                    <w:jc w:val="center"/>
                    <w:rPr>
                      <w:bCs/>
                      <w:color w:val="auto"/>
                      <w:spacing w:val="-10"/>
                      <w:sz w:val="21"/>
                      <w:szCs w:val="21"/>
                    </w:rPr>
                  </w:pPr>
                </w:p>
              </w:tc>
              <w:tc>
                <w:tcPr>
                  <w:tcW w:w="0" w:type="auto"/>
                  <w:shd w:val="clear" w:color="auto" w:fill="auto"/>
                  <w:vAlign w:val="center"/>
                </w:tcPr>
                <w:p w14:paraId="392BBFAB">
                  <w:pPr>
                    <w:widowControl/>
                    <w:jc w:val="center"/>
                    <w:textAlignment w:val="center"/>
                    <w:rPr>
                      <w:bCs/>
                      <w:color w:val="auto"/>
                      <w:spacing w:val="-10"/>
                      <w:sz w:val="21"/>
                      <w:szCs w:val="21"/>
                    </w:rPr>
                  </w:pPr>
                  <w:r>
                    <w:rPr>
                      <w:color w:val="auto"/>
                      <w:kern w:val="0"/>
                      <w:sz w:val="21"/>
                      <w:szCs w:val="21"/>
                      <w:lang w:bidi="ar"/>
                    </w:rPr>
                    <w:t>NH</w:t>
                  </w:r>
                  <w:r>
                    <w:rPr>
                      <w:color w:val="auto"/>
                      <w:kern w:val="0"/>
                      <w:sz w:val="21"/>
                      <w:szCs w:val="21"/>
                      <w:vertAlign w:val="subscript"/>
                      <w:lang w:bidi="ar"/>
                    </w:rPr>
                    <w:t>3</w:t>
                  </w:r>
                  <w:r>
                    <w:rPr>
                      <w:color w:val="auto"/>
                      <w:kern w:val="0"/>
                      <w:sz w:val="21"/>
                      <w:szCs w:val="21"/>
                      <w:lang w:bidi="ar"/>
                    </w:rPr>
                    <w:t>-N</w:t>
                  </w:r>
                </w:p>
              </w:tc>
              <w:tc>
                <w:tcPr>
                  <w:tcW w:w="1047" w:type="dxa"/>
                  <w:vMerge w:val="continue"/>
                  <w:shd w:val="clear" w:color="auto" w:fill="auto"/>
                  <w:vAlign w:val="center"/>
                </w:tcPr>
                <w:p w14:paraId="5E64E1AE">
                  <w:pPr>
                    <w:jc w:val="center"/>
                    <w:rPr>
                      <w:bCs/>
                      <w:color w:val="auto"/>
                      <w:spacing w:val="-10"/>
                      <w:sz w:val="21"/>
                      <w:szCs w:val="21"/>
                    </w:rPr>
                  </w:pPr>
                </w:p>
              </w:tc>
              <w:tc>
                <w:tcPr>
                  <w:tcW w:w="821" w:type="dxa"/>
                  <w:shd w:val="clear" w:color="auto" w:fill="auto"/>
                  <w:vAlign w:val="center"/>
                </w:tcPr>
                <w:p w14:paraId="5F32B2E4">
                  <w:pPr>
                    <w:jc w:val="center"/>
                    <w:rPr>
                      <w:color w:val="auto"/>
                      <w:sz w:val="21"/>
                      <w:szCs w:val="21"/>
                    </w:rPr>
                  </w:pPr>
                </w:p>
              </w:tc>
              <w:tc>
                <w:tcPr>
                  <w:tcW w:w="0" w:type="auto"/>
                  <w:shd w:val="clear" w:color="auto" w:fill="auto"/>
                  <w:vAlign w:val="center"/>
                </w:tcPr>
                <w:p w14:paraId="3705B723">
                  <w:pPr>
                    <w:widowControl/>
                    <w:jc w:val="center"/>
                    <w:textAlignment w:val="center"/>
                    <w:rPr>
                      <w:color w:val="auto"/>
                      <w:sz w:val="21"/>
                      <w:szCs w:val="21"/>
                    </w:rPr>
                  </w:pPr>
                  <w:r>
                    <w:rPr>
                      <w:color w:val="auto"/>
                      <w:kern w:val="0"/>
                      <w:sz w:val="21"/>
                      <w:szCs w:val="21"/>
                      <w:lang w:bidi="ar"/>
                    </w:rPr>
                    <w:t>/</w:t>
                  </w:r>
                </w:p>
              </w:tc>
              <w:tc>
                <w:tcPr>
                  <w:tcW w:w="0" w:type="auto"/>
                  <w:vMerge w:val="continue"/>
                  <w:shd w:val="clear" w:color="auto" w:fill="auto"/>
                  <w:vAlign w:val="center"/>
                </w:tcPr>
                <w:p w14:paraId="714F792D">
                  <w:pPr>
                    <w:jc w:val="center"/>
                    <w:rPr>
                      <w:bCs/>
                      <w:color w:val="auto"/>
                      <w:spacing w:val="-10"/>
                      <w:sz w:val="21"/>
                      <w:szCs w:val="21"/>
                    </w:rPr>
                  </w:pPr>
                </w:p>
              </w:tc>
              <w:tc>
                <w:tcPr>
                  <w:tcW w:w="0" w:type="auto"/>
                  <w:vMerge w:val="continue"/>
                  <w:shd w:val="clear" w:color="auto" w:fill="auto"/>
                  <w:vAlign w:val="center"/>
                </w:tcPr>
                <w:p w14:paraId="10E8ADC9">
                  <w:pPr>
                    <w:jc w:val="center"/>
                    <w:rPr>
                      <w:bCs/>
                      <w:color w:val="auto"/>
                      <w:spacing w:val="-10"/>
                      <w:sz w:val="21"/>
                      <w:szCs w:val="21"/>
                    </w:rPr>
                  </w:pPr>
                </w:p>
              </w:tc>
              <w:tc>
                <w:tcPr>
                  <w:tcW w:w="0" w:type="auto"/>
                  <w:vMerge w:val="continue"/>
                  <w:shd w:val="clear" w:color="auto" w:fill="auto"/>
                  <w:vAlign w:val="center"/>
                </w:tcPr>
                <w:p w14:paraId="495FA401">
                  <w:pPr>
                    <w:jc w:val="center"/>
                    <w:rPr>
                      <w:bCs/>
                      <w:color w:val="auto"/>
                      <w:spacing w:val="-10"/>
                      <w:sz w:val="21"/>
                      <w:szCs w:val="21"/>
                    </w:rPr>
                  </w:pPr>
                </w:p>
              </w:tc>
              <w:tc>
                <w:tcPr>
                  <w:tcW w:w="0" w:type="auto"/>
                  <w:vMerge w:val="continue"/>
                  <w:shd w:val="clear" w:color="auto" w:fill="auto"/>
                  <w:vAlign w:val="center"/>
                </w:tcPr>
                <w:p w14:paraId="752385BD">
                  <w:pPr>
                    <w:jc w:val="center"/>
                    <w:rPr>
                      <w:bCs/>
                      <w:color w:val="auto"/>
                      <w:spacing w:val="-10"/>
                      <w:sz w:val="21"/>
                      <w:szCs w:val="21"/>
                    </w:rPr>
                  </w:pPr>
                </w:p>
              </w:tc>
              <w:tc>
                <w:tcPr>
                  <w:tcW w:w="821" w:type="dxa"/>
                  <w:shd w:val="clear" w:color="auto" w:fill="auto"/>
                  <w:vAlign w:val="center"/>
                </w:tcPr>
                <w:p w14:paraId="6ECE9985">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0.1296 </w:t>
                  </w:r>
                </w:p>
              </w:tc>
              <w:tc>
                <w:tcPr>
                  <w:tcW w:w="0" w:type="auto"/>
                  <w:shd w:val="clear" w:color="auto" w:fill="auto"/>
                  <w:vAlign w:val="center"/>
                </w:tcPr>
                <w:p w14:paraId="06E478E2">
                  <w:pPr>
                    <w:widowControl/>
                    <w:jc w:val="center"/>
                    <w:textAlignment w:val="center"/>
                    <w:rPr>
                      <w:bCs/>
                      <w:color w:val="auto"/>
                      <w:spacing w:val="-10"/>
                      <w:sz w:val="21"/>
                      <w:szCs w:val="21"/>
                    </w:rPr>
                  </w:pPr>
                  <w:r>
                    <w:rPr>
                      <w:color w:val="auto"/>
                      <w:kern w:val="0"/>
                      <w:sz w:val="21"/>
                      <w:szCs w:val="21"/>
                      <w:lang w:bidi="ar"/>
                    </w:rPr>
                    <w:t>7.06</w:t>
                  </w:r>
                </w:p>
              </w:tc>
              <w:tc>
                <w:tcPr>
                  <w:tcW w:w="0" w:type="auto"/>
                  <w:vMerge w:val="continue"/>
                  <w:shd w:val="clear" w:color="auto" w:fill="auto"/>
                  <w:vAlign w:val="center"/>
                </w:tcPr>
                <w:p w14:paraId="05FE296E">
                  <w:pPr>
                    <w:jc w:val="center"/>
                    <w:rPr>
                      <w:bCs/>
                      <w:color w:val="FF0000"/>
                      <w:spacing w:val="-10"/>
                      <w:sz w:val="21"/>
                      <w:szCs w:val="21"/>
                    </w:rPr>
                  </w:pPr>
                </w:p>
              </w:tc>
              <w:tc>
                <w:tcPr>
                  <w:tcW w:w="0" w:type="auto"/>
                  <w:vMerge w:val="continue"/>
                  <w:shd w:val="clear" w:color="auto" w:fill="auto"/>
                  <w:vAlign w:val="center"/>
                </w:tcPr>
                <w:p w14:paraId="028824B3">
                  <w:pPr>
                    <w:jc w:val="center"/>
                    <w:rPr>
                      <w:bCs/>
                      <w:color w:val="FF0000"/>
                      <w:spacing w:val="-10"/>
                      <w:sz w:val="21"/>
                      <w:szCs w:val="21"/>
                    </w:rPr>
                  </w:pPr>
                </w:p>
              </w:tc>
            </w:tr>
            <w:tr w14:paraId="7FA0D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33030B17">
                  <w:pPr>
                    <w:jc w:val="center"/>
                    <w:rPr>
                      <w:bCs/>
                      <w:color w:val="auto"/>
                      <w:spacing w:val="-10"/>
                      <w:sz w:val="21"/>
                      <w:szCs w:val="21"/>
                    </w:rPr>
                  </w:pPr>
                </w:p>
              </w:tc>
              <w:tc>
                <w:tcPr>
                  <w:tcW w:w="0" w:type="auto"/>
                  <w:shd w:val="clear" w:color="auto" w:fill="auto"/>
                  <w:vAlign w:val="center"/>
                </w:tcPr>
                <w:p w14:paraId="16CD34CB">
                  <w:pPr>
                    <w:widowControl/>
                    <w:jc w:val="center"/>
                    <w:textAlignment w:val="center"/>
                    <w:rPr>
                      <w:bCs/>
                      <w:color w:val="auto"/>
                      <w:spacing w:val="-10"/>
                      <w:sz w:val="21"/>
                      <w:szCs w:val="21"/>
                    </w:rPr>
                  </w:pPr>
                  <w:r>
                    <w:rPr>
                      <w:color w:val="auto"/>
                      <w:kern w:val="0"/>
                      <w:sz w:val="21"/>
                      <w:szCs w:val="21"/>
                      <w:lang w:bidi="ar"/>
                    </w:rPr>
                    <w:t>SS</w:t>
                  </w:r>
                </w:p>
              </w:tc>
              <w:tc>
                <w:tcPr>
                  <w:tcW w:w="1047" w:type="dxa"/>
                  <w:vMerge w:val="continue"/>
                  <w:shd w:val="clear" w:color="auto" w:fill="auto"/>
                  <w:vAlign w:val="center"/>
                </w:tcPr>
                <w:p w14:paraId="596F1581">
                  <w:pPr>
                    <w:jc w:val="center"/>
                    <w:rPr>
                      <w:bCs/>
                      <w:color w:val="auto"/>
                      <w:spacing w:val="-10"/>
                      <w:sz w:val="21"/>
                      <w:szCs w:val="21"/>
                    </w:rPr>
                  </w:pPr>
                </w:p>
              </w:tc>
              <w:tc>
                <w:tcPr>
                  <w:tcW w:w="821" w:type="dxa"/>
                  <w:shd w:val="clear" w:color="auto" w:fill="auto"/>
                  <w:vAlign w:val="center"/>
                </w:tcPr>
                <w:p w14:paraId="1598D3D4">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1.3586 </w:t>
                  </w:r>
                </w:p>
              </w:tc>
              <w:tc>
                <w:tcPr>
                  <w:tcW w:w="0" w:type="auto"/>
                  <w:shd w:val="clear" w:color="auto" w:fill="auto"/>
                  <w:vAlign w:val="center"/>
                </w:tcPr>
                <w:p w14:paraId="230316F4">
                  <w:pPr>
                    <w:widowControl/>
                    <w:jc w:val="center"/>
                    <w:textAlignment w:val="center"/>
                    <w:rPr>
                      <w:bCs/>
                      <w:color w:val="auto"/>
                      <w:spacing w:val="-10"/>
                      <w:sz w:val="21"/>
                      <w:szCs w:val="21"/>
                    </w:rPr>
                  </w:pPr>
                  <w:r>
                    <w:rPr>
                      <w:color w:val="auto"/>
                      <w:kern w:val="0"/>
                      <w:sz w:val="21"/>
                      <w:szCs w:val="21"/>
                      <w:lang w:bidi="ar"/>
                    </w:rPr>
                    <w:t>74</w:t>
                  </w:r>
                </w:p>
              </w:tc>
              <w:tc>
                <w:tcPr>
                  <w:tcW w:w="0" w:type="auto"/>
                  <w:vMerge w:val="continue"/>
                  <w:shd w:val="clear" w:color="auto" w:fill="auto"/>
                  <w:vAlign w:val="center"/>
                </w:tcPr>
                <w:p w14:paraId="48944530">
                  <w:pPr>
                    <w:jc w:val="center"/>
                    <w:rPr>
                      <w:bCs/>
                      <w:color w:val="auto"/>
                      <w:spacing w:val="-10"/>
                      <w:sz w:val="21"/>
                      <w:szCs w:val="21"/>
                    </w:rPr>
                  </w:pPr>
                </w:p>
              </w:tc>
              <w:tc>
                <w:tcPr>
                  <w:tcW w:w="0" w:type="auto"/>
                  <w:vMerge w:val="continue"/>
                  <w:shd w:val="clear" w:color="auto" w:fill="auto"/>
                  <w:vAlign w:val="center"/>
                </w:tcPr>
                <w:p w14:paraId="7B2F2544">
                  <w:pPr>
                    <w:jc w:val="center"/>
                    <w:rPr>
                      <w:bCs/>
                      <w:color w:val="auto"/>
                      <w:spacing w:val="-10"/>
                      <w:sz w:val="21"/>
                      <w:szCs w:val="21"/>
                    </w:rPr>
                  </w:pPr>
                </w:p>
              </w:tc>
              <w:tc>
                <w:tcPr>
                  <w:tcW w:w="0" w:type="auto"/>
                  <w:vMerge w:val="continue"/>
                  <w:shd w:val="clear" w:color="auto" w:fill="auto"/>
                  <w:vAlign w:val="center"/>
                </w:tcPr>
                <w:p w14:paraId="5AB591F2">
                  <w:pPr>
                    <w:jc w:val="center"/>
                    <w:rPr>
                      <w:bCs/>
                      <w:color w:val="auto"/>
                      <w:spacing w:val="-10"/>
                      <w:sz w:val="21"/>
                      <w:szCs w:val="21"/>
                    </w:rPr>
                  </w:pPr>
                </w:p>
              </w:tc>
              <w:tc>
                <w:tcPr>
                  <w:tcW w:w="0" w:type="auto"/>
                  <w:vMerge w:val="continue"/>
                  <w:shd w:val="clear" w:color="auto" w:fill="auto"/>
                  <w:vAlign w:val="center"/>
                </w:tcPr>
                <w:p w14:paraId="02ACCEA7">
                  <w:pPr>
                    <w:jc w:val="center"/>
                    <w:rPr>
                      <w:bCs/>
                      <w:color w:val="auto"/>
                      <w:spacing w:val="-10"/>
                      <w:sz w:val="21"/>
                      <w:szCs w:val="21"/>
                    </w:rPr>
                  </w:pPr>
                </w:p>
              </w:tc>
              <w:tc>
                <w:tcPr>
                  <w:tcW w:w="821" w:type="dxa"/>
                  <w:shd w:val="clear" w:color="auto" w:fill="auto"/>
                  <w:vAlign w:val="center"/>
                </w:tcPr>
                <w:p w14:paraId="3A809910">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0.6793 </w:t>
                  </w:r>
                </w:p>
              </w:tc>
              <w:tc>
                <w:tcPr>
                  <w:tcW w:w="0" w:type="auto"/>
                  <w:shd w:val="clear" w:color="auto" w:fill="auto"/>
                  <w:vAlign w:val="center"/>
                </w:tcPr>
                <w:p w14:paraId="727CBDB9">
                  <w:pPr>
                    <w:widowControl/>
                    <w:jc w:val="center"/>
                    <w:textAlignment w:val="center"/>
                    <w:rPr>
                      <w:bCs/>
                      <w:color w:val="auto"/>
                      <w:spacing w:val="-10"/>
                      <w:sz w:val="21"/>
                      <w:szCs w:val="21"/>
                    </w:rPr>
                  </w:pPr>
                  <w:r>
                    <w:rPr>
                      <w:color w:val="auto"/>
                      <w:kern w:val="0"/>
                      <w:sz w:val="21"/>
                      <w:szCs w:val="21"/>
                      <w:lang w:bidi="ar"/>
                    </w:rPr>
                    <w:t>37</w:t>
                  </w:r>
                </w:p>
              </w:tc>
              <w:tc>
                <w:tcPr>
                  <w:tcW w:w="0" w:type="auto"/>
                  <w:vMerge w:val="continue"/>
                  <w:shd w:val="clear" w:color="auto" w:fill="auto"/>
                  <w:vAlign w:val="center"/>
                </w:tcPr>
                <w:p w14:paraId="36875AEB">
                  <w:pPr>
                    <w:jc w:val="center"/>
                    <w:rPr>
                      <w:bCs/>
                      <w:color w:val="FF0000"/>
                      <w:spacing w:val="-10"/>
                      <w:sz w:val="21"/>
                      <w:szCs w:val="21"/>
                    </w:rPr>
                  </w:pPr>
                </w:p>
              </w:tc>
              <w:tc>
                <w:tcPr>
                  <w:tcW w:w="0" w:type="auto"/>
                  <w:vMerge w:val="continue"/>
                  <w:shd w:val="clear" w:color="auto" w:fill="auto"/>
                  <w:vAlign w:val="center"/>
                </w:tcPr>
                <w:p w14:paraId="01B7B4D4">
                  <w:pPr>
                    <w:jc w:val="center"/>
                    <w:rPr>
                      <w:bCs/>
                      <w:color w:val="FF0000"/>
                      <w:spacing w:val="-10"/>
                      <w:sz w:val="21"/>
                      <w:szCs w:val="21"/>
                    </w:rPr>
                  </w:pPr>
                </w:p>
              </w:tc>
            </w:tr>
            <w:tr w14:paraId="7F2614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vMerge w:val="continue"/>
                  <w:shd w:val="clear" w:color="auto" w:fill="auto"/>
                  <w:vAlign w:val="center"/>
                </w:tcPr>
                <w:p w14:paraId="58B64544">
                  <w:pPr>
                    <w:jc w:val="center"/>
                    <w:rPr>
                      <w:bCs/>
                      <w:color w:val="auto"/>
                      <w:spacing w:val="-10"/>
                      <w:sz w:val="21"/>
                      <w:szCs w:val="21"/>
                    </w:rPr>
                  </w:pPr>
                </w:p>
              </w:tc>
              <w:tc>
                <w:tcPr>
                  <w:tcW w:w="0" w:type="auto"/>
                  <w:shd w:val="clear" w:color="auto" w:fill="auto"/>
                  <w:vAlign w:val="center"/>
                </w:tcPr>
                <w:p w14:paraId="638C2BBA">
                  <w:pPr>
                    <w:widowControl/>
                    <w:jc w:val="center"/>
                    <w:textAlignment w:val="center"/>
                    <w:rPr>
                      <w:bCs/>
                      <w:color w:val="auto"/>
                      <w:sz w:val="21"/>
                      <w:szCs w:val="21"/>
                    </w:rPr>
                  </w:pPr>
                  <w:r>
                    <w:rPr>
                      <w:color w:val="auto"/>
                      <w:kern w:val="0"/>
                      <w:sz w:val="21"/>
                      <w:szCs w:val="21"/>
                      <w:lang w:bidi="ar"/>
                    </w:rPr>
                    <w:t>LAS</w:t>
                  </w:r>
                </w:p>
              </w:tc>
              <w:tc>
                <w:tcPr>
                  <w:tcW w:w="1047" w:type="dxa"/>
                  <w:vMerge w:val="continue"/>
                  <w:shd w:val="clear" w:color="auto" w:fill="auto"/>
                  <w:vAlign w:val="center"/>
                </w:tcPr>
                <w:p w14:paraId="1376593D">
                  <w:pPr>
                    <w:jc w:val="center"/>
                    <w:rPr>
                      <w:bCs/>
                      <w:color w:val="auto"/>
                      <w:spacing w:val="-10"/>
                      <w:sz w:val="21"/>
                      <w:szCs w:val="21"/>
                    </w:rPr>
                  </w:pPr>
                </w:p>
              </w:tc>
              <w:tc>
                <w:tcPr>
                  <w:tcW w:w="821" w:type="dxa"/>
                  <w:vAlign w:val="center"/>
                </w:tcPr>
                <w:p w14:paraId="3E4A2465">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0.0040 </w:t>
                  </w:r>
                </w:p>
              </w:tc>
              <w:tc>
                <w:tcPr>
                  <w:tcW w:w="0" w:type="auto"/>
                  <w:shd w:val="clear" w:color="auto" w:fill="auto"/>
                  <w:vAlign w:val="center"/>
                </w:tcPr>
                <w:p w14:paraId="3D63091D">
                  <w:pPr>
                    <w:widowControl/>
                    <w:jc w:val="center"/>
                    <w:textAlignment w:val="center"/>
                    <w:rPr>
                      <w:rFonts w:hint="eastAsia" w:eastAsia="宋体"/>
                      <w:bCs/>
                      <w:color w:val="auto"/>
                      <w:spacing w:val="-10"/>
                      <w:sz w:val="21"/>
                      <w:szCs w:val="21"/>
                      <w:lang w:eastAsia="zh-CN"/>
                    </w:rPr>
                  </w:pPr>
                  <w:r>
                    <w:rPr>
                      <w:color w:val="auto"/>
                      <w:kern w:val="0"/>
                      <w:sz w:val="21"/>
                      <w:szCs w:val="21"/>
                      <w:lang w:bidi="ar"/>
                    </w:rPr>
                    <w:t>0.2</w:t>
                  </w:r>
                  <w:r>
                    <w:rPr>
                      <w:rFonts w:hint="eastAsia"/>
                      <w:color w:val="auto"/>
                      <w:kern w:val="0"/>
                      <w:sz w:val="21"/>
                      <w:szCs w:val="21"/>
                      <w:lang w:val="en-US" w:eastAsia="zh-CN" w:bidi="ar"/>
                    </w:rPr>
                    <w:t>2</w:t>
                  </w:r>
                </w:p>
              </w:tc>
              <w:tc>
                <w:tcPr>
                  <w:tcW w:w="0" w:type="auto"/>
                  <w:vMerge w:val="continue"/>
                  <w:shd w:val="clear" w:color="auto" w:fill="auto"/>
                  <w:vAlign w:val="center"/>
                </w:tcPr>
                <w:p w14:paraId="1B616FE2">
                  <w:pPr>
                    <w:jc w:val="center"/>
                    <w:rPr>
                      <w:bCs/>
                      <w:color w:val="auto"/>
                      <w:spacing w:val="-10"/>
                      <w:sz w:val="21"/>
                      <w:szCs w:val="21"/>
                    </w:rPr>
                  </w:pPr>
                </w:p>
              </w:tc>
              <w:tc>
                <w:tcPr>
                  <w:tcW w:w="0" w:type="auto"/>
                  <w:vMerge w:val="continue"/>
                  <w:shd w:val="clear" w:color="auto" w:fill="auto"/>
                  <w:vAlign w:val="center"/>
                </w:tcPr>
                <w:p w14:paraId="040DFC7C">
                  <w:pPr>
                    <w:jc w:val="center"/>
                    <w:rPr>
                      <w:bCs/>
                      <w:color w:val="auto"/>
                      <w:spacing w:val="-10"/>
                      <w:sz w:val="21"/>
                      <w:szCs w:val="21"/>
                    </w:rPr>
                  </w:pPr>
                </w:p>
              </w:tc>
              <w:tc>
                <w:tcPr>
                  <w:tcW w:w="0" w:type="auto"/>
                  <w:vMerge w:val="continue"/>
                  <w:shd w:val="clear" w:color="auto" w:fill="auto"/>
                  <w:vAlign w:val="center"/>
                </w:tcPr>
                <w:p w14:paraId="279BCA2F">
                  <w:pPr>
                    <w:jc w:val="center"/>
                    <w:rPr>
                      <w:bCs/>
                      <w:color w:val="auto"/>
                      <w:spacing w:val="-10"/>
                      <w:sz w:val="21"/>
                      <w:szCs w:val="21"/>
                    </w:rPr>
                  </w:pPr>
                </w:p>
              </w:tc>
              <w:tc>
                <w:tcPr>
                  <w:tcW w:w="0" w:type="auto"/>
                  <w:vMerge w:val="continue"/>
                  <w:shd w:val="clear" w:color="auto" w:fill="auto"/>
                  <w:vAlign w:val="center"/>
                </w:tcPr>
                <w:p w14:paraId="1EA83C33">
                  <w:pPr>
                    <w:jc w:val="center"/>
                    <w:rPr>
                      <w:bCs/>
                      <w:color w:val="auto"/>
                      <w:spacing w:val="-10"/>
                      <w:sz w:val="21"/>
                      <w:szCs w:val="21"/>
                    </w:rPr>
                  </w:pPr>
                </w:p>
              </w:tc>
              <w:tc>
                <w:tcPr>
                  <w:tcW w:w="821" w:type="dxa"/>
                  <w:shd w:val="clear" w:color="auto" w:fill="auto"/>
                  <w:vAlign w:val="center"/>
                </w:tcPr>
                <w:p w14:paraId="371A432D">
                  <w:pPr>
                    <w:keepNext w:val="0"/>
                    <w:keepLines w:val="0"/>
                    <w:widowControl/>
                    <w:suppressLineNumbers w:val="0"/>
                    <w:jc w:val="center"/>
                    <w:textAlignment w:val="center"/>
                    <w:rPr>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 xml:space="preserve">0.0039 </w:t>
                  </w:r>
                </w:p>
              </w:tc>
              <w:tc>
                <w:tcPr>
                  <w:tcW w:w="0" w:type="auto"/>
                  <w:shd w:val="clear" w:color="auto" w:fill="auto"/>
                  <w:vAlign w:val="center"/>
                </w:tcPr>
                <w:p w14:paraId="058FD63D">
                  <w:pPr>
                    <w:widowControl/>
                    <w:jc w:val="center"/>
                    <w:textAlignment w:val="center"/>
                    <w:rPr>
                      <w:bCs/>
                      <w:color w:val="auto"/>
                      <w:spacing w:val="-10"/>
                      <w:sz w:val="21"/>
                      <w:szCs w:val="21"/>
                    </w:rPr>
                  </w:pPr>
                  <w:r>
                    <w:rPr>
                      <w:color w:val="auto"/>
                      <w:kern w:val="0"/>
                      <w:sz w:val="21"/>
                      <w:szCs w:val="21"/>
                      <w:lang w:bidi="ar"/>
                    </w:rPr>
                    <w:t>0.21</w:t>
                  </w:r>
                </w:p>
              </w:tc>
              <w:tc>
                <w:tcPr>
                  <w:tcW w:w="0" w:type="auto"/>
                  <w:vMerge w:val="continue"/>
                  <w:shd w:val="clear" w:color="auto" w:fill="auto"/>
                  <w:vAlign w:val="center"/>
                </w:tcPr>
                <w:p w14:paraId="7A1AA12C">
                  <w:pPr>
                    <w:jc w:val="center"/>
                    <w:rPr>
                      <w:bCs/>
                      <w:color w:val="FF0000"/>
                      <w:spacing w:val="-10"/>
                      <w:sz w:val="21"/>
                      <w:szCs w:val="21"/>
                    </w:rPr>
                  </w:pPr>
                </w:p>
              </w:tc>
              <w:tc>
                <w:tcPr>
                  <w:tcW w:w="0" w:type="auto"/>
                  <w:vMerge w:val="continue"/>
                  <w:shd w:val="clear" w:color="auto" w:fill="auto"/>
                  <w:vAlign w:val="center"/>
                </w:tcPr>
                <w:p w14:paraId="6AA60BF8">
                  <w:pPr>
                    <w:jc w:val="center"/>
                    <w:rPr>
                      <w:bCs/>
                      <w:color w:val="FF0000"/>
                      <w:spacing w:val="-10"/>
                      <w:sz w:val="21"/>
                      <w:szCs w:val="21"/>
                    </w:rPr>
                  </w:pPr>
                </w:p>
              </w:tc>
            </w:tr>
          </w:tbl>
          <w:p w14:paraId="72DABF02">
            <w:pPr>
              <w:tabs>
                <w:tab w:val="left" w:pos="8580"/>
              </w:tabs>
              <w:adjustRightInd w:val="0"/>
              <w:snapToGrid w:val="0"/>
              <w:spacing w:line="360" w:lineRule="auto"/>
              <w:ind w:firstLine="482" w:firstLineChars="200"/>
              <w:rPr>
                <w:rFonts w:hint="eastAsia" w:hAnsi="宋体"/>
                <w:b/>
                <w:bCs/>
                <w:color w:val="auto"/>
                <w:kern w:val="0"/>
                <w:sz w:val="24"/>
              </w:rPr>
            </w:pPr>
            <w:r>
              <w:rPr>
                <w:rFonts w:hint="eastAsia" w:hAnsi="宋体"/>
                <w:b/>
                <w:bCs/>
                <w:color w:val="auto"/>
                <w:kern w:val="0"/>
                <w:sz w:val="24"/>
              </w:rPr>
              <w:t>2、排放口情况</w:t>
            </w:r>
          </w:p>
          <w:p w14:paraId="4CDE9CBF">
            <w:pPr>
              <w:adjustRightInd w:val="0"/>
              <w:snapToGrid w:val="0"/>
              <w:spacing w:line="360" w:lineRule="auto"/>
              <w:ind w:firstLine="480" w:firstLineChars="200"/>
              <w:rPr>
                <w:rFonts w:cs="宋体"/>
                <w:color w:val="auto"/>
                <w:kern w:val="0"/>
                <w:sz w:val="24"/>
              </w:rPr>
            </w:pPr>
            <w:r>
              <w:rPr>
                <w:rFonts w:hint="eastAsia" w:cs="宋体"/>
                <w:color w:val="auto"/>
                <w:kern w:val="0"/>
                <w:sz w:val="24"/>
              </w:rPr>
              <w:t>项目废水排放口情况如下表：</w:t>
            </w:r>
          </w:p>
          <w:p w14:paraId="13303051">
            <w:pPr>
              <w:adjustRightInd w:val="0"/>
              <w:snapToGrid w:val="0"/>
              <w:spacing w:before="120" w:beforeLines="50"/>
              <w:jc w:val="center"/>
              <w:rPr>
                <w:b/>
                <w:color w:val="auto"/>
                <w:szCs w:val="21"/>
              </w:rPr>
            </w:pPr>
            <w:r>
              <w:rPr>
                <w:rFonts w:hint="eastAsia"/>
                <w:b/>
                <w:color w:val="auto"/>
                <w:szCs w:val="21"/>
              </w:rPr>
              <w:t>表4-4  本项目废水排放口设置情况</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18"/>
              <w:gridCol w:w="1848"/>
              <w:gridCol w:w="2091"/>
              <w:gridCol w:w="1394"/>
              <w:gridCol w:w="2887"/>
            </w:tblGrid>
            <w:tr w14:paraId="60E6E1C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9" w:type="pct"/>
                  <w:vAlign w:val="center"/>
                </w:tcPr>
                <w:p w14:paraId="3ABA609A">
                  <w:pPr>
                    <w:adjustRightInd w:val="0"/>
                    <w:snapToGrid w:val="0"/>
                    <w:jc w:val="center"/>
                    <w:rPr>
                      <w:b/>
                      <w:color w:val="auto"/>
                      <w:szCs w:val="21"/>
                    </w:rPr>
                  </w:pPr>
                  <w:r>
                    <w:rPr>
                      <w:b/>
                      <w:color w:val="auto"/>
                      <w:szCs w:val="21"/>
                    </w:rPr>
                    <w:t>编号</w:t>
                  </w:r>
                </w:p>
              </w:tc>
              <w:tc>
                <w:tcPr>
                  <w:tcW w:w="989" w:type="pct"/>
                  <w:shd w:val="clear" w:color="auto" w:fill="auto"/>
                  <w:vAlign w:val="center"/>
                </w:tcPr>
                <w:p w14:paraId="1B18D13C">
                  <w:pPr>
                    <w:adjustRightInd w:val="0"/>
                    <w:snapToGrid w:val="0"/>
                    <w:jc w:val="center"/>
                    <w:rPr>
                      <w:b/>
                      <w:color w:val="auto"/>
                      <w:szCs w:val="21"/>
                    </w:rPr>
                  </w:pPr>
                  <w:r>
                    <w:rPr>
                      <w:b/>
                      <w:color w:val="auto"/>
                      <w:szCs w:val="21"/>
                    </w:rPr>
                    <w:t>排放口名称</w:t>
                  </w:r>
                </w:p>
              </w:tc>
              <w:tc>
                <w:tcPr>
                  <w:tcW w:w="1119" w:type="pct"/>
                  <w:shd w:val="clear" w:color="auto" w:fill="auto"/>
                  <w:vAlign w:val="center"/>
                </w:tcPr>
                <w:p w14:paraId="221FA3BF">
                  <w:pPr>
                    <w:adjustRightInd w:val="0"/>
                    <w:snapToGrid w:val="0"/>
                    <w:jc w:val="center"/>
                    <w:rPr>
                      <w:b/>
                      <w:color w:val="auto"/>
                      <w:szCs w:val="21"/>
                    </w:rPr>
                  </w:pPr>
                  <w:r>
                    <w:rPr>
                      <w:rFonts w:hint="eastAsia"/>
                      <w:b/>
                      <w:color w:val="auto"/>
                      <w:szCs w:val="21"/>
                    </w:rPr>
                    <w:t>坐标</w:t>
                  </w:r>
                </w:p>
              </w:tc>
              <w:tc>
                <w:tcPr>
                  <w:tcW w:w="746" w:type="pct"/>
                  <w:shd w:val="clear" w:color="auto" w:fill="auto"/>
                  <w:vAlign w:val="center"/>
                </w:tcPr>
                <w:p w14:paraId="32D98BA9">
                  <w:pPr>
                    <w:adjustRightInd w:val="0"/>
                    <w:snapToGrid w:val="0"/>
                    <w:jc w:val="center"/>
                    <w:rPr>
                      <w:b/>
                      <w:color w:val="auto"/>
                      <w:szCs w:val="21"/>
                    </w:rPr>
                  </w:pPr>
                  <w:r>
                    <w:rPr>
                      <w:rFonts w:hint="eastAsia"/>
                      <w:b/>
                      <w:color w:val="auto"/>
                      <w:szCs w:val="21"/>
                    </w:rPr>
                    <w:t>类型</w:t>
                  </w:r>
                </w:p>
              </w:tc>
              <w:tc>
                <w:tcPr>
                  <w:tcW w:w="1545" w:type="pct"/>
                  <w:vAlign w:val="center"/>
                </w:tcPr>
                <w:p w14:paraId="5ECFB1DA">
                  <w:pPr>
                    <w:adjustRightInd w:val="0"/>
                    <w:snapToGrid w:val="0"/>
                    <w:jc w:val="center"/>
                    <w:rPr>
                      <w:b/>
                      <w:color w:val="auto"/>
                      <w:szCs w:val="21"/>
                    </w:rPr>
                  </w:pPr>
                  <w:r>
                    <w:rPr>
                      <w:rFonts w:hint="eastAsia"/>
                      <w:b/>
                      <w:color w:val="auto"/>
                      <w:szCs w:val="21"/>
                    </w:rPr>
                    <w:t>排放标准</w:t>
                  </w:r>
                </w:p>
              </w:tc>
            </w:tr>
            <w:tr w14:paraId="100C090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99" w:type="pct"/>
                  <w:vAlign w:val="center"/>
                </w:tcPr>
                <w:p w14:paraId="147019C9">
                  <w:pPr>
                    <w:adjustRightInd w:val="0"/>
                    <w:snapToGrid w:val="0"/>
                    <w:jc w:val="center"/>
                    <w:rPr>
                      <w:color w:val="auto"/>
                      <w:szCs w:val="21"/>
                    </w:rPr>
                  </w:pPr>
                  <w:r>
                    <w:rPr>
                      <w:rFonts w:hint="eastAsia"/>
                      <w:color w:val="auto"/>
                      <w:szCs w:val="21"/>
                    </w:rPr>
                    <w:t>DW001</w:t>
                  </w:r>
                </w:p>
              </w:tc>
              <w:tc>
                <w:tcPr>
                  <w:tcW w:w="989" w:type="pct"/>
                  <w:shd w:val="clear" w:color="auto" w:fill="auto"/>
                  <w:vAlign w:val="center"/>
                </w:tcPr>
                <w:p w14:paraId="2B99F7FB">
                  <w:pPr>
                    <w:adjustRightInd w:val="0"/>
                    <w:snapToGrid w:val="0"/>
                    <w:jc w:val="center"/>
                    <w:rPr>
                      <w:color w:val="auto"/>
                      <w:szCs w:val="21"/>
                    </w:rPr>
                  </w:pPr>
                  <w:r>
                    <w:rPr>
                      <w:rFonts w:hint="eastAsia"/>
                      <w:color w:val="auto"/>
                      <w:szCs w:val="21"/>
                    </w:rPr>
                    <w:t>废水总排口</w:t>
                  </w:r>
                </w:p>
              </w:tc>
              <w:tc>
                <w:tcPr>
                  <w:tcW w:w="1119" w:type="pct"/>
                  <w:shd w:val="clear" w:color="auto" w:fill="auto"/>
                  <w:vAlign w:val="center"/>
                </w:tcPr>
                <w:p w14:paraId="4CCB285B">
                  <w:pPr>
                    <w:adjustRightInd w:val="0"/>
                    <w:snapToGrid w:val="0"/>
                    <w:jc w:val="center"/>
                    <w:rPr>
                      <w:color w:val="auto"/>
                      <w:szCs w:val="21"/>
                    </w:rPr>
                  </w:pPr>
                  <w:r>
                    <w:rPr>
                      <w:rFonts w:hint="eastAsia"/>
                      <w:color w:val="auto"/>
                      <w:szCs w:val="21"/>
                    </w:rPr>
                    <w:t>E 112.424757°</w:t>
                  </w:r>
                </w:p>
                <w:p w14:paraId="28D81289">
                  <w:pPr>
                    <w:adjustRightInd w:val="0"/>
                    <w:snapToGrid w:val="0"/>
                    <w:jc w:val="center"/>
                    <w:rPr>
                      <w:color w:val="auto"/>
                      <w:szCs w:val="21"/>
                    </w:rPr>
                  </w:pPr>
                  <w:r>
                    <w:rPr>
                      <w:rFonts w:hint="eastAsia"/>
                      <w:color w:val="auto"/>
                      <w:szCs w:val="21"/>
                    </w:rPr>
                    <w:t>N26.939965°</w:t>
                  </w:r>
                </w:p>
              </w:tc>
              <w:tc>
                <w:tcPr>
                  <w:tcW w:w="746" w:type="pct"/>
                  <w:shd w:val="clear" w:color="auto" w:fill="auto"/>
                  <w:vAlign w:val="center"/>
                </w:tcPr>
                <w:p w14:paraId="044BE5B1">
                  <w:pPr>
                    <w:adjustRightInd w:val="0"/>
                    <w:snapToGrid w:val="0"/>
                    <w:jc w:val="center"/>
                    <w:rPr>
                      <w:color w:val="auto"/>
                      <w:szCs w:val="21"/>
                    </w:rPr>
                  </w:pPr>
                  <w:r>
                    <w:rPr>
                      <w:rFonts w:hint="eastAsia"/>
                      <w:color w:val="auto"/>
                      <w:szCs w:val="21"/>
                    </w:rPr>
                    <w:t>一般排放口</w:t>
                  </w:r>
                </w:p>
              </w:tc>
              <w:tc>
                <w:tcPr>
                  <w:tcW w:w="1545" w:type="pct"/>
                  <w:vAlign w:val="center"/>
                </w:tcPr>
                <w:p w14:paraId="6EB77B8F">
                  <w:pPr>
                    <w:adjustRightInd w:val="0"/>
                    <w:snapToGrid w:val="0"/>
                    <w:jc w:val="center"/>
                    <w:rPr>
                      <w:color w:val="auto"/>
                      <w:szCs w:val="21"/>
                    </w:rPr>
                  </w:pPr>
                  <w:r>
                    <w:rPr>
                      <w:rFonts w:hint="eastAsia"/>
                      <w:color w:val="auto"/>
                      <w:szCs w:val="21"/>
                    </w:rPr>
                    <w:t>《医疗机构水污染物排放标准》（GB18466-2005）中表2预处理排放标准与《污水综合排放标准》（GB8978-1996）表4中三级标准两者中较严者</w:t>
                  </w:r>
                </w:p>
              </w:tc>
            </w:tr>
          </w:tbl>
          <w:p w14:paraId="38C1F5C7">
            <w:pPr>
              <w:adjustRightInd w:val="0"/>
              <w:snapToGrid w:val="0"/>
              <w:spacing w:line="360" w:lineRule="auto"/>
              <w:ind w:firstLine="482" w:firstLineChars="200"/>
              <w:rPr>
                <w:b/>
                <w:color w:val="auto"/>
                <w:sz w:val="24"/>
              </w:rPr>
            </w:pPr>
            <w:r>
              <w:rPr>
                <w:rFonts w:hint="eastAsia"/>
                <w:b/>
                <w:color w:val="auto"/>
                <w:sz w:val="24"/>
              </w:rPr>
              <w:t>3、监测要求</w:t>
            </w:r>
          </w:p>
          <w:p w14:paraId="03FEB6A7">
            <w:pPr>
              <w:adjustRightInd w:val="0"/>
              <w:snapToGrid w:val="0"/>
              <w:spacing w:line="360" w:lineRule="auto"/>
              <w:ind w:firstLine="480" w:firstLineChars="200"/>
              <w:rPr>
                <w:rFonts w:hint="eastAsia" w:hAnsi="宋体"/>
                <w:color w:val="auto"/>
                <w:sz w:val="24"/>
              </w:rPr>
            </w:pPr>
            <w:r>
              <w:rPr>
                <w:rFonts w:hAnsi="宋体"/>
                <w:bCs/>
                <w:color w:val="auto"/>
                <w:kern w:val="0"/>
                <w:sz w:val="24"/>
              </w:rPr>
              <w:t>本项目无行业排污许可核发技术规范文件，参照《排污单位自行监测技术指南</w:t>
            </w:r>
            <w:r>
              <w:rPr>
                <w:rFonts w:hint="eastAsia" w:hAnsi="宋体"/>
                <w:bCs/>
                <w:color w:val="auto"/>
                <w:kern w:val="0"/>
                <w:sz w:val="24"/>
              </w:rPr>
              <w:t xml:space="preserve"> 总则</w:t>
            </w:r>
            <w:r>
              <w:rPr>
                <w:rFonts w:hAnsi="宋体"/>
                <w:bCs/>
                <w:color w:val="auto"/>
                <w:kern w:val="0"/>
                <w:sz w:val="24"/>
              </w:rPr>
              <w:t>》（</w:t>
            </w:r>
            <w:r>
              <w:rPr>
                <w:rFonts w:hint="eastAsia" w:hAnsi="宋体"/>
                <w:bCs/>
                <w:color w:val="auto"/>
                <w:kern w:val="0"/>
                <w:sz w:val="24"/>
              </w:rPr>
              <w:t>HJ 819-2017</w:t>
            </w:r>
            <w:r>
              <w:rPr>
                <w:rFonts w:hAnsi="宋体"/>
                <w:bCs/>
                <w:color w:val="auto"/>
                <w:kern w:val="0"/>
                <w:sz w:val="24"/>
              </w:rPr>
              <w:t>）和</w:t>
            </w:r>
            <w:r>
              <w:rPr>
                <w:rFonts w:hint="eastAsia" w:cs="宋体"/>
                <w:color w:val="auto"/>
                <w:kern w:val="0"/>
                <w:sz w:val="24"/>
              </w:rPr>
              <w:t>《排污许可证申请与核发技术规范 总则》（HJ942-2018）中相关要求</w:t>
            </w:r>
            <w:r>
              <w:rPr>
                <w:rFonts w:hint="eastAsia" w:hAnsi="宋体"/>
                <w:color w:val="auto"/>
                <w:sz w:val="24"/>
              </w:rPr>
              <w:t>，制定</w:t>
            </w:r>
            <w:r>
              <w:rPr>
                <w:rFonts w:hAnsi="宋体"/>
                <w:color w:val="auto"/>
                <w:sz w:val="24"/>
              </w:rPr>
              <w:t>本项目废水监测计划，具体如下表所示。</w:t>
            </w:r>
          </w:p>
          <w:p w14:paraId="5DB1D299">
            <w:pPr>
              <w:adjustRightInd w:val="0"/>
              <w:snapToGrid w:val="0"/>
              <w:spacing w:before="120" w:beforeLines="50"/>
              <w:jc w:val="center"/>
              <w:rPr>
                <w:b/>
                <w:color w:val="auto"/>
                <w:szCs w:val="21"/>
              </w:rPr>
            </w:pPr>
            <w:r>
              <w:rPr>
                <w:rFonts w:hint="eastAsia"/>
                <w:b/>
                <w:color w:val="auto"/>
                <w:szCs w:val="21"/>
              </w:rPr>
              <w:t>表4-5  本项目水环境监测计划一览表</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268"/>
              <w:gridCol w:w="1972"/>
              <w:gridCol w:w="4363"/>
              <w:gridCol w:w="1735"/>
            </w:tblGrid>
            <w:tr w14:paraId="1652E4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9" w:type="pct"/>
                  <w:vAlign w:val="center"/>
                </w:tcPr>
                <w:p w14:paraId="09E91EB0">
                  <w:pPr>
                    <w:adjustRightInd w:val="0"/>
                    <w:snapToGrid w:val="0"/>
                    <w:jc w:val="center"/>
                    <w:rPr>
                      <w:b/>
                      <w:color w:val="auto"/>
                      <w:szCs w:val="21"/>
                    </w:rPr>
                  </w:pPr>
                  <w:r>
                    <w:rPr>
                      <w:b/>
                      <w:color w:val="auto"/>
                      <w:szCs w:val="21"/>
                    </w:rPr>
                    <w:t>类别</w:t>
                  </w:r>
                </w:p>
              </w:tc>
              <w:tc>
                <w:tcPr>
                  <w:tcW w:w="1056" w:type="pct"/>
                  <w:shd w:val="clear" w:color="auto" w:fill="auto"/>
                  <w:vAlign w:val="center"/>
                </w:tcPr>
                <w:p w14:paraId="4F4AF704">
                  <w:pPr>
                    <w:adjustRightInd w:val="0"/>
                    <w:snapToGrid w:val="0"/>
                    <w:jc w:val="center"/>
                    <w:rPr>
                      <w:b/>
                      <w:color w:val="auto"/>
                      <w:szCs w:val="21"/>
                    </w:rPr>
                  </w:pPr>
                  <w:r>
                    <w:rPr>
                      <w:b/>
                      <w:color w:val="auto"/>
                      <w:szCs w:val="21"/>
                    </w:rPr>
                    <w:t>监测点位</w:t>
                  </w:r>
                </w:p>
              </w:tc>
              <w:tc>
                <w:tcPr>
                  <w:tcW w:w="2336" w:type="pct"/>
                  <w:shd w:val="clear" w:color="auto" w:fill="auto"/>
                  <w:vAlign w:val="center"/>
                </w:tcPr>
                <w:p w14:paraId="09F32D52">
                  <w:pPr>
                    <w:adjustRightInd w:val="0"/>
                    <w:snapToGrid w:val="0"/>
                    <w:jc w:val="center"/>
                    <w:rPr>
                      <w:b/>
                      <w:color w:val="auto"/>
                      <w:szCs w:val="21"/>
                    </w:rPr>
                  </w:pPr>
                  <w:r>
                    <w:rPr>
                      <w:b/>
                      <w:color w:val="auto"/>
                      <w:szCs w:val="21"/>
                    </w:rPr>
                    <w:t>监测因子</w:t>
                  </w:r>
                </w:p>
              </w:tc>
              <w:tc>
                <w:tcPr>
                  <w:tcW w:w="929" w:type="pct"/>
                  <w:shd w:val="clear" w:color="auto" w:fill="auto"/>
                  <w:vAlign w:val="center"/>
                </w:tcPr>
                <w:p w14:paraId="511E6699">
                  <w:pPr>
                    <w:adjustRightInd w:val="0"/>
                    <w:snapToGrid w:val="0"/>
                    <w:jc w:val="center"/>
                    <w:rPr>
                      <w:b/>
                      <w:color w:val="auto"/>
                      <w:szCs w:val="21"/>
                    </w:rPr>
                  </w:pPr>
                  <w:r>
                    <w:rPr>
                      <w:b/>
                      <w:color w:val="auto"/>
                      <w:szCs w:val="21"/>
                    </w:rPr>
                    <w:t>监测频次</w:t>
                  </w:r>
                </w:p>
              </w:tc>
            </w:tr>
            <w:tr w14:paraId="0EE056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79" w:type="pct"/>
                  <w:vAlign w:val="center"/>
                </w:tcPr>
                <w:p w14:paraId="0508A86F">
                  <w:pPr>
                    <w:adjustRightInd w:val="0"/>
                    <w:snapToGrid w:val="0"/>
                    <w:jc w:val="center"/>
                    <w:rPr>
                      <w:color w:val="auto"/>
                      <w:szCs w:val="21"/>
                    </w:rPr>
                  </w:pPr>
                  <w:r>
                    <w:rPr>
                      <w:color w:val="auto"/>
                      <w:szCs w:val="21"/>
                    </w:rPr>
                    <w:t>废水</w:t>
                  </w:r>
                </w:p>
              </w:tc>
              <w:tc>
                <w:tcPr>
                  <w:tcW w:w="1056" w:type="pct"/>
                  <w:shd w:val="clear" w:color="auto" w:fill="auto"/>
                  <w:vAlign w:val="center"/>
                </w:tcPr>
                <w:p w14:paraId="38325722">
                  <w:pPr>
                    <w:adjustRightInd w:val="0"/>
                    <w:snapToGrid w:val="0"/>
                    <w:jc w:val="center"/>
                    <w:rPr>
                      <w:color w:val="auto"/>
                      <w:szCs w:val="21"/>
                    </w:rPr>
                  </w:pPr>
                  <w:r>
                    <w:rPr>
                      <w:color w:val="auto"/>
                      <w:szCs w:val="21"/>
                    </w:rPr>
                    <w:t>废水总排口</w:t>
                  </w:r>
                </w:p>
              </w:tc>
              <w:tc>
                <w:tcPr>
                  <w:tcW w:w="2336" w:type="pct"/>
                  <w:shd w:val="clear" w:color="auto" w:fill="auto"/>
                  <w:vAlign w:val="center"/>
                </w:tcPr>
                <w:p w14:paraId="7E457EA7">
                  <w:pPr>
                    <w:adjustRightInd w:val="0"/>
                    <w:snapToGrid w:val="0"/>
                    <w:jc w:val="center"/>
                    <w:rPr>
                      <w:color w:val="auto"/>
                      <w:szCs w:val="21"/>
                    </w:rPr>
                  </w:pPr>
                  <w:r>
                    <w:rPr>
                      <w:color w:val="auto"/>
                      <w:szCs w:val="21"/>
                    </w:rPr>
                    <w:t>流量、</w:t>
                  </w:r>
                  <w:r>
                    <w:rPr>
                      <w:rFonts w:hint="eastAsia"/>
                      <w:color w:val="auto"/>
                      <w:szCs w:val="21"/>
                    </w:rPr>
                    <w:t>pH、COD、氨氮、BOD</w:t>
                  </w:r>
                  <w:r>
                    <w:rPr>
                      <w:rFonts w:hint="eastAsia"/>
                      <w:color w:val="auto"/>
                      <w:szCs w:val="21"/>
                      <w:vertAlign w:val="subscript"/>
                    </w:rPr>
                    <w:t>5</w:t>
                  </w:r>
                  <w:r>
                    <w:rPr>
                      <w:rFonts w:hint="eastAsia"/>
                      <w:color w:val="auto"/>
                      <w:szCs w:val="21"/>
                    </w:rPr>
                    <w:t>、SS、LAS、动植物油、总余氯、粪大肠菌群</w:t>
                  </w:r>
                </w:p>
              </w:tc>
              <w:tc>
                <w:tcPr>
                  <w:tcW w:w="929" w:type="pct"/>
                  <w:shd w:val="clear" w:color="auto" w:fill="auto"/>
                  <w:vAlign w:val="center"/>
                </w:tcPr>
                <w:p w14:paraId="4B18BB90">
                  <w:pPr>
                    <w:adjustRightInd w:val="0"/>
                    <w:snapToGrid w:val="0"/>
                    <w:jc w:val="center"/>
                    <w:rPr>
                      <w:color w:val="auto"/>
                      <w:szCs w:val="21"/>
                    </w:rPr>
                  </w:pPr>
                  <w:r>
                    <w:rPr>
                      <w:rFonts w:hint="eastAsia"/>
                      <w:color w:val="auto"/>
                      <w:szCs w:val="21"/>
                    </w:rPr>
                    <w:t>1次/年</w:t>
                  </w:r>
                </w:p>
              </w:tc>
            </w:tr>
          </w:tbl>
          <w:p w14:paraId="4F657E38">
            <w:pPr>
              <w:adjustRightInd w:val="0"/>
              <w:snapToGrid w:val="0"/>
              <w:spacing w:line="360" w:lineRule="auto"/>
              <w:ind w:firstLine="482" w:firstLineChars="200"/>
              <w:rPr>
                <w:b/>
                <w:color w:val="auto"/>
                <w:sz w:val="24"/>
                <w:u w:val="single"/>
              </w:rPr>
            </w:pPr>
            <w:r>
              <w:rPr>
                <w:rFonts w:hint="eastAsia"/>
                <w:b/>
                <w:color w:val="auto"/>
                <w:sz w:val="24"/>
                <w:u w:val="single"/>
              </w:rPr>
              <w:t>4、废水处理设施依托可行性及依托集中污水处理厂可行性分析</w:t>
            </w:r>
          </w:p>
          <w:p w14:paraId="03A8151F">
            <w:pPr>
              <w:spacing w:line="360" w:lineRule="auto"/>
              <w:ind w:firstLine="482" w:firstLineChars="200"/>
              <w:outlineLvl w:val="0"/>
              <w:rPr>
                <w:b/>
                <w:color w:val="auto"/>
                <w:sz w:val="24"/>
                <w:u w:val="single"/>
              </w:rPr>
            </w:pPr>
            <w:bookmarkStart w:id="10" w:name="_Toc30445"/>
            <w:bookmarkStart w:id="11" w:name="_Toc29906"/>
            <w:r>
              <w:rPr>
                <w:rFonts w:hint="eastAsia"/>
                <w:b/>
                <w:color w:val="auto"/>
                <w:sz w:val="24"/>
                <w:u w:val="single"/>
              </w:rPr>
              <w:t>①处理工艺可行性分析</w:t>
            </w:r>
            <w:bookmarkEnd w:id="10"/>
            <w:bookmarkEnd w:id="11"/>
          </w:p>
          <w:p w14:paraId="623EF384">
            <w:pPr>
              <w:spacing w:line="360" w:lineRule="auto"/>
              <w:ind w:firstLine="480" w:firstLineChars="200"/>
              <w:outlineLvl w:val="0"/>
              <w:rPr>
                <w:bCs/>
                <w:color w:val="auto"/>
                <w:sz w:val="24"/>
                <w:u w:val="single"/>
              </w:rPr>
            </w:pPr>
            <w:bookmarkStart w:id="12" w:name="_Toc16622"/>
            <w:bookmarkStart w:id="13" w:name="_Toc11698"/>
            <w:r>
              <w:rPr>
                <w:rFonts w:hint="eastAsia"/>
                <w:bCs/>
                <w:color w:val="auto"/>
                <w:sz w:val="24"/>
                <w:u w:val="single"/>
              </w:rPr>
              <w:t>公司现有项目车间均设置预处理池，餐具洗涤车间设置有隔油沉淀池，布草洗涤车间设置有沉淀池，车间预处理后进入厂区废水处理站的处理，处理工艺采用“调节池+气浮+三级好氧+沉淀池”，根据</w:t>
            </w:r>
            <w:r>
              <w:rPr>
                <w:rFonts w:hint="eastAsia"/>
                <w:bCs/>
                <w:color w:val="auto"/>
                <w:sz w:val="24"/>
                <w:u w:val="single"/>
                <w:lang w:eastAsia="zh-CN"/>
              </w:rPr>
              <w:t>项目环保竣工验收报告及项目最新的自行监测报告</w:t>
            </w:r>
            <w:r>
              <w:rPr>
                <w:rFonts w:hint="eastAsia"/>
                <w:color w:val="auto"/>
                <w:sz w:val="24"/>
                <w:u w:val="single"/>
              </w:rPr>
              <w:t>，项目废水经废水处理站处理后可达到</w:t>
            </w:r>
            <w:r>
              <w:rPr>
                <w:rFonts w:hint="eastAsia"/>
                <w:bCs/>
                <w:color w:val="auto"/>
                <w:sz w:val="24"/>
                <w:u w:val="single"/>
              </w:rPr>
              <w:t>《污水综合排放标准》</w:t>
            </w:r>
            <w:r>
              <w:rPr>
                <w:rFonts w:hint="eastAsia"/>
                <w:bCs/>
                <w:color w:val="auto"/>
                <w:sz w:val="24"/>
                <w:u w:val="single"/>
                <w:lang w:eastAsia="zh-CN"/>
              </w:rPr>
              <w:t>（</w:t>
            </w:r>
            <w:r>
              <w:rPr>
                <w:rFonts w:hint="eastAsia"/>
                <w:bCs/>
                <w:color w:val="auto"/>
                <w:sz w:val="24"/>
                <w:u w:val="single"/>
              </w:rPr>
              <w:t>GB8978-1996</w:t>
            </w:r>
            <w:r>
              <w:rPr>
                <w:rFonts w:hint="eastAsia"/>
                <w:bCs/>
                <w:color w:val="auto"/>
                <w:sz w:val="24"/>
                <w:u w:val="single"/>
                <w:lang w:eastAsia="zh-CN"/>
              </w:rPr>
              <w:t>）</w:t>
            </w:r>
            <w:r>
              <w:rPr>
                <w:rFonts w:hint="eastAsia"/>
                <w:bCs/>
                <w:color w:val="auto"/>
                <w:sz w:val="24"/>
                <w:u w:val="single"/>
              </w:rPr>
              <w:t>表4中三级标准。</w:t>
            </w:r>
            <w:r>
              <w:rPr>
                <w:rFonts w:hint="eastAsia"/>
                <w:color w:val="auto"/>
                <w:sz w:val="24"/>
                <w:u w:val="single"/>
              </w:rPr>
              <w:t>要求。对比本次执行标准，能满足《医疗机构水污染物排放标准》（GB18466-2005）中表2预处理，扩建项目依托的</w:t>
            </w:r>
            <w:r>
              <w:rPr>
                <w:rFonts w:hint="eastAsia"/>
                <w:bCs/>
                <w:color w:val="auto"/>
                <w:sz w:val="24"/>
                <w:u w:val="single"/>
              </w:rPr>
              <w:t>废水处理站处理工艺可行。</w:t>
            </w:r>
            <w:bookmarkEnd w:id="12"/>
            <w:bookmarkEnd w:id="13"/>
          </w:p>
          <w:p w14:paraId="24110411">
            <w:pPr>
              <w:spacing w:line="360" w:lineRule="auto"/>
              <w:ind w:firstLine="482" w:firstLineChars="200"/>
              <w:outlineLvl w:val="0"/>
              <w:rPr>
                <w:b/>
                <w:color w:val="auto"/>
                <w:sz w:val="24"/>
                <w:u w:val="single"/>
              </w:rPr>
            </w:pPr>
            <w:bookmarkStart w:id="14" w:name="_Toc29801"/>
            <w:bookmarkStart w:id="15" w:name="_Toc24416"/>
            <w:r>
              <w:rPr>
                <w:rFonts w:hint="eastAsia"/>
                <w:b/>
                <w:color w:val="auto"/>
                <w:sz w:val="24"/>
                <w:u w:val="single"/>
              </w:rPr>
              <w:t>②处理规模可行性分析</w:t>
            </w:r>
            <w:bookmarkEnd w:id="14"/>
            <w:bookmarkEnd w:id="15"/>
          </w:p>
          <w:p w14:paraId="3BD5D658">
            <w:pPr>
              <w:spacing w:line="360" w:lineRule="auto"/>
              <w:ind w:firstLine="480" w:firstLineChars="200"/>
              <w:outlineLvl w:val="0"/>
              <w:rPr>
                <w:bCs/>
                <w:color w:val="auto"/>
                <w:sz w:val="24"/>
                <w:u w:val="single"/>
              </w:rPr>
            </w:pPr>
            <w:bookmarkStart w:id="16" w:name="_Toc27317"/>
            <w:bookmarkStart w:id="17" w:name="_Toc10203"/>
            <w:r>
              <w:rPr>
                <w:rFonts w:hint="eastAsia"/>
                <w:bCs/>
                <w:color w:val="auto"/>
                <w:sz w:val="24"/>
                <w:u w:val="single"/>
                <w:lang w:eastAsia="zh-CN"/>
              </w:rPr>
              <w:t>项目改扩建前废水量为</w:t>
            </w:r>
            <w:r>
              <w:rPr>
                <w:rFonts w:hint="eastAsia"/>
                <w:bCs/>
                <w:color w:val="auto"/>
                <w:sz w:val="24"/>
                <w:u w:val="single"/>
                <w:lang w:val="en-US" w:eastAsia="zh-CN"/>
              </w:rPr>
              <w:t>34.92m</w:t>
            </w:r>
            <w:r>
              <w:rPr>
                <w:rFonts w:hint="eastAsia"/>
                <w:color w:val="auto"/>
                <w:sz w:val="24"/>
                <w:u w:val="single"/>
              </w:rPr>
              <w:t>m</w:t>
            </w:r>
            <w:r>
              <w:rPr>
                <w:rFonts w:hint="eastAsia"/>
                <w:color w:val="auto"/>
                <w:sz w:val="24"/>
                <w:u w:val="single"/>
                <w:vertAlign w:val="superscript"/>
              </w:rPr>
              <w:t>3</w:t>
            </w:r>
            <w:r>
              <w:rPr>
                <w:rFonts w:hint="eastAsia"/>
                <w:color w:val="auto"/>
                <w:sz w:val="24"/>
                <w:u w:val="single"/>
              </w:rPr>
              <w:t>/d</w:t>
            </w:r>
            <w:r>
              <w:rPr>
                <w:bCs/>
                <w:color w:val="auto"/>
                <w:sz w:val="24"/>
                <w:u w:val="single"/>
              </w:rPr>
              <w:t>，</w:t>
            </w:r>
            <w:r>
              <w:rPr>
                <w:rFonts w:hint="eastAsia"/>
                <w:bCs/>
                <w:color w:val="auto"/>
                <w:sz w:val="24"/>
                <w:u w:val="single"/>
              </w:rPr>
              <w:t>项目现有废水处理站项目设有一个100m</w:t>
            </w:r>
            <w:r>
              <w:rPr>
                <w:rFonts w:hint="eastAsia"/>
                <w:bCs/>
                <w:color w:val="auto"/>
                <w:sz w:val="24"/>
                <w:u w:val="single"/>
                <w:vertAlign w:val="superscript"/>
              </w:rPr>
              <w:t>3</w:t>
            </w:r>
            <w:r>
              <w:rPr>
                <w:rFonts w:hint="eastAsia"/>
                <w:bCs/>
                <w:color w:val="auto"/>
                <w:sz w:val="24"/>
                <w:u w:val="single"/>
              </w:rPr>
              <w:t>的调节池，处理规模为10t/h，根据工程分析，项目改扩建后，</w:t>
            </w:r>
            <w:r>
              <w:rPr>
                <w:rFonts w:hint="eastAsia"/>
                <w:bCs/>
                <w:color w:val="auto"/>
                <w:sz w:val="24"/>
                <w:u w:val="single"/>
                <w:lang w:eastAsia="zh-CN"/>
              </w:rPr>
              <w:t>全厂</w:t>
            </w:r>
            <w:r>
              <w:rPr>
                <w:rFonts w:hint="eastAsia"/>
                <w:bCs/>
                <w:color w:val="auto"/>
                <w:sz w:val="24"/>
                <w:u w:val="single"/>
              </w:rPr>
              <w:t>废水量</w:t>
            </w:r>
            <w:r>
              <w:rPr>
                <w:bCs/>
                <w:color w:val="auto"/>
                <w:sz w:val="24"/>
                <w:u w:val="single"/>
              </w:rPr>
              <w:t>约</w:t>
            </w:r>
            <w:r>
              <w:rPr>
                <w:rFonts w:hint="eastAsia"/>
                <w:bCs/>
                <w:color w:val="auto"/>
                <w:sz w:val="24"/>
                <w:u w:val="single"/>
                <w:lang w:val="en-US" w:eastAsia="zh-CN"/>
              </w:rPr>
              <w:t>60</w:t>
            </w:r>
            <w:r>
              <w:rPr>
                <w:rFonts w:hint="eastAsia"/>
                <w:color w:val="auto"/>
                <w:sz w:val="24"/>
                <w:u w:val="single"/>
              </w:rPr>
              <w:t>m</w:t>
            </w:r>
            <w:r>
              <w:rPr>
                <w:rFonts w:hint="eastAsia"/>
                <w:color w:val="auto"/>
                <w:sz w:val="24"/>
                <w:u w:val="single"/>
                <w:vertAlign w:val="superscript"/>
              </w:rPr>
              <w:t>3</w:t>
            </w:r>
            <w:r>
              <w:rPr>
                <w:rFonts w:hint="eastAsia"/>
                <w:color w:val="auto"/>
                <w:sz w:val="24"/>
                <w:u w:val="single"/>
              </w:rPr>
              <w:t>/d</w:t>
            </w:r>
            <w:r>
              <w:rPr>
                <w:bCs/>
                <w:color w:val="auto"/>
                <w:sz w:val="24"/>
                <w:u w:val="single"/>
              </w:rPr>
              <w:t>，</w:t>
            </w:r>
            <w:r>
              <w:rPr>
                <w:rFonts w:hint="eastAsia"/>
                <w:color w:val="auto"/>
                <w:sz w:val="24"/>
                <w:u w:val="single"/>
              </w:rPr>
              <w:t>处理规模满足要求。</w:t>
            </w:r>
            <w:bookmarkEnd w:id="16"/>
            <w:bookmarkEnd w:id="17"/>
          </w:p>
          <w:p w14:paraId="158CC377">
            <w:pPr>
              <w:spacing w:line="360" w:lineRule="auto"/>
              <w:ind w:firstLine="482" w:firstLineChars="200"/>
              <w:outlineLvl w:val="0"/>
              <w:rPr>
                <w:b/>
                <w:color w:val="auto"/>
                <w:sz w:val="24"/>
                <w:u w:val="single"/>
              </w:rPr>
            </w:pPr>
            <w:bookmarkStart w:id="18" w:name="_Toc3373"/>
            <w:bookmarkStart w:id="19" w:name="_Toc22373"/>
            <w:r>
              <w:rPr>
                <w:rFonts w:ascii="Calibri" w:hAnsi="Calibri" w:cs="Calibri"/>
                <w:b/>
                <w:color w:val="auto"/>
                <w:sz w:val="24"/>
                <w:u w:val="single"/>
              </w:rPr>
              <w:t>③</w:t>
            </w:r>
            <w:r>
              <w:rPr>
                <w:rFonts w:hint="eastAsia" w:ascii="Calibri" w:hAnsi="Calibri" w:cs="Calibri"/>
                <w:b/>
                <w:color w:val="auto"/>
                <w:sz w:val="24"/>
                <w:u w:val="single"/>
              </w:rPr>
              <w:t>依托</w:t>
            </w:r>
            <w:r>
              <w:rPr>
                <w:rFonts w:hint="eastAsia" w:hAnsi="宋体"/>
                <w:b/>
                <w:color w:val="auto"/>
                <w:kern w:val="0"/>
                <w:sz w:val="24"/>
                <w:u w:val="single"/>
              </w:rPr>
              <w:t>衡阳西渡高新区污水处理厂</w:t>
            </w:r>
            <w:r>
              <w:rPr>
                <w:rFonts w:hint="eastAsia"/>
                <w:b/>
                <w:color w:val="auto"/>
                <w:sz w:val="24"/>
                <w:u w:val="single"/>
              </w:rPr>
              <w:t>的可行性分析</w:t>
            </w:r>
            <w:bookmarkEnd w:id="18"/>
            <w:bookmarkEnd w:id="19"/>
          </w:p>
          <w:p w14:paraId="5433695F">
            <w:pPr>
              <w:tabs>
                <w:tab w:val="left" w:pos="420"/>
                <w:tab w:val="left" w:pos="8580"/>
              </w:tabs>
              <w:adjustRightInd w:val="0"/>
              <w:snapToGrid w:val="0"/>
              <w:spacing w:line="360" w:lineRule="auto"/>
              <w:ind w:firstLine="480" w:firstLineChars="200"/>
              <w:rPr>
                <w:rFonts w:hint="eastAsia" w:hAnsi="宋体"/>
                <w:bCs/>
                <w:color w:val="auto"/>
                <w:kern w:val="0"/>
                <w:sz w:val="24"/>
                <w:u w:val="single"/>
              </w:rPr>
            </w:pPr>
            <w:r>
              <w:rPr>
                <w:rFonts w:hint="eastAsia" w:hAnsi="宋体"/>
                <w:bCs/>
                <w:color w:val="auto"/>
                <w:kern w:val="0"/>
                <w:sz w:val="24"/>
                <w:u w:val="single"/>
              </w:rPr>
              <w:t>衡阳西渡高新区污水处理厂位于西渡镇江山村S315线以南，豆陂村与八一村交界处，服务范围为湖南衡阳西渡高新技术产业园区全部区域和樟树乡S315沿线区域（面积6.35 km</w:t>
            </w:r>
            <w:r>
              <w:rPr>
                <w:rFonts w:hint="eastAsia" w:hAnsi="宋体"/>
                <w:bCs/>
                <w:color w:val="auto"/>
                <w:kern w:val="0"/>
                <w:sz w:val="24"/>
                <w:u w:val="single"/>
                <w:vertAlign w:val="superscript"/>
              </w:rPr>
              <w:t>2</w:t>
            </w:r>
            <w:r>
              <w:rPr>
                <w:rFonts w:hint="eastAsia" w:hAnsi="宋体"/>
                <w:bCs/>
                <w:color w:val="auto"/>
                <w:kern w:val="0"/>
                <w:sz w:val="24"/>
                <w:u w:val="single"/>
              </w:rPr>
              <w:t>）。衡阳县城污水处理厂</w:t>
            </w:r>
            <w:r>
              <w:rPr>
                <w:rFonts w:hAnsi="宋体"/>
                <w:bCs/>
                <w:color w:val="auto"/>
                <w:kern w:val="0"/>
                <w:sz w:val="24"/>
                <w:u w:val="single"/>
              </w:rPr>
              <w:t>的建设规模远期为：4.0万m</w:t>
            </w:r>
            <w:r>
              <w:rPr>
                <w:rFonts w:hAnsi="宋体"/>
                <w:bCs/>
                <w:color w:val="auto"/>
                <w:kern w:val="0"/>
                <w:sz w:val="24"/>
                <w:u w:val="single"/>
                <w:vertAlign w:val="superscript"/>
              </w:rPr>
              <w:t>3</w:t>
            </w:r>
            <w:r>
              <w:rPr>
                <w:rFonts w:hAnsi="宋体"/>
                <w:bCs/>
                <w:color w:val="auto"/>
                <w:kern w:val="0"/>
                <w:sz w:val="24"/>
                <w:u w:val="single"/>
              </w:rPr>
              <w:t>/d，近期为：2.0万m</w:t>
            </w:r>
            <w:r>
              <w:rPr>
                <w:rFonts w:hAnsi="宋体"/>
                <w:bCs/>
                <w:color w:val="auto"/>
                <w:kern w:val="0"/>
                <w:sz w:val="24"/>
                <w:u w:val="single"/>
                <w:vertAlign w:val="superscript"/>
              </w:rPr>
              <w:t>3</w:t>
            </w:r>
            <w:r>
              <w:rPr>
                <w:rFonts w:hAnsi="宋体"/>
                <w:bCs/>
                <w:color w:val="auto"/>
                <w:kern w:val="0"/>
                <w:sz w:val="24"/>
                <w:u w:val="single"/>
              </w:rPr>
              <w:t>/d</w:t>
            </w:r>
            <w:r>
              <w:rPr>
                <w:rFonts w:hint="eastAsia" w:hAnsi="宋体"/>
                <w:bCs/>
                <w:color w:val="auto"/>
                <w:kern w:val="0"/>
                <w:sz w:val="24"/>
                <w:u w:val="single"/>
              </w:rPr>
              <w:t>。</w:t>
            </w:r>
            <w:r>
              <w:rPr>
                <w:rFonts w:hAnsi="宋体"/>
                <w:bCs/>
                <w:color w:val="auto"/>
                <w:kern w:val="0"/>
                <w:sz w:val="24"/>
                <w:u w:val="single"/>
              </w:rPr>
              <w:t>拟采用改良式A</w:t>
            </w:r>
            <w:r>
              <w:rPr>
                <w:rFonts w:hAnsi="宋体"/>
                <w:bCs/>
                <w:color w:val="auto"/>
                <w:kern w:val="0"/>
                <w:sz w:val="24"/>
                <w:u w:val="single"/>
                <w:vertAlign w:val="superscript"/>
              </w:rPr>
              <w:t>2</w:t>
            </w:r>
            <w:r>
              <w:rPr>
                <w:rFonts w:hAnsi="宋体"/>
                <w:bCs/>
                <w:color w:val="auto"/>
                <w:kern w:val="0"/>
                <w:sz w:val="24"/>
                <w:u w:val="single"/>
              </w:rPr>
              <w:t>/O二级生化处理工艺，深度处理采用高效沉淀、深床滤</w:t>
            </w:r>
            <w:r>
              <w:rPr>
                <w:rFonts w:hint="eastAsia" w:hAnsi="宋体"/>
                <w:bCs/>
                <w:color w:val="auto"/>
                <w:kern w:val="0"/>
                <w:sz w:val="24"/>
                <w:u w:val="single"/>
              </w:rPr>
              <w:t>池</w:t>
            </w:r>
            <w:r>
              <w:rPr>
                <w:rFonts w:hAnsi="宋体"/>
                <w:bCs/>
                <w:color w:val="auto"/>
                <w:kern w:val="0"/>
                <w:sz w:val="24"/>
                <w:u w:val="single"/>
              </w:rPr>
              <w:t>处理工艺方案，污泥处理采用</w:t>
            </w:r>
            <w:r>
              <w:rPr>
                <w:rFonts w:hint="eastAsia" w:hAnsi="宋体"/>
                <w:bCs/>
                <w:color w:val="auto"/>
                <w:kern w:val="0"/>
                <w:sz w:val="24"/>
                <w:u w:val="single"/>
              </w:rPr>
              <w:t>重力</w:t>
            </w:r>
            <w:r>
              <w:rPr>
                <w:rFonts w:hAnsi="宋体"/>
                <w:bCs/>
                <w:color w:val="auto"/>
                <w:kern w:val="0"/>
                <w:sz w:val="24"/>
                <w:u w:val="single"/>
              </w:rPr>
              <w:t>浓缩脱水工艺方案。污水经过滤后消毒，</w:t>
            </w:r>
            <w:r>
              <w:rPr>
                <w:rFonts w:hint="eastAsia" w:hAnsi="宋体"/>
                <w:bCs/>
                <w:color w:val="auto"/>
                <w:kern w:val="0"/>
                <w:sz w:val="24"/>
                <w:u w:val="single"/>
              </w:rPr>
              <w:t>出水水质达《城镇污水处理厂污染物排放标准》（</w:t>
            </w:r>
            <w:r>
              <w:rPr>
                <w:rFonts w:hAnsi="宋体"/>
                <w:bCs/>
                <w:color w:val="auto"/>
                <w:kern w:val="0"/>
                <w:sz w:val="24"/>
                <w:u w:val="single"/>
              </w:rPr>
              <w:t>GB18918-2002</w:t>
            </w:r>
            <w:r>
              <w:rPr>
                <w:rFonts w:hint="eastAsia" w:hAnsi="宋体"/>
                <w:bCs/>
                <w:color w:val="auto"/>
                <w:kern w:val="0"/>
                <w:sz w:val="24"/>
                <w:u w:val="single"/>
              </w:rPr>
              <w:t>）一级</w:t>
            </w:r>
            <w:r>
              <w:rPr>
                <w:rFonts w:hAnsi="宋体"/>
                <w:bCs/>
                <w:color w:val="auto"/>
                <w:kern w:val="0"/>
                <w:sz w:val="24"/>
                <w:u w:val="single"/>
              </w:rPr>
              <w:t>A</w:t>
            </w:r>
            <w:r>
              <w:rPr>
                <w:rFonts w:hint="eastAsia" w:hAnsi="宋体"/>
                <w:bCs/>
                <w:color w:val="auto"/>
                <w:kern w:val="0"/>
                <w:sz w:val="24"/>
                <w:u w:val="single"/>
              </w:rPr>
              <w:t>标后排入蒸水</w:t>
            </w:r>
            <w:r>
              <w:rPr>
                <w:rFonts w:hAnsi="宋体"/>
                <w:bCs/>
                <w:color w:val="auto"/>
                <w:kern w:val="0"/>
                <w:sz w:val="24"/>
                <w:u w:val="single"/>
              </w:rPr>
              <w:t>。</w:t>
            </w:r>
          </w:p>
          <w:p w14:paraId="535E43BE">
            <w:pPr>
              <w:tabs>
                <w:tab w:val="left" w:pos="420"/>
                <w:tab w:val="left" w:pos="8580"/>
              </w:tabs>
              <w:adjustRightInd w:val="0"/>
              <w:snapToGrid w:val="0"/>
              <w:spacing w:line="360" w:lineRule="auto"/>
              <w:ind w:firstLine="480" w:firstLineChars="200"/>
              <w:rPr>
                <w:rFonts w:hint="eastAsia" w:hAnsi="宋体"/>
                <w:bCs/>
                <w:color w:val="auto"/>
                <w:kern w:val="0"/>
                <w:sz w:val="24"/>
                <w:u w:val="single"/>
              </w:rPr>
            </w:pPr>
            <w:r>
              <w:rPr>
                <w:rFonts w:hAnsi="宋体"/>
                <w:bCs/>
                <w:color w:val="auto"/>
                <w:kern w:val="0"/>
                <w:sz w:val="24"/>
                <w:u w:val="single"/>
              </w:rPr>
              <w:t>目前，</w:t>
            </w:r>
            <w:r>
              <w:rPr>
                <w:rFonts w:hint="eastAsia" w:hAnsi="宋体"/>
                <w:bCs/>
                <w:color w:val="auto"/>
                <w:kern w:val="0"/>
                <w:sz w:val="24"/>
                <w:u w:val="single"/>
              </w:rPr>
              <w:t>衡阳西渡高新区污水处理厂管网已铺设完成，并正式运营。本项目产生的废水量为</w:t>
            </w:r>
            <w:r>
              <w:rPr>
                <w:rFonts w:hint="eastAsia"/>
                <w:bCs/>
                <w:color w:val="auto"/>
                <w:sz w:val="24"/>
                <w:u w:val="single"/>
                <w:lang w:val="en-US" w:eastAsia="zh-CN"/>
              </w:rPr>
              <w:t>51</w:t>
            </w:r>
            <w:r>
              <w:rPr>
                <w:rFonts w:hint="eastAsia"/>
                <w:color w:val="auto"/>
                <w:sz w:val="24"/>
                <w:u w:val="single"/>
              </w:rPr>
              <w:t>m</w:t>
            </w:r>
            <w:r>
              <w:rPr>
                <w:rFonts w:hint="eastAsia"/>
                <w:color w:val="auto"/>
                <w:sz w:val="24"/>
                <w:u w:val="single"/>
                <w:vertAlign w:val="superscript"/>
              </w:rPr>
              <w:t>3</w:t>
            </w:r>
            <w:r>
              <w:rPr>
                <w:rFonts w:hint="eastAsia"/>
                <w:color w:val="auto"/>
                <w:sz w:val="24"/>
                <w:u w:val="single"/>
              </w:rPr>
              <w:t>/d</w:t>
            </w:r>
            <w:r>
              <w:rPr>
                <w:rFonts w:hint="eastAsia" w:hAnsi="宋体"/>
                <w:color w:val="auto"/>
                <w:kern w:val="0"/>
                <w:sz w:val="24"/>
                <w:u w:val="single"/>
              </w:rPr>
              <w:t>，</w:t>
            </w:r>
            <w:r>
              <w:rPr>
                <w:rFonts w:hint="eastAsia" w:hAnsi="宋体"/>
                <w:color w:val="auto"/>
                <w:kern w:val="0"/>
                <w:sz w:val="24"/>
                <w:u w:val="single"/>
                <w:lang w:eastAsia="zh-CN"/>
              </w:rPr>
              <w:t>全厂改扩建后，废水量</w:t>
            </w:r>
            <w:r>
              <w:rPr>
                <w:rFonts w:hint="eastAsia" w:hAnsi="宋体"/>
                <w:color w:val="auto"/>
                <w:kern w:val="0"/>
                <w:sz w:val="24"/>
                <w:u w:val="single"/>
                <w:lang w:val="en-US" w:eastAsia="zh-CN"/>
              </w:rPr>
              <w:t>60</w:t>
            </w:r>
            <w:r>
              <w:rPr>
                <w:rFonts w:hint="eastAsia"/>
                <w:color w:val="auto"/>
                <w:sz w:val="24"/>
                <w:u w:val="single"/>
              </w:rPr>
              <w:t>m</w:t>
            </w:r>
            <w:r>
              <w:rPr>
                <w:rFonts w:hint="eastAsia"/>
                <w:color w:val="auto"/>
                <w:sz w:val="24"/>
                <w:u w:val="single"/>
                <w:vertAlign w:val="superscript"/>
              </w:rPr>
              <w:t>3</w:t>
            </w:r>
            <w:r>
              <w:rPr>
                <w:rFonts w:hint="eastAsia"/>
                <w:color w:val="auto"/>
                <w:sz w:val="24"/>
                <w:u w:val="single"/>
              </w:rPr>
              <w:t>/d</w:t>
            </w:r>
            <w:r>
              <w:rPr>
                <w:rFonts w:hint="eastAsia" w:hAnsi="宋体"/>
                <w:color w:val="auto"/>
                <w:kern w:val="0"/>
                <w:sz w:val="24"/>
                <w:u w:val="single"/>
                <w:lang w:val="en-US" w:eastAsia="zh-CN"/>
              </w:rPr>
              <w:t>，</w:t>
            </w:r>
            <w:r>
              <w:rPr>
                <w:rFonts w:hint="eastAsia" w:hAnsi="宋体"/>
                <w:color w:val="auto"/>
                <w:kern w:val="0"/>
                <w:sz w:val="24"/>
                <w:u w:val="single"/>
              </w:rPr>
              <w:t>占污水处理厂日处理量的</w:t>
            </w:r>
            <w:r>
              <w:rPr>
                <w:rFonts w:hint="eastAsia" w:hAnsi="宋体"/>
                <w:color w:val="auto"/>
                <w:kern w:val="0"/>
                <w:sz w:val="24"/>
                <w:u w:val="single"/>
                <w:lang w:val="en-US" w:eastAsia="zh-CN"/>
              </w:rPr>
              <w:t>0.3</w:t>
            </w:r>
            <w:r>
              <w:rPr>
                <w:rFonts w:hint="eastAsia" w:hAnsi="宋体"/>
                <w:color w:val="auto"/>
                <w:kern w:val="0"/>
                <w:sz w:val="24"/>
                <w:u w:val="single"/>
              </w:rPr>
              <w:t>%，说明项目生活污水及生产废水经预处理后通过市政污水管网排入</w:t>
            </w:r>
            <w:r>
              <w:rPr>
                <w:rFonts w:hint="eastAsia" w:hAnsi="宋体"/>
                <w:bCs/>
                <w:color w:val="auto"/>
                <w:kern w:val="0"/>
                <w:sz w:val="24"/>
                <w:u w:val="single"/>
              </w:rPr>
              <w:t>衡阳西渡高新区污水处理厂的方案是可行的。</w:t>
            </w:r>
          </w:p>
          <w:p w14:paraId="6259AEE2">
            <w:pPr>
              <w:tabs>
                <w:tab w:val="left" w:pos="420"/>
              </w:tabs>
              <w:adjustRightInd w:val="0"/>
              <w:snapToGrid w:val="0"/>
              <w:spacing w:line="360" w:lineRule="auto"/>
              <w:ind w:firstLine="482" w:firstLineChars="200"/>
              <w:rPr>
                <w:b/>
                <w:color w:val="auto"/>
                <w:sz w:val="24"/>
              </w:rPr>
            </w:pPr>
            <w:r>
              <w:rPr>
                <w:rFonts w:hint="eastAsia"/>
                <w:b/>
                <w:color w:val="auto"/>
                <w:sz w:val="24"/>
              </w:rPr>
              <w:t>5、小结</w:t>
            </w:r>
          </w:p>
          <w:p w14:paraId="2596EC4B">
            <w:pPr>
              <w:tabs>
                <w:tab w:val="left" w:pos="420"/>
                <w:tab w:val="left" w:pos="8580"/>
              </w:tabs>
              <w:adjustRightInd w:val="0"/>
              <w:snapToGrid w:val="0"/>
              <w:spacing w:line="360" w:lineRule="auto"/>
              <w:ind w:firstLine="480" w:firstLineChars="200"/>
              <w:rPr>
                <w:rFonts w:hint="eastAsia" w:hAnsi="宋体"/>
                <w:bCs/>
                <w:color w:val="auto"/>
                <w:kern w:val="0"/>
                <w:sz w:val="24"/>
              </w:rPr>
            </w:pPr>
            <w:r>
              <w:rPr>
                <w:rFonts w:hAnsi="宋体"/>
                <w:bCs/>
                <w:color w:val="auto"/>
                <w:kern w:val="0"/>
                <w:sz w:val="24"/>
              </w:rPr>
              <w:t>综上所述，</w:t>
            </w:r>
            <w:r>
              <w:rPr>
                <w:rFonts w:hint="eastAsia" w:hAnsi="宋体"/>
                <w:bCs/>
                <w:color w:val="auto"/>
                <w:kern w:val="0"/>
                <w:sz w:val="24"/>
              </w:rPr>
              <w:t>本改扩建项目营运期废水主要是洗涤废水及员工生活污水，各车间生产废水经车间外预处理，后统一经厂区废水处理站生化+消毒处理，两股废水一并经通过厂区北侧污水排放口排至市政管网，纳入衡阳西渡高新区污水处理厂深度处理后排入蒸水，</w:t>
            </w:r>
            <w:r>
              <w:rPr>
                <w:rFonts w:hAnsi="宋体"/>
                <w:bCs/>
                <w:color w:val="auto"/>
                <w:kern w:val="0"/>
                <w:sz w:val="24"/>
              </w:rPr>
              <w:t>项目废水的排放满足相应的废水排放要求，对地表水体造成的环境影响不大，其地表水环境影响是可接受的。</w:t>
            </w:r>
          </w:p>
          <w:p w14:paraId="29F3CB12">
            <w:pPr>
              <w:spacing w:line="360" w:lineRule="auto"/>
              <w:ind w:left="420" w:leftChars="200"/>
              <w:rPr>
                <w:b/>
                <w:bCs/>
                <w:color w:val="auto"/>
                <w:sz w:val="24"/>
              </w:rPr>
            </w:pPr>
            <w:r>
              <w:rPr>
                <w:rFonts w:hint="eastAsia"/>
                <w:b/>
                <w:bCs/>
                <w:color w:val="auto"/>
                <w:sz w:val="24"/>
              </w:rPr>
              <w:t>三、噪声</w:t>
            </w:r>
          </w:p>
          <w:p w14:paraId="08C23281">
            <w:pPr>
              <w:spacing w:line="360" w:lineRule="auto"/>
              <w:ind w:left="420" w:leftChars="200"/>
              <w:rPr>
                <w:b/>
                <w:bCs/>
                <w:color w:val="auto"/>
                <w:sz w:val="24"/>
              </w:rPr>
            </w:pPr>
            <w:r>
              <w:rPr>
                <w:rFonts w:hint="eastAsia"/>
                <w:b/>
                <w:bCs/>
                <w:color w:val="auto"/>
                <w:sz w:val="24"/>
              </w:rPr>
              <w:t>1、噪声源强分析</w:t>
            </w:r>
          </w:p>
          <w:p w14:paraId="1D1844D9">
            <w:pPr>
              <w:adjustRightInd w:val="0"/>
              <w:snapToGrid w:val="0"/>
              <w:spacing w:line="360" w:lineRule="auto"/>
              <w:ind w:firstLine="480" w:firstLineChars="200"/>
              <w:rPr>
                <w:rFonts w:hint="eastAsia" w:ascii="宋体" w:hAnsi="宋体" w:cs="宋体"/>
                <w:b/>
                <w:bCs/>
                <w:color w:val="FF0000"/>
                <w:spacing w:val="-10"/>
                <w:sz w:val="24"/>
              </w:rPr>
            </w:pPr>
            <w:r>
              <w:rPr>
                <w:rFonts w:hint="eastAsia"/>
                <w:color w:val="auto"/>
                <w:sz w:val="24"/>
              </w:rPr>
              <w:t>本项目主要噪声为等隧道式连续洗涤机、洗水机、全自动洗脱机设备运行时产生的噪声，噪声源强声级约在65~85dB（A），各种设备噪声源强如下表所示。</w:t>
            </w:r>
          </w:p>
        </w:tc>
      </w:tr>
    </w:tbl>
    <w:p w14:paraId="7D1AE44A">
      <w:pPr>
        <w:adjustRightInd w:val="0"/>
        <w:snapToGrid w:val="0"/>
        <w:spacing w:line="360" w:lineRule="auto"/>
        <w:rPr>
          <w:rFonts w:ascii="宋体" w:cs="宋体"/>
          <w:b/>
          <w:color w:val="FF0000"/>
          <w:kern w:val="0"/>
          <w:sz w:val="28"/>
          <w:szCs w:val="28"/>
        </w:rPr>
        <w:sectPr>
          <w:pgSz w:w="11907" w:h="16840"/>
          <w:pgMar w:top="1440" w:right="1080" w:bottom="1440" w:left="1080" w:header="851" w:footer="851" w:gutter="0"/>
          <w:cols w:space="720" w:num="1"/>
          <w:docGrid w:linePitch="312" w:charSpace="0"/>
        </w:sectPr>
      </w:pPr>
    </w:p>
    <w:p w14:paraId="0F509163">
      <w:pPr>
        <w:snapToGrid w:val="0"/>
        <w:spacing w:line="360" w:lineRule="auto"/>
        <w:ind w:firstLine="1476" w:firstLineChars="700"/>
        <w:jc w:val="center"/>
        <w:rPr>
          <w:b/>
          <w:color w:val="FF0000"/>
          <w:szCs w:val="21"/>
        </w:rPr>
      </w:pPr>
    </w:p>
    <w:p w14:paraId="20E634DF">
      <w:pPr>
        <w:snapToGrid w:val="0"/>
        <w:spacing w:line="360" w:lineRule="auto"/>
        <w:ind w:firstLine="1476" w:firstLineChars="700"/>
        <w:jc w:val="center"/>
        <w:rPr>
          <w:color w:val="auto"/>
          <w:szCs w:val="21"/>
        </w:rPr>
      </w:pPr>
      <w:r>
        <w:rPr>
          <w:rFonts w:hint="eastAsia"/>
          <w:b/>
          <w:color w:val="auto"/>
          <w:szCs w:val="21"/>
        </w:rPr>
        <w:t xml:space="preserve">表 </w:t>
      </w:r>
      <w:r>
        <w:rPr>
          <w:b/>
          <w:color w:val="auto"/>
          <w:szCs w:val="21"/>
        </w:rPr>
        <w:t>4-</w:t>
      </w:r>
      <w:r>
        <w:rPr>
          <w:rFonts w:hint="eastAsia"/>
          <w:b/>
          <w:color w:val="auto"/>
          <w:szCs w:val="21"/>
        </w:rPr>
        <w:t>7</w:t>
      </w:r>
      <w:r>
        <w:rPr>
          <w:b/>
          <w:color w:val="auto"/>
          <w:szCs w:val="21"/>
        </w:rPr>
        <w:t xml:space="preserve"> </w:t>
      </w:r>
      <w:r>
        <w:rPr>
          <w:rFonts w:hint="eastAsia"/>
          <w:b/>
          <w:color w:val="auto"/>
          <w:szCs w:val="21"/>
        </w:rPr>
        <w:t xml:space="preserve">工业企业噪声源强调查清单 </w:t>
      </w:r>
      <w:r>
        <w:rPr>
          <w:rFonts w:hint="eastAsia" w:ascii="宋体" w:hAnsi="宋体" w:cs="宋体"/>
          <w:b/>
          <w:bCs/>
          <w:color w:val="auto"/>
          <w:kern w:val="0"/>
          <w:szCs w:val="21"/>
          <w:lang w:bidi="ar"/>
        </w:rPr>
        <w:t>单位：</w:t>
      </w:r>
      <w:r>
        <w:rPr>
          <w:b/>
          <w:bCs/>
          <w:color w:val="auto"/>
          <w:kern w:val="0"/>
          <w:szCs w:val="21"/>
          <w:lang w:bidi="ar"/>
        </w:rPr>
        <w:t>dB</w:t>
      </w:r>
      <w:r>
        <w:rPr>
          <w:rFonts w:hint="eastAsia" w:ascii="宋体" w:hAnsi="宋体" w:cs="宋体"/>
          <w:b/>
          <w:bCs/>
          <w:color w:val="auto"/>
          <w:kern w:val="0"/>
          <w:szCs w:val="21"/>
          <w:lang w:bidi="ar"/>
        </w:rPr>
        <w:t>（</w:t>
      </w:r>
      <w:r>
        <w:rPr>
          <w:b/>
          <w:bCs/>
          <w:color w:val="auto"/>
          <w:kern w:val="0"/>
          <w:szCs w:val="21"/>
          <w:lang w:bidi="ar"/>
        </w:rPr>
        <w:t>A</w:t>
      </w:r>
      <w:r>
        <w:rPr>
          <w:rFonts w:hint="eastAsia" w:ascii="宋体" w:hAnsi="宋体" w:cs="宋体"/>
          <w:b/>
          <w:bCs/>
          <w:color w:val="auto"/>
          <w:kern w:val="0"/>
          <w:szCs w:val="21"/>
          <w:lang w:bidi="ar"/>
        </w:rPr>
        <w:t>）</w:t>
      </w:r>
    </w:p>
    <w:tbl>
      <w:tblPr>
        <w:tblStyle w:val="20"/>
        <w:tblW w:w="14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3"/>
        <w:gridCol w:w="539"/>
        <w:gridCol w:w="1747"/>
        <w:gridCol w:w="674"/>
        <w:gridCol w:w="875"/>
        <w:gridCol w:w="802"/>
        <w:gridCol w:w="507"/>
        <w:gridCol w:w="728"/>
        <w:gridCol w:w="728"/>
        <w:gridCol w:w="728"/>
        <w:gridCol w:w="728"/>
        <w:gridCol w:w="855"/>
        <w:gridCol w:w="1116"/>
        <w:gridCol w:w="757"/>
        <w:gridCol w:w="1011"/>
        <w:gridCol w:w="1011"/>
      </w:tblGrid>
      <w:tr w14:paraId="35CBF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vMerge w:val="restart"/>
            <w:shd w:val="clear" w:color="auto" w:fill="F0F0F0"/>
            <w:noWrap/>
            <w:vAlign w:val="center"/>
          </w:tcPr>
          <w:p w14:paraId="3A870170">
            <w:pPr>
              <w:widowControl/>
              <w:adjustRightInd w:val="0"/>
              <w:snapToGrid w:val="0"/>
              <w:jc w:val="center"/>
              <w:textAlignment w:val="center"/>
              <w:rPr>
                <w:b/>
                <w:bCs/>
                <w:color w:val="auto"/>
                <w:sz w:val="18"/>
                <w:szCs w:val="18"/>
              </w:rPr>
            </w:pPr>
            <w:r>
              <w:rPr>
                <w:b/>
                <w:bCs/>
                <w:color w:val="auto"/>
                <w:kern w:val="0"/>
                <w:sz w:val="18"/>
                <w:szCs w:val="18"/>
                <w:lang w:bidi="ar"/>
              </w:rPr>
              <w:t>声源名称</w:t>
            </w:r>
          </w:p>
        </w:tc>
        <w:tc>
          <w:tcPr>
            <w:tcW w:w="539" w:type="dxa"/>
            <w:vMerge w:val="restart"/>
            <w:shd w:val="clear" w:color="auto" w:fill="F0F0F0"/>
            <w:noWrap/>
            <w:vAlign w:val="center"/>
          </w:tcPr>
          <w:p w14:paraId="684F08E4">
            <w:pPr>
              <w:adjustRightInd w:val="0"/>
              <w:snapToGrid w:val="0"/>
              <w:rPr>
                <w:b/>
                <w:bCs/>
                <w:color w:val="auto"/>
                <w:sz w:val="18"/>
                <w:szCs w:val="18"/>
              </w:rPr>
            </w:pPr>
            <w:r>
              <w:rPr>
                <w:b/>
                <w:bCs/>
                <w:color w:val="auto"/>
                <w:sz w:val="18"/>
                <w:szCs w:val="18"/>
              </w:rPr>
              <w:t>声源类型</w:t>
            </w:r>
          </w:p>
        </w:tc>
        <w:tc>
          <w:tcPr>
            <w:tcW w:w="1747" w:type="dxa"/>
            <w:shd w:val="clear" w:color="auto" w:fill="F0F0F0"/>
            <w:noWrap/>
            <w:vAlign w:val="center"/>
          </w:tcPr>
          <w:p w14:paraId="3B14FF8D">
            <w:pPr>
              <w:widowControl/>
              <w:adjustRightInd w:val="0"/>
              <w:snapToGrid w:val="0"/>
              <w:jc w:val="center"/>
              <w:textAlignment w:val="center"/>
              <w:rPr>
                <w:rFonts w:hint="eastAsia" w:eastAsia="宋体"/>
                <w:b/>
                <w:bCs/>
                <w:color w:val="auto"/>
                <w:sz w:val="18"/>
                <w:szCs w:val="18"/>
                <w:lang w:eastAsia="zh-CN"/>
              </w:rPr>
            </w:pPr>
            <w:r>
              <w:rPr>
                <w:b/>
                <w:bCs/>
                <w:color w:val="auto"/>
                <w:kern w:val="0"/>
                <w:sz w:val="18"/>
                <w:szCs w:val="18"/>
                <w:lang w:bidi="ar"/>
              </w:rPr>
              <w:t>声源源强</w:t>
            </w:r>
            <w:r>
              <w:rPr>
                <w:rFonts w:hint="eastAsia"/>
                <w:b/>
                <w:bCs/>
                <w:color w:val="auto"/>
                <w:kern w:val="0"/>
                <w:sz w:val="18"/>
                <w:szCs w:val="18"/>
                <w:lang w:eastAsia="zh-CN" w:bidi="ar"/>
              </w:rPr>
              <w:t>（</w:t>
            </w:r>
            <w:r>
              <w:rPr>
                <w:b/>
                <w:bCs/>
                <w:color w:val="auto"/>
                <w:kern w:val="0"/>
                <w:sz w:val="18"/>
                <w:szCs w:val="18"/>
                <w:lang w:bidi="ar"/>
              </w:rPr>
              <w:t>任选一种</w:t>
            </w:r>
            <w:r>
              <w:rPr>
                <w:rFonts w:hint="eastAsia"/>
                <w:b/>
                <w:bCs/>
                <w:color w:val="auto"/>
                <w:kern w:val="0"/>
                <w:sz w:val="18"/>
                <w:szCs w:val="18"/>
                <w:lang w:eastAsia="zh-CN" w:bidi="ar"/>
              </w:rPr>
              <w:t>）</w:t>
            </w:r>
          </w:p>
        </w:tc>
        <w:tc>
          <w:tcPr>
            <w:tcW w:w="674" w:type="dxa"/>
            <w:vMerge w:val="restart"/>
            <w:shd w:val="clear" w:color="auto" w:fill="F0F0F0"/>
            <w:noWrap/>
            <w:vAlign w:val="center"/>
          </w:tcPr>
          <w:p w14:paraId="2F9C8D34">
            <w:pPr>
              <w:widowControl/>
              <w:adjustRightInd w:val="0"/>
              <w:snapToGrid w:val="0"/>
              <w:jc w:val="center"/>
              <w:textAlignment w:val="center"/>
              <w:rPr>
                <w:b/>
                <w:bCs/>
                <w:color w:val="auto"/>
                <w:sz w:val="18"/>
                <w:szCs w:val="18"/>
              </w:rPr>
            </w:pPr>
            <w:r>
              <w:rPr>
                <w:b/>
                <w:bCs/>
                <w:color w:val="auto"/>
                <w:kern w:val="0"/>
                <w:sz w:val="18"/>
                <w:szCs w:val="18"/>
                <w:lang w:bidi="ar"/>
              </w:rPr>
              <w:t>声源控制措施</w:t>
            </w:r>
          </w:p>
        </w:tc>
        <w:tc>
          <w:tcPr>
            <w:tcW w:w="2184" w:type="dxa"/>
            <w:gridSpan w:val="3"/>
            <w:shd w:val="clear" w:color="auto" w:fill="F0F0F0"/>
            <w:noWrap/>
            <w:vAlign w:val="center"/>
          </w:tcPr>
          <w:p w14:paraId="23E1DA96">
            <w:pPr>
              <w:widowControl/>
              <w:adjustRightInd w:val="0"/>
              <w:snapToGrid w:val="0"/>
              <w:jc w:val="center"/>
              <w:textAlignment w:val="center"/>
              <w:rPr>
                <w:b/>
                <w:bCs/>
                <w:color w:val="auto"/>
                <w:sz w:val="18"/>
                <w:szCs w:val="18"/>
              </w:rPr>
            </w:pPr>
            <w:r>
              <w:rPr>
                <w:b/>
                <w:bCs/>
                <w:color w:val="auto"/>
                <w:kern w:val="0"/>
                <w:sz w:val="18"/>
                <w:szCs w:val="18"/>
                <w:lang w:bidi="ar"/>
              </w:rPr>
              <w:t>空间相对位置/m</w:t>
            </w:r>
          </w:p>
        </w:tc>
        <w:tc>
          <w:tcPr>
            <w:tcW w:w="2912" w:type="dxa"/>
            <w:gridSpan w:val="4"/>
            <w:vMerge w:val="restart"/>
            <w:shd w:val="clear" w:color="auto" w:fill="F0F0F0"/>
            <w:noWrap/>
            <w:vAlign w:val="center"/>
          </w:tcPr>
          <w:p w14:paraId="2A8B660A">
            <w:pPr>
              <w:widowControl/>
              <w:adjustRightInd w:val="0"/>
              <w:snapToGrid w:val="0"/>
              <w:jc w:val="center"/>
              <w:textAlignment w:val="center"/>
              <w:rPr>
                <w:b/>
                <w:bCs/>
                <w:color w:val="auto"/>
                <w:sz w:val="18"/>
                <w:szCs w:val="18"/>
              </w:rPr>
            </w:pPr>
            <w:r>
              <w:rPr>
                <w:b/>
                <w:bCs/>
                <w:color w:val="auto"/>
                <w:kern w:val="0"/>
                <w:sz w:val="18"/>
                <w:szCs w:val="18"/>
                <w:lang w:bidi="ar"/>
              </w:rPr>
              <w:t>距室内边界距离/m</w:t>
            </w:r>
          </w:p>
        </w:tc>
        <w:tc>
          <w:tcPr>
            <w:tcW w:w="855" w:type="dxa"/>
            <w:vMerge w:val="restart"/>
            <w:shd w:val="clear" w:color="auto" w:fill="F0F0F0"/>
            <w:noWrap/>
            <w:vAlign w:val="center"/>
          </w:tcPr>
          <w:p w14:paraId="40D6544A">
            <w:pPr>
              <w:widowControl/>
              <w:adjustRightInd w:val="0"/>
              <w:snapToGrid w:val="0"/>
              <w:jc w:val="center"/>
              <w:textAlignment w:val="center"/>
              <w:rPr>
                <w:rFonts w:hint="eastAsia" w:eastAsia="宋体"/>
                <w:b/>
                <w:bCs/>
                <w:color w:val="auto"/>
                <w:sz w:val="18"/>
                <w:szCs w:val="18"/>
                <w:lang w:eastAsia="zh-CN"/>
              </w:rPr>
            </w:pPr>
            <w:r>
              <w:rPr>
                <w:b/>
                <w:bCs/>
                <w:color w:val="auto"/>
                <w:kern w:val="0"/>
                <w:sz w:val="18"/>
                <w:szCs w:val="18"/>
                <w:lang w:bidi="ar"/>
              </w:rPr>
              <w:t>室内边界声级/dB</w:t>
            </w:r>
            <w:r>
              <w:rPr>
                <w:rFonts w:hint="eastAsia"/>
                <w:b/>
                <w:bCs/>
                <w:color w:val="auto"/>
                <w:kern w:val="0"/>
                <w:sz w:val="18"/>
                <w:szCs w:val="18"/>
                <w:lang w:eastAsia="zh-CN" w:bidi="ar"/>
              </w:rPr>
              <w:t>（</w:t>
            </w:r>
            <w:r>
              <w:rPr>
                <w:b/>
                <w:bCs/>
                <w:color w:val="auto"/>
                <w:kern w:val="0"/>
                <w:sz w:val="18"/>
                <w:szCs w:val="18"/>
                <w:lang w:bidi="ar"/>
              </w:rPr>
              <w:t>A</w:t>
            </w:r>
            <w:r>
              <w:rPr>
                <w:rFonts w:hint="eastAsia"/>
                <w:b/>
                <w:bCs/>
                <w:color w:val="auto"/>
                <w:kern w:val="0"/>
                <w:sz w:val="18"/>
                <w:szCs w:val="18"/>
                <w:lang w:eastAsia="zh-CN" w:bidi="ar"/>
              </w:rPr>
              <w:t>）</w:t>
            </w:r>
          </w:p>
        </w:tc>
        <w:tc>
          <w:tcPr>
            <w:tcW w:w="1116" w:type="dxa"/>
            <w:vMerge w:val="restart"/>
            <w:shd w:val="clear" w:color="auto" w:fill="F0F0F0"/>
            <w:noWrap/>
            <w:vAlign w:val="center"/>
          </w:tcPr>
          <w:p w14:paraId="796C7FBC">
            <w:pPr>
              <w:widowControl/>
              <w:adjustRightInd w:val="0"/>
              <w:snapToGrid w:val="0"/>
              <w:jc w:val="center"/>
              <w:textAlignment w:val="center"/>
              <w:rPr>
                <w:b/>
                <w:bCs/>
                <w:color w:val="auto"/>
                <w:sz w:val="18"/>
                <w:szCs w:val="18"/>
              </w:rPr>
            </w:pPr>
            <w:r>
              <w:rPr>
                <w:b/>
                <w:bCs/>
                <w:color w:val="auto"/>
                <w:kern w:val="0"/>
                <w:sz w:val="18"/>
                <w:szCs w:val="18"/>
                <w:lang w:bidi="ar"/>
              </w:rPr>
              <w:t>运行时段</w:t>
            </w:r>
          </w:p>
        </w:tc>
        <w:tc>
          <w:tcPr>
            <w:tcW w:w="757" w:type="dxa"/>
            <w:vMerge w:val="restart"/>
            <w:shd w:val="clear" w:color="auto" w:fill="F0F0F0"/>
            <w:noWrap/>
            <w:vAlign w:val="center"/>
          </w:tcPr>
          <w:p w14:paraId="526D3BDE">
            <w:pPr>
              <w:widowControl/>
              <w:adjustRightInd w:val="0"/>
              <w:snapToGrid w:val="0"/>
              <w:jc w:val="center"/>
              <w:textAlignment w:val="center"/>
              <w:rPr>
                <w:rFonts w:hint="eastAsia" w:eastAsia="宋体"/>
                <w:b/>
                <w:bCs/>
                <w:color w:val="auto"/>
                <w:sz w:val="18"/>
                <w:szCs w:val="18"/>
                <w:lang w:eastAsia="zh-CN"/>
              </w:rPr>
            </w:pPr>
            <w:r>
              <w:rPr>
                <w:b/>
                <w:bCs/>
                <w:color w:val="auto"/>
                <w:kern w:val="0"/>
                <w:sz w:val="18"/>
                <w:szCs w:val="18"/>
                <w:lang w:bidi="ar"/>
              </w:rPr>
              <w:t>建筑物插入损失/dB</w:t>
            </w:r>
            <w:r>
              <w:rPr>
                <w:rFonts w:hint="eastAsia"/>
                <w:b/>
                <w:bCs/>
                <w:color w:val="auto"/>
                <w:kern w:val="0"/>
                <w:sz w:val="18"/>
                <w:szCs w:val="18"/>
                <w:lang w:eastAsia="zh-CN" w:bidi="ar"/>
              </w:rPr>
              <w:t>（</w:t>
            </w:r>
            <w:r>
              <w:rPr>
                <w:b/>
                <w:bCs/>
                <w:color w:val="auto"/>
                <w:kern w:val="0"/>
                <w:sz w:val="18"/>
                <w:szCs w:val="18"/>
                <w:lang w:bidi="ar"/>
              </w:rPr>
              <w:t>A</w:t>
            </w:r>
            <w:r>
              <w:rPr>
                <w:rFonts w:hint="eastAsia"/>
                <w:b/>
                <w:bCs/>
                <w:color w:val="auto"/>
                <w:kern w:val="0"/>
                <w:sz w:val="18"/>
                <w:szCs w:val="18"/>
                <w:lang w:eastAsia="zh-CN" w:bidi="ar"/>
              </w:rPr>
              <w:t>）</w:t>
            </w:r>
          </w:p>
        </w:tc>
        <w:tc>
          <w:tcPr>
            <w:tcW w:w="2022" w:type="dxa"/>
            <w:gridSpan w:val="2"/>
            <w:shd w:val="clear" w:color="auto" w:fill="F0F0F0"/>
            <w:noWrap/>
            <w:vAlign w:val="center"/>
          </w:tcPr>
          <w:p w14:paraId="439E9521">
            <w:pPr>
              <w:widowControl/>
              <w:adjustRightInd w:val="0"/>
              <w:snapToGrid w:val="0"/>
              <w:jc w:val="center"/>
              <w:textAlignment w:val="center"/>
              <w:rPr>
                <w:b/>
                <w:bCs/>
                <w:color w:val="auto"/>
                <w:sz w:val="18"/>
                <w:szCs w:val="18"/>
              </w:rPr>
            </w:pPr>
            <w:r>
              <w:rPr>
                <w:b/>
                <w:bCs/>
                <w:color w:val="auto"/>
                <w:kern w:val="0"/>
                <w:sz w:val="18"/>
                <w:szCs w:val="18"/>
                <w:lang w:bidi="ar"/>
              </w:rPr>
              <w:t>建筑物外噪声</w:t>
            </w:r>
          </w:p>
        </w:tc>
      </w:tr>
      <w:tr w14:paraId="464D1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vMerge w:val="continue"/>
            <w:shd w:val="clear" w:color="auto" w:fill="F0F0F0"/>
            <w:noWrap/>
            <w:vAlign w:val="center"/>
          </w:tcPr>
          <w:p w14:paraId="6D181DDD">
            <w:pPr>
              <w:adjustRightInd w:val="0"/>
              <w:snapToGrid w:val="0"/>
              <w:jc w:val="center"/>
              <w:rPr>
                <w:b/>
                <w:bCs/>
                <w:color w:val="auto"/>
                <w:sz w:val="18"/>
                <w:szCs w:val="18"/>
              </w:rPr>
            </w:pPr>
          </w:p>
        </w:tc>
        <w:tc>
          <w:tcPr>
            <w:tcW w:w="539" w:type="dxa"/>
            <w:vMerge w:val="continue"/>
            <w:shd w:val="clear" w:color="auto" w:fill="F0F0F0"/>
            <w:vAlign w:val="center"/>
          </w:tcPr>
          <w:p w14:paraId="513E9BB9">
            <w:pPr>
              <w:adjustRightInd w:val="0"/>
              <w:snapToGrid w:val="0"/>
              <w:jc w:val="center"/>
              <w:rPr>
                <w:b/>
                <w:bCs/>
                <w:color w:val="auto"/>
                <w:sz w:val="18"/>
                <w:szCs w:val="18"/>
              </w:rPr>
            </w:pPr>
          </w:p>
        </w:tc>
        <w:tc>
          <w:tcPr>
            <w:tcW w:w="1747" w:type="dxa"/>
            <w:shd w:val="clear" w:color="auto" w:fill="F0F0F0"/>
            <w:vAlign w:val="center"/>
          </w:tcPr>
          <w:p w14:paraId="69E8EC89">
            <w:pPr>
              <w:widowControl/>
              <w:adjustRightInd w:val="0"/>
              <w:snapToGrid w:val="0"/>
              <w:jc w:val="center"/>
              <w:textAlignment w:val="center"/>
              <w:rPr>
                <w:b/>
                <w:bCs/>
                <w:color w:val="auto"/>
                <w:sz w:val="18"/>
                <w:szCs w:val="18"/>
              </w:rPr>
            </w:pPr>
            <w:r>
              <w:rPr>
                <w:b/>
                <w:bCs/>
                <w:color w:val="auto"/>
                <w:kern w:val="0"/>
                <w:sz w:val="18"/>
                <w:szCs w:val="18"/>
                <w:lang w:bidi="ar"/>
              </w:rPr>
              <w:t>声功率级</w:t>
            </w:r>
            <w:r>
              <w:rPr>
                <w:b/>
                <w:bCs/>
                <w:color w:val="auto"/>
                <w:kern w:val="0"/>
                <w:sz w:val="18"/>
                <w:szCs w:val="18"/>
                <w:lang w:bidi="ar"/>
              </w:rPr>
              <w:br w:type="textWrapping"/>
            </w:r>
            <w:r>
              <w:rPr>
                <w:b/>
                <w:bCs/>
                <w:color w:val="auto"/>
                <w:kern w:val="0"/>
                <w:sz w:val="18"/>
                <w:szCs w:val="18"/>
                <w:lang w:bidi="ar"/>
              </w:rPr>
              <w:t>/dB</w:t>
            </w:r>
            <w:r>
              <w:rPr>
                <w:rFonts w:hint="eastAsia"/>
                <w:b/>
                <w:bCs/>
                <w:color w:val="auto"/>
                <w:kern w:val="0"/>
                <w:sz w:val="18"/>
                <w:szCs w:val="18"/>
                <w:lang w:eastAsia="zh-CN" w:bidi="ar"/>
              </w:rPr>
              <w:t>（</w:t>
            </w:r>
            <w:r>
              <w:rPr>
                <w:b/>
                <w:bCs/>
                <w:color w:val="auto"/>
                <w:kern w:val="0"/>
                <w:sz w:val="18"/>
                <w:szCs w:val="18"/>
                <w:lang w:bidi="ar"/>
              </w:rPr>
              <w:t>A</w:t>
            </w:r>
          </w:p>
        </w:tc>
        <w:tc>
          <w:tcPr>
            <w:tcW w:w="674" w:type="dxa"/>
            <w:vMerge w:val="continue"/>
            <w:shd w:val="clear" w:color="auto" w:fill="F0F0F0"/>
            <w:noWrap/>
            <w:vAlign w:val="center"/>
          </w:tcPr>
          <w:p w14:paraId="27C725ED">
            <w:pPr>
              <w:adjustRightInd w:val="0"/>
              <w:snapToGrid w:val="0"/>
              <w:jc w:val="center"/>
              <w:rPr>
                <w:b/>
                <w:bCs/>
                <w:color w:val="auto"/>
                <w:sz w:val="18"/>
                <w:szCs w:val="18"/>
              </w:rPr>
            </w:pPr>
          </w:p>
        </w:tc>
        <w:tc>
          <w:tcPr>
            <w:tcW w:w="875" w:type="dxa"/>
            <w:shd w:val="clear" w:color="auto" w:fill="F0F0F0"/>
            <w:noWrap/>
            <w:vAlign w:val="center"/>
          </w:tcPr>
          <w:p w14:paraId="1E06CCFE">
            <w:pPr>
              <w:widowControl/>
              <w:adjustRightInd w:val="0"/>
              <w:snapToGrid w:val="0"/>
              <w:jc w:val="center"/>
              <w:textAlignment w:val="center"/>
              <w:rPr>
                <w:b/>
                <w:bCs/>
                <w:color w:val="auto"/>
                <w:sz w:val="18"/>
                <w:szCs w:val="18"/>
              </w:rPr>
            </w:pPr>
            <w:r>
              <w:rPr>
                <w:b/>
                <w:bCs/>
                <w:color w:val="auto"/>
                <w:kern w:val="0"/>
                <w:sz w:val="18"/>
                <w:szCs w:val="18"/>
                <w:lang w:bidi="ar"/>
              </w:rPr>
              <w:t>X</w:t>
            </w:r>
          </w:p>
        </w:tc>
        <w:tc>
          <w:tcPr>
            <w:tcW w:w="802" w:type="dxa"/>
            <w:shd w:val="clear" w:color="auto" w:fill="F0F0F0"/>
            <w:noWrap/>
            <w:vAlign w:val="center"/>
          </w:tcPr>
          <w:p w14:paraId="05F2E23A">
            <w:pPr>
              <w:widowControl/>
              <w:adjustRightInd w:val="0"/>
              <w:snapToGrid w:val="0"/>
              <w:jc w:val="center"/>
              <w:textAlignment w:val="center"/>
              <w:rPr>
                <w:b/>
                <w:bCs/>
                <w:color w:val="auto"/>
                <w:sz w:val="18"/>
                <w:szCs w:val="18"/>
              </w:rPr>
            </w:pPr>
            <w:r>
              <w:rPr>
                <w:b/>
                <w:bCs/>
                <w:color w:val="auto"/>
                <w:kern w:val="0"/>
                <w:sz w:val="18"/>
                <w:szCs w:val="18"/>
                <w:lang w:bidi="ar"/>
              </w:rPr>
              <w:t>Y</w:t>
            </w:r>
          </w:p>
        </w:tc>
        <w:tc>
          <w:tcPr>
            <w:tcW w:w="507" w:type="dxa"/>
            <w:shd w:val="clear" w:color="auto" w:fill="F0F0F0"/>
            <w:noWrap/>
            <w:vAlign w:val="center"/>
          </w:tcPr>
          <w:p w14:paraId="51DD7627">
            <w:pPr>
              <w:widowControl/>
              <w:adjustRightInd w:val="0"/>
              <w:snapToGrid w:val="0"/>
              <w:jc w:val="center"/>
              <w:textAlignment w:val="center"/>
              <w:rPr>
                <w:b/>
                <w:bCs/>
                <w:color w:val="auto"/>
                <w:sz w:val="18"/>
                <w:szCs w:val="18"/>
              </w:rPr>
            </w:pPr>
            <w:r>
              <w:rPr>
                <w:b/>
                <w:bCs/>
                <w:color w:val="auto"/>
                <w:kern w:val="0"/>
                <w:sz w:val="18"/>
                <w:szCs w:val="18"/>
                <w:lang w:bidi="ar"/>
              </w:rPr>
              <w:t>Z</w:t>
            </w:r>
          </w:p>
        </w:tc>
        <w:tc>
          <w:tcPr>
            <w:tcW w:w="2912" w:type="dxa"/>
            <w:gridSpan w:val="4"/>
            <w:vMerge w:val="continue"/>
            <w:shd w:val="clear" w:color="auto" w:fill="F0F0F0"/>
            <w:noWrap/>
            <w:vAlign w:val="center"/>
          </w:tcPr>
          <w:p w14:paraId="380AA104">
            <w:pPr>
              <w:adjustRightInd w:val="0"/>
              <w:snapToGrid w:val="0"/>
              <w:jc w:val="center"/>
              <w:rPr>
                <w:b/>
                <w:bCs/>
                <w:color w:val="auto"/>
                <w:sz w:val="18"/>
                <w:szCs w:val="18"/>
              </w:rPr>
            </w:pPr>
          </w:p>
        </w:tc>
        <w:tc>
          <w:tcPr>
            <w:tcW w:w="855" w:type="dxa"/>
            <w:vMerge w:val="continue"/>
            <w:shd w:val="clear" w:color="auto" w:fill="F0F0F0"/>
            <w:noWrap/>
            <w:vAlign w:val="center"/>
          </w:tcPr>
          <w:p w14:paraId="0ACFF10C">
            <w:pPr>
              <w:adjustRightInd w:val="0"/>
              <w:snapToGrid w:val="0"/>
              <w:jc w:val="center"/>
              <w:rPr>
                <w:b/>
                <w:bCs/>
                <w:color w:val="auto"/>
                <w:sz w:val="18"/>
                <w:szCs w:val="18"/>
              </w:rPr>
            </w:pPr>
          </w:p>
        </w:tc>
        <w:tc>
          <w:tcPr>
            <w:tcW w:w="1116" w:type="dxa"/>
            <w:vMerge w:val="continue"/>
            <w:shd w:val="clear" w:color="auto" w:fill="F0F0F0"/>
            <w:noWrap/>
            <w:vAlign w:val="center"/>
          </w:tcPr>
          <w:p w14:paraId="665EFD9F">
            <w:pPr>
              <w:adjustRightInd w:val="0"/>
              <w:snapToGrid w:val="0"/>
              <w:jc w:val="center"/>
              <w:rPr>
                <w:b/>
                <w:bCs/>
                <w:color w:val="auto"/>
                <w:sz w:val="18"/>
                <w:szCs w:val="18"/>
              </w:rPr>
            </w:pPr>
          </w:p>
        </w:tc>
        <w:tc>
          <w:tcPr>
            <w:tcW w:w="757" w:type="dxa"/>
            <w:vMerge w:val="continue"/>
            <w:shd w:val="clear" w:color="auto" w:fill="F0F0F0"/>
            <w:noWrap/>
            <w:vAlign w:val="center"/>
          </w:tcPr>
          <w:p w14:paraId="6534B9AA">
            <w:pPr>
              <w:adjustRightInd w:val="0"/>
              <w:snapToGrid w:val="0"/>
              <w:jc w:val="center"/>
              <w:rPr>
                <w:b/>
                <w:bCs/>
                <w:color w:val="auto"/>
                <w:sz w:val="18"/>
                <w:szCs w:val="18"/>
              </w:rPr>
            </w:pPr>
          </w:p>
        </w:tc>
        <w:tc>
          <w:tcPr>
            <w:tcW w:w="1011" w:type="dxa"/>
            <w:shd w:val="clear" w:color="auto" w:fill="F0F0F0"/>
            <w:noWrap/>
            <w:vAlign w:val="center"/>
          </w:tcPr>
          <w:p w14:paraId="32C3A718">
            <w:pPr>
              <w:widowControl/>
              <w:adjustRightInd w:val="0"/>
              <w:snapToGrid w:val="0"/>
              <w:jc w:val="center"/>
              <w:textAlignment w:val="center"/>
              <w:rPr>
                <w:rFonts w:hint="eastAsia" w:eastAsia="宋体"/>
                <w:b/>
                <w:bCs/>
                <w:color w:val="auto"/>
                <w:sz w:val="18"/>
                <w:szCs w:val="18"/>
                <w:lang w:eastAsia="zh-CN"/>
              </w:rPr>
            </w:pPr>
            <w:r>
              <w:rPr>
                <w:b/>
                <w:bCs/>
                <w:color w:val="auto"/>
                <w:kern w:val="0"/>
                <w:sz w:val="18"/>
                <w:szCs w:val="18"/>
                <w:lang w:bidi="ar"/>
              </w:rPr>
              <w:t>声压级/dB</w:t>
            </w:r>
            <w:r>
              <w:rPr>
                <w:rFonts w:hint="eastAsia"/>
                <w:b/>
                <w:bCs/>
                <w:color w:val="auto"/>
                <w:kern w:val="0"/>
                <w:sz w:val="18"/>
                <w:szCs w:val="18"/>
                <w:lang w:eastAsia="zh-CN" w:bidi="ar"/>
              </w:rPr>
              <w:t>（</w:t>
            </w:r>
            <w:r>
              <w:rPr>
                <w:b/>
                <w:bCs/>
                <w:color w:val="auto"/>
                <w:kern w:val="0"/>
                <w:sz w:val="18"/>
                <w:szCs w:val="18"/>
                <w:lang w:bidi="ar"/>
              </w:rPr>
              <w:t>A</w:t>
            </w:r>
            <w:r>
              <w:rPr>
                <w:rFonts w:hint="eastAsia"/>
                <w:b/>
                <w:bCs/>
                <w:color w:val="auto"/>
                <w:kern w:val="0"/>
                <w:sz w:val="18"/>
                <w:szCs w:val="18"/>
                <w:lang w:eastAsia="zh-CN" w:bidi="ar"/>
              </w:rPr>
              <w:t>）</w:t>
            </w:r>
          </w:p>
        </w:tc>
        <w:tc>
          <w:tcPr>
            <w:tcW w:w="1011" w:type="dxa"/>
            <w:shd w:val="clear" w:color="auto" w:fill="F0F0F0"/>
            <w:noWrap/>
            <w:vAlign w:val="center"/>
          </w:tcPr>
          <w:p w14:paraId="16EE129F">
            <w:pPr>
              <w:widowControl/>
              <w:adjustRightInd w:val="0"/>
              <w:snapToGrid w:val="0"/>
              <w:jc w:val="center"/>
              <w:textAlignment w:val="center"/>
              <w:rPr>
                <w:b/>
                <w:bCs/>
                <w:color w:val="auto"/>
                <w:sz w:val="18"/>
                <w:szCs w:val="18"/>
              </w:rPr>
            </w:pPr>
            <w:r>
              <w:rPr>
                <w:b/>
                <w:bCs/>
                <w:color w:val="auto"/>
                <w:kern w:val="0"/>
                <w:sz w:val="18"/>
                <w:szCs w:val="18"/>
                <w:lang w:bidi="ar"/>
              </w:rPr>
              <w:t>建筑物外距离</w:t>
            </w:r>
          </w:p>
        </w:tc>
      </w:tr>
      <w:tr w14:paraId="6606C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1724F11E">
            <w:pPr>
              <w:widowControl/>
              <w:adjustRightInd w:val="0"/>
              <w:snapToGrid w:val="0"/>
              <w:jc w:val="center"/>
              <w:textAlignment w:val="center"/>
              <w:rPr>
                <w:color w:val="auto"/>
                <w:sz w:val="18"/>
                <w:szCs w:val="18"/>
              </w:rPr>
            </w:pPr>
            <w:r>
              <w:rPr>
                <w:color w:val="auto"/>
                <w:kern w:val="0"/>
                <w:sz w:val="18"/>
                <w:szCs w:val="18"/>
                <w:lang w:bidi="ar"/>
              </w:rPr>
              <w:t>清洗消毒流水线设备</w:t>
            </w:r>
          </w:p>
        </w:tc>
        <w:tc>
          <w:tcPr>
            <w:tcW w:w="539" w:type="dxa"/>
            <w:vMerge w:val="restart"/>
            <w:shd w:val="clear" w:color="auto" w:fill="FFFFFF"/>
            <w:noWrap/>
            <w:vAlign w:val="center"/>
          </w:tcPr>
          <w:p w14:paraId="7F42C9C9">
            <w:pPr>
              <w:widowControl/>
              <w:adjustRightInd w:val="0"/>
              <w:snapToGrid w:val="0"/>
              <w:jc w:val="center"/>
              <w:textAlignment w:val="center"/>
              <w:rPr>
                <w:color w:val="auto"/>
                <w:kern w:val="0"/>
                <w:sz w:val="18"/>
                <w:szCs w:val="18"/>
                <w:lang w:bidi="ar"/>
              </w:rPr>
            </w:pPr>
            <w:r>
              <w:rPr>
                <w:color w:val="auto"/>
                <w:kern w:val="0"/>
                <w:sz w:val="18"/>
                <w:szCs w:val="18"/>
                <w:lang w:bidi="ar"/>
              </w:rPr>
              <w:t>室内点声源</w:t>
            </w:r>
          </w:p>
        </w:tc>
        <w:tc>
          <w:tcPr>
            <w:tcW w:w="1747" w:type="dxa"/>
            <w:shd w:val="clear" w:color="auto" w:fill="FFFFFF"/>
            <w:noWrap/>
            <w:vAlign w:val="center"/>
          </w:tcPr>
          <w:p w14:paraId="40442592">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restart"/>
            <w:shd w:val="clear" w:color="auto" w:fill="FFFFFF"/>
            <w:noWrap/>
            <w:vAlign w:val="center"/>
          </w:tcPr>
          <w:p w14:paraId="11622E21">
            <w:pPr>
              <w:adjustRightInd w:val="0"/>
              <w:snapToGrid w:val="0"/>
              <w:jc w:val="center"/>
              <w:rPr>
                <w:color w:val="auto"/>
                <w:sz w:val="18"/>
                <w:szCs w:val="18"/>
              </w:rPr>
            </w:pPr>
            <w:r>
              <w:rPr>
                <w:color w:val="auto"/>
                <w:sz w:val="18"/>
                <w:szCs w:val="18"/>
              </w:rPr>
              <w:t>隔声降噪减震</w:t>
            </w:r>
          </w:p>
        </w:tc>
        <w:tc>
          <w:tcPr>
            <w:tcW w:w="875" w:type="dxa"/>
            <w:shd w:val="clear" w:color="auto" w:fill="FFFFFF"/>
            <w:noWrap/>
            <w:vAlign w:val="center"/>
          </w:tcPr>
          <w:p w14:paraId="7E906487">
            <w:pPr>
              <w:widowControl/>
              <w:adjustRightInd w:val="0"/>
              <w:snapToGrid w:val="0"/>
              <w:jc w:val="center"/>
              <w:textAlignment w:val="center"/>
              <w:rPr>
                <w:color w:val="auto"/>
                <w:sz w:val="18"/>
                <w:szCs w:val="18"/>
              </w:rPr>
            </w:pPr>
            <w:r>
              <w:rPr>
                <w:color w:val="auto"/>
                <w:kern w:val="0"/>
                <w:sz w:val="18"/>
                <w:szCs w:val="18"/>
                <w:lang w:bidi="ar"/>
              </w:rPr>
              <w:t>148.88</w:t>
            </w:r>
          </w:p>
        </w:tc>
        <w:tc>
          <w:tcPr>
            <w:tcW w:w="802" w:type="dxa"/>
            <w:shd w:val="clear" w:color="auto" w:fill="FFFFFF"/>
            <w:noWrap/>
            <w:vAlign w:val="center"/>
          </w:tcPr>
          <w:p w14:paraId="046D8642">
            <w:pPr>
              <w:widowControl/>
              <w:adjustRightInd w:val="0"/>
              <w:snapToGrid w:val="0"/>
              <w:jc w:val="center"/>
              <w:textAlignment w:val="center"/>
              <w:rPr>
                <w:color w:val="auto"/>
                <w:sz w:val="18"/>
                <w:szCs w:val="18"/>
              </w:rPr>
            </w:pPr>
            <w:r>
              <w:rPr>
                <w:color w:val="auto"/>
                <w:kern w:val="0"/>
                <w:sz w:val="18"/>
                <w:szCs w:val="18"/>
                <w:lang w:bidi="ar"/>
              </w:rPr>
              <w:t>124.43</w:t>
            </w:r>
          </w:p>
        </w:tc>
        <w:tc>
          <w:tcPr>
            <w:tcW w:w="507" w:type="dxa"/>
            <w:shd w:val="clear" w:color="auto" w:fill="FFFFFF"/>
            <w:noWrap/>
            <w:vAlign w:val="center"/>
          </w:tcPr>
          <w:p w14:paraId="78C44526">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1C9DC555">
            <w:pPr>
              <w:widowControl/>
              <w:adjustRightInd w:val="0"/>
              <w:snapToGrid w:val="0"/>
              <w:jc w:val="center"/>
              <w:textAlignment w:val="center"/>
              <w:rPr>
                <w:color w:val="auto"/>
                <w:sz w:val="18"/>
                <w:szCs w:val="18"/>
              </w:rPr>
            </w:pPr>
            <w:r>
              <w:rPr>
                <w:color w:val="auto"/>
                <w:kern w:val="0"/>
                <w:sz w:val="18"/>
                <w:szCs w:val="18"/>
                <w:lang w:bidi="ar"/>
              </w:rPr>
              <w:t>13.41</w:t>
            </w:r>
          </w:p>
        </w:tc>
        <w:tc>
          <w:tcPr>
            <w:tcW w:w="728" w:type="dxa"/>
            <w:shd w:val="clear" w:color="auto" w:fill="auto"/>
            <w:noWrap/>
            <w:vAlign w:val="center"/>
          </w:tcPr>
          <w:p w14:paraId="6BA81189">
            <w:pPr>
              <w:widowControl/>
              <w:adjustRightInd w:val="0"/>
              <w:snapToGrid w:val="0"/>
              <w:jc w:val="center"/>
              <w:textAlignment w:val="center"/>
              <w:rPr>
                <w:color w:val="auto"/>
                <w:sz w:val="18"/>
                <w:szCs w:val="18"/>
              </w:rPr>
            </w:pPr>
            <w:r>
              <w:rPr>
                <w:color w:val="auto"/>
                <w:kern w:val="0"/>
                <w:sz w:val="18"/>
                <w:szCs w:val="18"/>
                <w:lang w:bidi="ar"/>
              </w:rPr>
              <w:t>16.04</w:t>
            </w:r>
          </w:p>
        </w:tc>
        <w:tc>
          <w:tcPr>
            <w:tcW w:w="728" w:type="dxa"/>
            <w:shd w:val="clear" w:color="auto" w:fill="FFFFFF"/>
            <w:noWrap/>
            <w:vAlign w:val="center"/>
          </w:tcPr>
          <w:p w14:paraId="29B5B5CC">
            <w:pPr>
              <w:widowControl/>
              <w:adjustRightInd w:val="0"/>
              <w:snapToGrid w:val="0"/>
              <w:jc w:val="center"/>
              <w:textAlignment w:val="center"/>
              <w:rPr>
                <w:color w:val="auto"/>
                <w:sz w:val="18"/>
                <w:szCs w:val="18"/>
              </w:rPr>
            </w:pPr>
            <w:r>
              <w:rPr>
                <w:color w:val="auto"/>
                <w:kern w:val="0"/>
                <w:sz w:val="18"/>
                <w:szCs w:val="18"/>
                <w:lang w:bidi="ar"/>
              </w:rPr>
              <w:t>6.43</w:t>
            </w:r>
          </w:p>
        </w:tc>
        <w:tc>
          <w:tcPr>
            <w:tcW w:w="728" w:type="dxa"/>
            <w:shd w:val="clear" w:color="auto" w:fill="auto"/>
            <w:noWrap/>
            <w:vAlign w:val="center"/>
          </w:tcPr>
          <w:p w14:paraId="3B0C24DB">
            <w:pPr>
              <w:widowControl/>
              <w:adjustRightInd w:val="0"/>
              <w:snapToGrid w:val="0"/>
              <w:jc w:val="center"/>
              <w:textAlignment w:val="center"/>
              <w:rPr>
                <w:color w:val="auto"/>
                <w:sz w:val="18"/>
                <w:szCs w:val="18"/>
              </w:rPr>
            </w:pPr>
            <w:r>
              <w:rPr>
                <w:color w:val="auto"/>
                <w:kern w:val="0"/>
                <w:sz w:val="18"/>
                <w:szCs w:val="18"/>
                <w:lang w:bidi="ar"/>
              </w:rPr>
              <w:t>28.89</w:t>
            </w:r>
          </w:p>
        </w:tc>
        <w:tc>
          <w:tcPr>
            <w:tcW w:w="855" w:type="dxa"/>
            <w:shd w:val="clear" w:color="auto" w:fill="FFFFFF"/>
            <w:noWrap/>
            <w:vAlign w:val="center"/>
          </w:tcPr>
          <w:p w14:paraId="5BEEC5EA">
            <w:pPr>
              <w:widowControl/>
              <w:adjustRightInd w:val="0"/>
              <w:snapToGrid w:val="0"/>
              <w:jc w:val="center"/>
              <w:textAlignment w:val="center"/>
              <w:rPr>
                <w:color w:val="auto"/>
                <w:sz w:val="18"/>
                <w:szCs w:val="18"/>
              </w:rPr>
            </w:pPr>
            <w:r>
              <w:rPr>
                <w:color w:val="auto"/>
                <w:kern w:val="0"/>
                <w:sz w:val="18"/>
                <w:szCs w:val="18"/>
                <w:lang w:bidi="ar"/>
              </w:rPr>
              <w:t>66.47</w:t>
            </w:r>
          </w:p>
        </w:tc>
        <w:tc>
          <w:tcPr>
            <w:tcW w:w="1116" w:type="dxa"/>
            <w:shd w:val="clear" w:color="auto" w:fill="FFFFFF"/>
            <w:noWrap/>
            <w:vAlign w:val="center"/>
          </w:tcPr>
          <w:p w14:paraId="722B9279">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0C9F1E73">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F5FEA3B">
            <w:pPr>
              <w:widowControl/>
              <w:adjustRightInd w:val="0"/>
              <w:snapToGrid w:val="0"/>
              <w:jc w:val="center"/>
              <w:textAlignment w:val="center"/>
              <w:rPr>
                <w:color w:val="auto"/>
                <w:sz w:val="18"/>
                <w:szCs w:val="18"/>
              </w:rPr>
            </w:pPr>
            <w:r>
              <w:rPr>
                <w:color w:val="auto"/>
                <w:kern w:val="0"/>
                <w:sz w:val="18"/>
                <w:szCs w:val="18"/>
                <w:lang w:bidi="ar"/>
              </w:rPr>
              <w:t>40.47</w:t>
            </w:r>
          </w:p>
        </w:tc>
        <w:tc>
          <w:tcPr>
            <w:tcW w:w="1011" w:type="dxa"/>
            <w:shd w:val="clear" w:color="auto" w:fill="FFFFFF"/>
            <w:noWrap/>
            <w:vAlign w:val="center"/>
          </w:tcPr>
          <w:p w14:paraId="2DA9CC13">
            <w:pPr>
              <w:widowControl/>
              <w:adjustRightInd w:val="0"/>
              <w:snapToGrid w:val="0"/>
              <w:jc w:val="center"/>
              <w:textAlignment w:val="center"/>
              <w:rPr>
                <w:color w:val="auto"/>
                <w:sz w:val="18"/>
                <w:szCs w:val="18"/>
              </w:rPr>
            </w:pPr>
            <w:r>
              <w:rPr>
                <w:color w:val="auto"/>
                <w:kern w:val="0"/>
                <w:sz w:val="18"/>
                <w:szCs w:val="18"/>
                <w:lang w:bidi="ar"/>
              </w:rPr>
              <w:t>1</w:t>
            </w:r>
          </w:p>
        </w:tc>
      </w:tr>
      <w:tr w14:paraId="4756D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2DB1E6A5">
            <w:pPr>
              <w:widowControl/>
              <w:adjustRightInd w:val="0"/>
              <w:snapToGrid w:val="0"/>
              <w:jc w:val="center"/>
              <w:textAlignment w:val="center"/>
              <w:rPr>
                <w:color w:val="auto"/>
                <w:sz w:val="18"/>
                <w:szCs w:val="18"/>
              </w:rPr>
            </w:pPr>
            <w:r>
              <w:rPr>
                <w:color w:val="auto"/>
                <w:kern w:val="0"/>
                <w:sz w:val="18"/>
                <w:szCs w:val="18"/>
                <w:lang w:bidi="ar"/>
              </w:rPr>
              <w:t>自动化洗箱（周转箱）机</w:t>
            </w:r>
          </w:p>
        </w:tc>
        <w:tc>
          <w:tcPr>
            <w:tcW w:w="539" w:type="dxa"/>
            <w:vMerge w:val="continue"/>
            <w:shd w:val="clear" w:color="auto" w:fill="FFFFFF"/>
            <w:noWrap/>
            <w:vAlign w:val="center"/>
          </w:tcPr>
          <w:p w14:paraId="1CEA1F16">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5CB74BFB">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continue"/>
            <w:shd w:val="clear" w:color="auto" w:fill="FFFFFF"/>
            <w:noWrap/>
            <w:vAlign w:val="center"/>
          </w:tcPr>
          <w:p w14:paraId="7EEAD6D6">
            <w:pPr>
              <w:adjustRightInd w:val="0"/>
              <w:snapToGrid w:val="0"/>
              <w:jc w:val="center"/>
              <w:rPr>
                <w:color w:val="auto"/>
                <w:sz w:val="18"/>
                <w:szCs w:val="18"/>
              </w:rPr>
            </w:pPr>
          </w:p>
        </w:tc>
        <w:tc>
          <w:tcPr>
            <w:tcW w:w="875" w:type="dxa"/>
            <w:shd w:val="clear" w:color="auto" w:fill="FFFFFF"/>
            <w:noWrap/>
            <w:vAlign w:val="center"/>
          </w:tcPr>
          <w:p w14:paraId="1240DD36">
            <w:pPr>
              <w:widowControl/>
              <w:adjustRightInd w:val="0"/>
              <w:snapToGrid w:val="0"/>
              <w:jc w:val="center"/>
              <w:textAlignment w:val="center"/>
              <w:rPr>
                <w:color w:val="auto"/>
                <w:sz w:val="18"/>
                <w:szCs w:val="18"/>
              </w:rPr>
            </w:pPr>
            <w:r>
              <w:rPr>
                <w:color w:val="auto"/>
                <w:kern w:val="0"/>
                <w:sz w:val="18"/>
                <w:szCs w:val="18"/>
                <w:lang w:bidi="ar"/>
              </w:rPr>
              <w:t>155.39</w:t>
            </w:r>
          </w:p>
        </w:tc>
        <w:tc>
          <w:tcPr>
            <w:tcW w:w="802" w:type="dxa"/>
            <w:shd w:val="clear" w:color="auto" w:fill="FFFFFF"/>
            <w:noWrap/>
            <w:vAlign w:val="center"/>
          </w:tcPr>
          <w:p w14:paraId="5D7311B2">
            <w:pPr>
              <w:widowControl/>
              <w:adjustRightInd w:val="0"/>
              <w:snapToGrid w:val="0"/>
              <w:jc w:val="center"/>
              <w:textAlignment w:val="center"/>
              <w:rPr>
                <w:color w:val="auto"/>
                <w:sz w:val="18"/>
                <w:szCs w:val="18"/>
              </w:rPr>
            </w:pPr>
            <w:r>
              <w:rPr>
                <w:color w:val="auto"/>
                <w:kern w:val="0"/>
                <w:sz w:val="18"/>
                <w:szCs w:val="18"/>
                <w:lang w:bidi="ar"/>
              </w:rPr>
              <w:t>113.14</w:t>
            </w:r>
          </w:p>
        </w:tc>
        <w:tc>
          <w:tcPr>
            <w:tcW w:w="507" w:type="dxa"/>
            <w:shd w:val="clear" w:color="auto" w:fill="FFFFFF"/>
            <w:noWrap/>
            <w:vAlign w:val="center"/>
          </w:tcPr>
          <w:p w14:paraId="227AB288">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581FCF37">
            <w:pPr>
              <w:widowControl/>
              <w:adjustRightInd w:val="0"/>
              <w:snapToGrid w:val="0"/>
              <w:jc w:val="center"/>
              <w:textAlignment w:val="center"/>
              <w:rPr>
                <w:color w:val="auto"/>
                <w:sz w:val="18"/>
                <w:szCs w:val="18"/>
              </w:rPr>
            </w:pPr>
            <w:r>
              <w:rPr>
                <w:color w:val="auto"/>
                <w:kern w:val="0"/>
                <w:sz w:val="18"/>
                <w:szCs w:val="18"/>
                <w:lang w:bidi="ar"/>
              </w:rPr>
              <w:t>13.67</w:t>
            </w:r>
          </w:p>
        </w:tc>
        <w:tc>
          <w:tcPr>
            <w:tcW w:w="728" w:type="dxa"/>
            <w:shd w:val="clear" w:color="auto" w:fill="auto"/>
            <w:noWrap/>
            <w:vAlign w:val="center"/>
          </w:tcPr>
          <w:p w14:paraId="575D5994">
            <w:pPr>
              <w:widowControl/>
              <w:adjustRightInd w:val="0"/>
              <w:snapToGrid w:val="0"/>
              <w:jc w:val="center"/>
              <w:textAlignment w:val="center"/>
              <w:rPr>
                <w:color w:val="auto"/>
                <w:sz w:val="18"/>
                <w:szCs w:val="18"/>
              </w:rPr>
            </w:pPr>
            <w:r>
              <w:rPr>
                <w:color w:val="auto"/>
                <w:kern w:val="0"/>
                <w:sz w:val="18"/>
                <w:szCs w:val="18"/>
                <w:lang w:bidi="ar"/>
              </w:rPr>
              <w:t>3.03</w:t>
            </w:r>
          </w:p>
        </w:tc>
        <w:tc>
          <w:tcPr>
            <w:tcW w:w="728" w:type="dxa"/>
            <w:shd w:val="clear" w:color="auto" w:fill="FFFFFF"/>
            <w:noWrap/>
            <w:vAlign w:val="center"/>
          </w:tcPr>
          <w:p w14:paraId="3342727C">
            <w:pPr>
              <w:widowControl/>
              <w:adjustRightInd w:val="0"/>
              <w:snapToGrid w:val="0"/>
              <w:jc w:val="center"/>
              <w:textAlignment w:val="center"/>
              <w:rPr>
                <w:color w:val="auto"/>
                <w:sz w:val="18"/>
                <w:szCs w:val="18"/>
              </w:rPr>
            </w:pPr>
            <w:r>
              <w:rPr>
                <w:color w:val="auto"/>
                <w:kern w:val="0"/>
                <w:sz w:val="18"/>
                <w:szCs w:val="18"/>
                <w:lang w:bidi="ar"/>
              </w:rPr>
              <w:t>5.90</w:t>
            </w:r>
          </w:p>
        </w:tc>
        <w:tc>
          <w:tcPr>
            <w:tcW w:w="728" w:type="dxa"/>
            <w:shd w:val="clear" w:color="auto" w:fill="auto"/>
            <w:noWrap/>
            <w:vAlign w:val="center"/>
          </w:tcPr>
          <w:p w14:paraId="172ED238">
            <w:pPr>
              <w:widowControl/>
              <w:adjustRightInd w:val="0"/>
              <w:snapToGrid w:val="0"/>
              <w:jc w:val="center"/>
              <w:textAlignment w:val="center"/>
              <w:rPr>
                <w:color w:val="auto"/>
                <w:sz w:val="18"/>
                <w:szCs w:val="18"/>
              </w:rPr>
            </w:pPr>
            <w:r>
              <w:rPr>
                <w:color w:val="auto"/>
                <w:kern w:val="0"/>
                <w:sz w:val="18"/>
                <w:szCs w:val="18"/>
                <w:lang w:bidi="ar"/>
              </w:rPr>
              <w:t>41.91</w:t>
            </w:r>
          </w:p>
        </w:tc>
        <w:tc>
          <w:tcPr>
            <w:tcW w:w="855" w:type="dxa"/>
            <w:shd w:val="clear" w:color="auto" w:fill="FFFFFF"/>
            <w:noWrap/>
            <w:vAlign w:val="center"/>
          </w:tcPr>
          <w:p w14:paraId="7A4379A5">
            <w:pPr>
              <w:widowControl/>
              <w:adjustRightInd w:val="0"/>
              <w:snapToGrid w:val="0"/>
              <w:jc w:val="center"/>
              <w:textAlignment w:val="center"/>
              <w:rPr>
                <w:color w:val="auto"/>
                <w:sz w:val="18"/>
                <w:szCs w:val="18"/>
              </w:rPr>
            </w:pPr>
            <w:r>
              <w:rPr>
                <w:color w:val="auto"/>
                <w:kern w:val="0"/>
                <w:sz w:val="18"/>
                <w:szCs w:val="18"/>
                <w:lang w:bidi="ar"/>
              </w:rPr>
              <w:t>66.47</w:t>
            </w:r>
          </w:p>
        </w:tc>
        <w:tc>
          <w:tcPr>
            <w:tcW w:w="1116" w:type="dxa"/>
            <w:shd w:val="clear" w:color="auto" w:fill="FFFFFF"/>
            <w:noWrap/>
            <w:vAlign w:val="center"/>
          </w:tcPr>
          <w:p w14:paraId="099E9DD7">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2519EDF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6ECBD52E">
            <w:pPr>
              <w:widowControl/>
              <w:adjustRightInd w:val="0"/>
              <w:snapToGrid w:val="0"/>
              <w:jc w:val="center"/>
              <w:textAlignment w:val="center"/>
              <w:rPr>
                <w:color w:val="auto"/>
                <w:sz w:val="18"/>
                <w:szCs w:val="18"/>
              </w:rPr>
            </w:pPr>
            <w:r>
              <w:rPr>
                <w:color w:val="auto"/>
                <w:kern w:val="0"/>
                <w:sz w:val="18"/>
                <w:szCs w:val="18"/>
                <w:lang w:bidi="ar"/>
              </w:rPr>
              <w:t>40.47</w:t>
            </w:r>
          </w:p>
        </w:tc>
        <w:tc>
          <w:tcPr>
            <w:tcW w:w="1011" w:type="dxa"/>
            <w:shd w:val="clear" w:color="auto" w:fill="FFFFFF"/>
            <w:noWrap/>
            <w:vAlign w:val="center"/>
          </w:tcPr>
          <w:p w14:paraId="1CBE307C">
            <w:pPr>
              <w:widowControl/>
              <w:adjustRightInd w:val="0"/>
              <w:snapToGrid w:val="0"/>
              <w:jc w:val="center"/>
              <w:textAlignment w:val="center"/>
              <w:rPr>
                <w:color w:val="auto"/>
                <w:sz w:val="18"/>
                <w:szCs w:val="18"/>
              </w:rPr>
            </w:pPr>
            <w:r>
              <w:rPr>
                <w:color w:val="auto"/>
                <w:kern w:val="0"/>
                <w:sz w:val="18"/>
                <w:szCs w:val="18"/>
                <w:lang w:bidi="ar"/>
              </w:rPr>
              <w:t>1</w:t>
            </w:r>
          </w:p>
        </w:tc>
      </w:tr>
      <w:tr w14:paraId="439B9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9C5C6BD">
            <w:pPr>
              <w:widowControl/>
              <w:adjustRightInd w:val="0"/>
              <w:snapToGrid w:val="0"/>
              <w:jc w:val="center"/>
              <w:textAlignment w:val="center"/>
              <w:rPr>
                <w:color w:val="auto"/>
                <w:sz w:val="18"/>
                <w:szCs w:val="18"/>
              </w:rPr>
            </w:pPr>
            <w:r>
              <w:rPr>
                <w:color w:val="auto"/>
                <w:kern w:val="0"/>
                <w:sz w:val="18"/>
                <w:szCs w:val="18"/>
                <w:lang w:bidi="ar"/>
              </w:rPr>
              <w:t>筷子包装机1</w:t>
            </w:r>
          </w:p>
        </w:tc>
        <w:tc>
          <w:tcPr>
            <w:tcW w:w="539" w:type="dxa"/>
            <w:vMerge w:val="continue"/>
            <w:shd w:val="clear" w:color="auto" w:fill="FFFFFF"/>
            <w:noWrap/>
            <w:vAlign w:val="center"/>
          </w:tcPr>
          <w:p w14:paraId="63663911">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63A83D68">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continue"/>
            <w:shd w:val="clear" w:color="auto" w:fill="FFFFFF"/>
            <w:noWrap/>
            <w:vAlign w:val="center"/>
          </w:tcPr>
          <w:p w14:paraId="48489EC4">
            <w:pPr>
              <w:adjustRightInd w:val="0"/>
              <w:snapToGrid w:val="0"/>
              <w:jc w:val="center"/>
              <w:rPr>
                <w:color w:val="auto"/>
                <w:sz w:val="18"/>
                <w:szCs w:val="18"/>
              </w:rPr>
            </w:pPr>
          </w:p>
        </w:tc>
        <w:tc>
          <w:tcPr>
            <w:tcW w:w="875" w:type="dxa"/>
            <w:shd w:val="clear" w:color="auto" w:fill="FFFFFF"/>
            <w:noWrap/>
            <w:vAlign w:val="center"/>
          </w:tcPr>
          <w:p w14:paraId="24FF92D5">
            <w:pPr>
              <w:widowControl/>
              <w:adjustRightInd w:val="0"/>
              <w:snapToGrid w:val="0"/>
              <w:jc w:val="center"/>
              <w:textAlignment w:val="center"/>
              <w:rPr>
                <w:color w:val="auto"/>
                <w:sz w:val="18"/>
                <w:szCs w:val="18"/>
              </w:rPr>
            </w:pPr>
            <w:r>
              <w:rPr>
                <w:color w:val="auto"/>
                <w:kern w:val="0"/>
                <w:sz w:val="18"/>
                <w:szCs w:val="18"/>
                <w:lang w:bidi="ar"/>
              </w:rPr>
              <w:t>140.89</w:t>
            </w:r>
          </w:p>
        </w:tc>
        <w:tc>
          <w:tcPr>
            <w:tcW w:w="802" w:type="dxa"/>
            <w:shd w:val="clear" w:color="auto" w:fill="FFFFFF"/>
            <w:noWrap/>
            <w:vAlign w:val="center"/>
          </w:tcPr>
          <w:p w14:paraId="7BB0AFBF">
            <w:pPr>
              <w:widowControl/>
              <w:adjustRightInd w:val="0"/>
              <w:snapToGrid w:val="0"/>
              <w:jc w:val="center"/>
              <w:textAlignment w:val="center"/>
              <w:rPr>
                <w:color w:val="auto"/>
                <w:sz w:val="18"/>
                <w:szCs w:val="18"/>
              </w:rPr>
            </w:pPr>
            <w:r>
              <w:rPr>
                <w:color w:val="auto"/>
                <w:kern w:val="0"/>
                <w:sz w:val="18"/>
                <w:szCs w:val="18"/>
                <w:lang w:bidi="ar"/>
              </w:rPr>
              <w:t>146.55</w:t>
            </w:r>
          </w:p>
        </w:tc>
        <w:tc>
          <w:tcPr>
            <w:tcW w:w="507" w:type="dxa"/>
            <w:shd w:val="clear" w:color="auto" w:fill="FFFFFF"/>
            <w:noWrap/>
            <w:vAlign w:val="center"/>
          </w:tcPr>
          <w:p w14:paraId="44531F55">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43E5DDEA">
            <w:pPr>
              <w:widowControl/>
              <w:adjustRightInd w:val="0"/>
              <w:snapToGrid w:val="0"/>
              <w:jc w:val="center"/>
              <w:textAlignment w:val="center"/>
              <w:rPr>
                <w:color w:val="auto"/>
                <w:sz w:val="18"/>
                <w:szCs w:val="18"/>
              </w:rPr>
            </w:pPr>
            <w:r>
              <w:rPr>
                <w:color w:val="auto"/>
                <w:kern w:val="0"/>
                <w:sz w:val="18"/>
                <w:szCs w:val="18"/>
                <w:lang w:bidi="ar"/>
              </w:rPr>
              <w:t>17.09</w:t>
            </w:r>
          </w:p>
        </w:tc>
        <w:tc>
          <w:tcPr>
            <w:tcW w:w="728" w:type="dxa"/>
            <w:shd w:val="clear" w:color="auto" w:fill="auto"/>
            <w:noWrap/>
            <w:vAlign w:val="center"/>
          </w:tcPr>
          <w:p w14:paraId="647F3245">
            <w:pPr>
              <w:widowControl/>
              <w:adjustRightInd w:val="0"/>
              <w:snapToGrid w:val="0"/>
              <w:jc w:val="center"/>
              <w:textAlignment w:val="center"/>
              <w:rPr>
                <w:color w:val="auto"/>
                <w:sz w:val="18"/>
                <w:szCs w:val="18"/>
              </w:rPr>
            </w:pPr>
            <w:r>
              <w:rPr>
                <w:color w:val="auto"/>
                <w:kern w:val="0"/>
                <w:sz w:val="18"/>
                <w:szCs w:val="18"/>
                <w:lang w:bidi="ar"/>
              </w:rPr>
              <w:t>39.42</w:t>
            </w:r>
          </w:p>
        </w:tc>
        <w:tc>
          <w:tcPr>
            <w:tcW w:w="728" w:type="dxa"/>
            <w:shd w:val="clear" w:color="auto" w:fill="FFFFFF"/>
            <w:noWrap/>
            <w:vAlign w:val="center"/>
          </w:tcPr>
          <w:p w14:paraId="7EB88037">
            <w:pPr>
              <w:widowControl/>
              <w:adjustRightInd w:val="0"/>
              <w:snapToGrid w:val="0"/>
              <w:jc w:val="center"/>
              <w:textAlignment w:val="center"/>
              <w:rPr>
                <w:color w:val="auto"/>
                <w:sz w:val="18"/>
                <w:szCs w:val="18"/>
              </w:rPr>
            </w:pPr>
            <w:r>
              <w:rPr>
                <w:color w:val="auto"/>
                <w:kern w:val="0"/>
                <w:sz w:val="18"/>
                <w:szCs w:val="18"/>
                <w:lang w:bidi="ar"/>
              </w:rPr>
              <w:t>3.26</w:t>
            </w:r>
          </w:p>
        </w:tc>
        <w:tc>
          <w:tcPr>
            <w:tcW w:w="728" w:type="dxa"/>
            <w:shd w:val="clear" w:color="auto" w:fill="auto"/>
            <w:noWrap/>
            <w:vAlign w:val="center"/>
          </w:tcPr>
          <w:p w14:paraId="071BC78D">
            <w:pPr>
              <w:widowControl/>
              <w:adjustRightInd w:val="0"/>
              <w:snapToGrid w:val="0"/>
              <w:jc w:val="center"/>
              <w:textAlignment w:val="center"/>
              <w:rPr>
                <w:color w:val="auto"/>
                <w:sz w:val="18"/>
                <w:szCs w:val="18"/>
              </w:rPr>
            </w:pPr>
            <w:r>
              <w:rPr>
                <w:color w:val="auto"/>
                <w:kern w:val="0"/>
                <w:sz w:val="18"/>
                <w:szCs w:val="18"/>
                <w:lang w:bidi="ar"/>
              </w:rPr>
              <w:t>5.58</w:t>
            </w:r>
          </w:p>
        </w:tc>
        <w:tc>
          <w:tcPr>
            <w:tcW w:w="855" w:type="dxa"/>
            <w:shd w:val="clear" w:color="auto" w:fill="FFFFFF"/>
            <w:noWrap/>
            <w:vAlign w:val="center"/>
          </w:tcPr>
          <w:p w14:paraId="4FC33294">
            <w:pPr>
              <w:widowControl/>
              <w:adjustRightInd w:val="0"/>
              <w:snapToGrid w:val="0"/>
              <w:jc w:val="center"/>
              <w:textAlignment w:val="center"/>
              <w:rPr>
                <w:color w:val="auto"/>
                <w:sz w:val="18"/>
                <w:szCs w:val="18"/>
              </w:rPr>
            </w:pPr>
            <w:r>
              <w:rPr>
                <w:color w:val="auto"/>
                <w:kern w:val="0"/>
                <w:sz w:val="18"/>
                <w:szCs w:val="18"/>
                <w:lang w:bidi="ar"/>
              </w:rPr>
              <w:t>66.47</w:t>
            </w:r>
          </w:p>
        </w:tc>
        <w:tc>
          <w:tcPr>
            <w:tcW w:w="1116" w:type="dxa"/>
            <w:shd w:val="clear" w:color="auto" w:fill="FFFFFF"/>
            <w:noWrap/>
            <w:vAlign w:val="center"/>
          </w:tcPr>
          <w:p w14:paraId="0E78471D">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374CD3D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968A532">
            <w:pPr>
              <w:widowControl/>
              <w:adjustRightInd w:val="0"/>
              <w:snapToGrid w:val="0"/>
              <w:jc w:val="center"/>
              <w:textAlignment w:val="center"/>
              <w:rPr>
                <w:color w:val="auto"/>
                <w:sz w:val="18"/>
                <w:szCs w:val="18"/>
              </w:rPr>
            </w:pPr>
            <w:r>
              <w:rPr>
                <w:color w:val="auto"/>
                <w:kern w:val="0"/>
                <w:sz w:val="18"/>
                <w:szCs w:val="18"/>
                <w:lang w:bidi="ar"/>
              </w:rPr>
              <w:t>40.47</w:t>
            </w:r>
          </w:p>
        </w:tc>
        <w:tc>
          <w:tcPr>
            <w:tcW w:w="1011" w:type="dxa"/>
            <w:shd w:val="clear" w:color="auto" w:fill="FFFFFF"/>
            <w:noWrap/>
            <w:vAlign w:val="center"/>
          </w:tcPr>
          <w:p w14:paraId="5E9635D2">
            <w:pPr>
              <w:widowControl/>
              <w:adjustRightInd w:val="0"/>
              <w:snapToGrid w:val="0"/>
              <w:jc w:val="center"/>
              <w:textAlignment w:val="center"/>
              <w:rPr>
                <w:color w:val="auto"/>
                <w:sz w:val="18"/>
                <w:szCs w:val="18"/>
              </w:rPr>
            </w:pPr>
            <w:r>
              <w:rPr>
                <w:color w:val="auto"/>
                <w:kern w:val="0"/>
                <w:sz w:val="18"/>
                <w:szCs w:val="18"/>
                <w:lang w:bidi="ar"/>
              </w:rPr>
              <w:t>1</w:t>
            </w:r>
          </w:p>
        </w:tc>
      </w:tr>
      <w:tr w14:paraId="24EB7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40EB7A6">
            <w:pPr>
              <w:widowControl/>
              <w:adjustRightInd w:val="0"/>
              <w:snapToGrid w:val="0"/>
              <w:jc w:val="center"/>
              <w:textAlignment w:val="center"/>
              <w:rPr>
                <w:color w:val="auto"/>
                <w:sz w:val="18"/>
                <w:szCs w:val="18"/>
              </w:rPr>
            </w:pPr>
            <w:r>
              <w:rPr>
                <w:color w:val="auto"/>
                <w:kern w:val="0"/>
                <w:sz w:val="18"/>
                <w:szCs w:val="18"/>
                <w:lang w:bidi="ar"/>
              </w:rPr>
              <w:t>筷子包装机2</w:t>
            </w:r>
          </w:p>
        </w:tc>
        <w:tc>
          <w:tcPr>
            <w:tcW w:w="539" w:type="dxa"/>
            <w:vMerge w:val="continue"/>
            <w:shd w:val="clear" w:color="auto" w:fill="FFFFFF"/>
            <w:noWrap/>
            <w:vAlign w:val="center"/>
          </w:tcPr>
          <w:p w14:paraId="03A83CB7">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682DF10D">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continue"/>
            <w:shd w:val="clear" w:color="auto" w:fill="FFFFFF"/>
            <w:noWrap/>
            <w:vAlign w:val="center"/>
          </w:tcPr>
          <w:p w14:paraId="45855EE2">
            <w:pPr>
              <w:adjustRightInd w:val="0"/>
              <w:snapToGrid w:val="0"/>
              <w:jc w:val="center"/>
              <w:rPr>
                <w:color w:val="auto"/>
                <w:sz w:val="18"/>
                <w:szCs w:val="18"/>
              </w:rPr>
            </w:pPr>
          </w:p>
        </w:tc>
        <w:tc>
          <w:tcPr>
            <w:tcW w:w="875" w:type="dxa"/>
            <w:shd w:val="clear" w:color="auto" w:fill="FFFFFF"/>
            <w:noWrap/>
            <w:vAlign w:val="center"/>
          </w:tcPr>
          <w:p w14:paraId="2895D1CE">
            <w:pPr>
              <w:widowControl/>
              <w:adjustRightInd w:val="0"/>
              <w:snapToGrid w:val="0"/>
              <w:jc w:val="center"/>
              <w:textAlignment w:val="center"/>
              <w:rPr>
                <w:color w:val="auto"/>
                <w:sz w:val="18"/>
                <w:szCs w:val="18"/>
              </w:rPr>
            </w:pPr>
            <w:r>
              <w:rPr>
                <w:color w:val="auto"/>
                <w:kern w:val="0"/>
                <w:sz w:val="18"/>
                <w:szCs w:val="18"/>
                <w:lang w:bidi="ar"/>
              </w:rPr>
              <w:t>142.73</w:t>
            </w:r>
          </w:p>
        </w:tc>
        <w:tc>
          <w:tcPr>
            <w:tcW w:w="802" w:type="dxa"/>
            <w:shd w:val="clear" w:color="auto" w:fill="FFFFFF"/>
            <w:noWrap/>
            <w:vAlign w:val="center"/>
          </w:tcPr>
          <w:p w14:paraId="169E8D2D">
            <w:pPr>
              <w:widowControl/>
              <w:adjustRightInd w:val="0"/>
              <w:snapToGrid w:val="0"/>
              <w:jc w:val="center"/>
              <w:textAlignment w:val="center"/>
              <w:rPr>
                <w:color w:val="auto"/>
                <w:sz w:val="18"/>
                <w:szCs w:val="18"/>
              </w:rPr>
            </w:pPr>
            <w:r>
              <w:rPr>
                <w:color w:val="auto"/>
                <w:kern w:val="0"/>
                <w:sz w:val="18"/>
                <w:szCs w:val="18"/>
                <w:lang w:bidi="ar"/>
              </w:rPr>
              <w:t>143.89</w:t>
            </w:r>
          </w:p>
        </w:tc>
        <w:tc>
          <w:tcPr>
            <w:tcW w:w="507" w:type="dxa"/>
            <w:shd w:val="clear" w:color="auto" w:fill="FFFFFF"/>
            <w:noWrap/>
            <w:vAlign w:val="center"/>
          </w:tcPr>
          <w:p w14:paraId="5B9AB9CF">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59D71875">
            <w:pPr>
              <w:widowControl/>
              <w:adjustRightInd w:val="0"/>
              <w:snapToGrid w:val="0"/>
              <w:jc w:val="center"/>
              <w:textAlignment w:val="center"/>
              <w:rPr>
                <w:color w:val="auto"/>
                <w:sz w:val="18"/>
                <w:szCs w:val="18"/>
              </w:rPr>
            </w:pPr>
            <w:r>
              <w:rPr>
                <w:color w:val="auto"/>
                <w:kern w:val="0"/>
                <w:sz w:val="18"/>
                <w:szCs w:val="18"/>
                <w:lang w:bidi="ar"/>
              </w:rPr>
              <w:t>17.42</w:t>
            </w:r>
          </w:p>
        </w:tc>
        <w:tc>
          <w:tcPr>
            <w:tcW w:w="728" w:type="dxa"/>
            <w:shd w:val="clear" w:color="auto" w:fill="auto"/>
            <w:noWrap/>
            <w:vAlign w:val="center"/>
          </w:tcPr>
          <w:p w14:paraId="2BD22DAD">
            <w:pPr>
              <w:widowControl/>
              <w:adjustRightInd w:val="0"/>
              <w:snapToGrid w:val="0"/>
              <w:jc w:val="center"/>
              <w:textAlignment w:val="center"/>
              <w:rPr>
                <w:color w:val="auto"/>
                <w:sz w:val="18"/>
                <w:szCs w:val="18"/>
              </w:rPr>
            </w:pPr>
            <w:r>
              <w:rPr>
                <w:color w:val="auto"/>
                <w:kern w:val="0"/>
                <w:sz w:val="18"/>
                <w:szCs w:val="18"/>
                <w:lang w:bidi="ar"/>
              </w:rPr>
              <w:t>36.22</w:t>
            </w:r>
          </w:p>
        </w:tc>
        <w:tc>
          <w:tcPr>
            <w:tcW w:w="728" w:type="dxa"/>
            <w:shd w:val="clear" w:color="auto" w:fill="FFFFFF"/>
            <w:noWrap/>
            <w:vAlign w:val="center"/>
          </w:tcPr>
          <w:p w14:paraId="392F1246">
            <w:pPr>
              <w:widowControl/>
              <w:adjustRightInd w:val="0"/>
              <w:snapToGrid w:val="0"/>
              <w:jc w:val="center"/>
              <w:textAlignment w:val="center"/>
              <w:rPr>
                <w:color w:val="auto"/>
                <w:sz w:val="18"/>
                <w:szCs w:val="18"/>
              </w:rPr>
            </w:pPr>
            <w:r>
              <w:rPr>
                <w:color w:val="auto"/>
                <w:kern w:val="0"/>
                <w:sz w:val="18"/>
                <w:szCs w:val="18"/>
                <w:lang w:bidi="ar"/>
              </w:rPr>
              <w:t>2.87</w:t>
            </w:r>
          </w:p>
        </w:tc>
        <w:tc>
          <w:tcPr>
            <w:tcW w:w="728" w:type="dxa"/>
            <w:shd w:val="clear" w:color="auto" w:fill="auto"/>
            <w:noWrap/>
            <w:vAlign w:val="center"/>
          </w:tcPr>
          <w:p w14:paraId="5DDCEBC2">
            <w:pPr>
              <w:widowControl/>
              <w:adjustRightInd w:val="0"/>
              <w:snapToGrid w:val="0"/>
              <w:jc w:val="center"/>
              <w:textAlignment w:val="center"/>
              <w:rPr>
                <w:color w:val="auto"/>
                <w:sz w:val="18"/>
                <w:szCs w:val="18"/>
              </w:rPr>
            </w:pPr>
            <w:r>
              <w:rPr>
                <w:color w:val="auto"/>
                <w:kern w:val="0"/>
                <w:sz w:val="18"/>
                <w:szCs w:val="18"/>
                <w:lang w:bidi="ar"/>
              </w:rPr>
              <w:t>8.79</w:t>
            </w:r>
          </w:p>
        </w:tc>
        <w:tc>
          <w:tcPr>
            <w:tcW w:w="855" w:type="dxa"/>
            <w:shd w:val="clear" w:color="auto" w:fill="FFFFFF"/>
            <w:noWrap/>
            <w:vAlign w:val="center"/>
          </w:tcPr>
          <w:p w14:paraId="7F4D53A1">
            <w:pPr>
              <w:widowControl/>
              <w:adjustRightInd w:val="0"/>
              <w:snapToGrid w:val="0"/>
              <w:jc w:val="center"/>
              <w:textAlignment w:val="center"/>
              <w:rPr>
                <w:color w:val="auto"/>
                <w:sz w:val="18"/>
                <w:szCs w:val="18"/>
              </w:rPr>
            </w:pPr>
            <w:r>
              <w:rPr>
                <w:color w:val="auto"/>
                <w:kern w:val="0"/>
                <w:sz w:val="18"/>
                <w:szCs w:val="18"/>
                <w:lang w:bidi="ar"/>
              </w:rPr>
              <w:t>66.47</w:t>
            </w:r>
          </w:p>
        </w:tc>
        <w:tc>
          <w:tcPr>
            <w:tcW w:w="1116" w:type="dxa"/>
            <w:shd w:val="clear" w:color="auto" w:fill="FFFFFF"/>
            <w:noWrap/>
            <w:vAlign w:val="center"/>
          </w:tcPr>
          <w:p w14:paraId="548E45BE">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1166668">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363A290">
            <w:pPr>
              <w:widowControl/>
              <w:adjustRightInd w:val="0"/>
              <w:snapToGrid w:val="0"/>
              <w:jc w:val="center"/>
              <w:textAlignment w:val="center"/>
              <w:rPr>
                <w:color w:val="auto"/>
                <w:sz w:val="18"/>
                <w:szCs w:val="18"/>
              </w:rPr>
            </w:pPr>
            <w:r>
              <w:rPr>
                <w:color w:val="auto"/>
                <w:kern w:val="0"/>
                <w:sz w:val="18"/>
                <w:szCs w:val="18"/>
                <w:lang w:bidi="ar"/>
              </w:rPr>
              <w:t>40.47</w:t>
            </w:r>
          </w:p>
        </w:tc>
        <w:tc>
          <w:tcPr>
            <w:tcW w:w="1011" w:type="dxa"/>
            <w:shd w:val="clear" w:color="auto" w:fill="FFFFFF"/>
            <w:noWrap/>
            <w:vAlign w:val="center"/>
          </w:tcPr>
          <w:p w14:paraId="20602EAE">
            <w:pPr>
              <w:widowControl/>
              <w:adjustRightInd w:val="0"/>
              <w:snapToGrid w:val="0"/>
              <w:jc w:val="center"/>
              <w:textAlignment w:val="center"/>
              <w:rPr>
                <w:color w:val="auto"/>
                <w:sz w:val="18"/>
                <w:szCs w:val="18"/>
              </w:rPr>
            </w:pPr>
            <w:r>
              <w:rPr>
                <w:color w:val="auto"/>
                <w:kern w:val="0"/>
                <w:sz w:val="18"/>
                <w:szCs w:val="18"/>
                <w:lang w:bidi="ar"/>
              </w:rPr>
              <w:t>1</w:t>
            </w:r>
          </w:p>
        </w:tc>
      </w:tr>
      <w:tr w14:paraId="6C9F5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79465BAB">
            <w:pPr>
              <w:widowControl/>
              <w:adjustRightInd w:val="0"/>
              <w:snapToGrid w:val="0"/>
              <w:jc w:val="center"/>
              <w:textAlignment w:val="center"/>
              <w:rPr>
                <w:color w:val="auto"/>
                <w:sz w:val="18"/>
                <w:szCs w:val="18"/>
              </w:rPr>
            </w:pPr>
            <w:r>
              <w:rPr>
                <w:color w:val="auto"/>
                <w:kern w:val="0"/>
                <w:sz w:val="18"/>
                <w:szCs w:val="18"/>
                <w:lang w:bidi="ar"/>
              </w:rPr>
              <w:t>餐具包装机1</w:t>
            </w:r>
          </w:p>
        </w:tc>
        <w:tc>
          <w:tcPr>
            <w:tcW w:w="539" w:type="dxa"/>
            <w:vMerge w:val="continue"/>
            <w:shd w:val="clear" w:color="auto" w:fill="FFFFFF"/>
            <w:noWrap/>
            <w:vAlign w:val="center"/>
          </w:tcPr>
          <w:p w14:paraId="1B37976D">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3EB8DE14">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continue"/>
            <w:shd w:val="clear" w:color="auto" w:fill="FFFFFF"/>
            <w:noWrap/>
            <w:vAlign w:val="center"/>
          </w:tcPr>
          <w:p w14:paraId="552C88EB">
            <w:pPr>
              <w:adjustRightInd w:val="0"/>
              <w:snapToGrid w:val="0"/>
              <w:jc w:val="center"/>
              <w:rPr>
                <w:color w:val="auto"/>
                <w:sz w:val="18"/>
                <w:szCs w:val="18"/>
              </w:rPr>
            </w:pPr>
          </w:p>
        </w:tc>
        <w:tc>
          <w:tcPr>
            <w:tcW w:w="875" w:type="dxa"/>
            <w:shd w:val="clear" w:color="auto" w:fill="FFFFFF"/>
            <w:noWrap/>
            <w:vAlign w:val="center"/>
          </w:tcPr>
          <w:p w14:paraId="288D8F8A">
            <w:pPr>
              <w:widowControl/>
              <w:adjustRightInd w:val="0"/>
              <w:snapToGrid w:val="0"/>
              <w:jc w:val="center"/>
              <w:textAlignment w:val="center"/>
              <w:rPr>
                <w:color w:val="auto"/>
                <w:sz w:val="18"/>
                <w:szCs w:val="18"/>
              </w:rPr>
            </w:pPr>
            <w:r>
              <w:rPr>
                <w:color w:val="auto"/>
                <w:kern w:val="0"/>
                <w:sz w:val="18"/>
                <w:szCs w:val="18"/>
                <w:lang w:bidi="ar"/>
              </w:rPr>
              <w:t>134.56</w:t>
            </w:r>
          </w:p>
        </w:tc>
        <w:tc>
          <w:tcPr>
            <w:tcW w:w="802" w:type="dxa"/>
            <w:shd w:val="clear" w:color="auto" w:fill="FFFFFF"/>
            <w:noWrap/>
            <w:vAlign w:val="center"/>
          </w:tcPr>
          <w:p w14:paraId="59C877C0">
            <w:pPr>
              <w:widowControl/>
              <w:adjustRightInd w:val="0"/>
              <w:snapToGrid w:val="0"/>
              <w:jc w:val="center"/>
              <w:textAlignment w:val="center"/>
              <w:rPr>
                <w:color w:val="auto"/>
                <w:sz w:val="18"/>
                <w:szCs w:val="18"/>
              </w:rPr>
            </w:pPr>
            <w:r>
              <w:rPr>
                <w:color w:val="auto"/>
                <w:kern w:val="0"/>
                <w:sz w:val="18"/>
                <w:szCs w:val="18"/>
                <w:lang w:bidi="ar"/>
              </w:rPr>
              <w:t>144.26</w:t>
            </w:r>
          </w:p>
        </w:tc>
        <w:tc>
          <w:tcPr>
            <w:tcW w:w="507" w:type="dxa"/>
            <w:shd w:val="clear" w:color="auto" w:fill="FFFFFF"/>
            <w:noWrap/>
            <w:vAlign w:val="center"/>
          </w:tcPr>
          <w:p w14:paraId="7AA6D9B0">
            <w:pPr>
              <w:widowControl/>
              <w:adjustRightInd w:val="0"/>
              <w:snapToGrid w:val="0"/>
              <w:jc w:val="center"/>
              <w:textAlignment w:val="center"/>
              <w:rPr>
                <w:color w:val="auto"/>
                <w:sz w:val="18"/>
                <w:szCs w:val="18"/>
              </w:rPr>
            </w:pPr>
            <w:r>
              <w:rPr>
                <w:color w:val="auto"/>
                <w:kern w:val="0"/>
                <w:sz w:val="18"/>
                <w:szCs w:val="18"/>
                <w:lang w:bidi="ar"/>
              </w:rPr>
              <w:t>1</w:t>
            </w:r>
          </w:p>
        </w:tc>
        <w:tc>
          <w:tcPr>
            <w:tcW w:w="728" w:type="dxa"/>
            <w:shd w:val="clear" w:color="auto" w:fill="FFFFFF"/>
            <w:noWrap/>
            <w:vAlign w:val="center"/>
          </w:tcPr>
          <w:p w14:paraId="6DFA2614">
            <w:pPr>
              <w:widowControl/>
              <w:adjustRightInd w:val="0"/>
              <w:snapToGrid w:val="0"/>
              <w:jc w:val="center"/>
              <w:textAlignment w:val="center"/>
              <w:rPr>
                <w:color w:val="auto"/>
                <w:sz w:val="18"/>
                <w:szCs w:val="18"/>
              </w:rPr>
            </w:pPr>
            <w:r>
              <w:rPr>
                <w:color w:val="auto"/>
                <w:kern w:val="0"/>
                <w:sz w:val="18"/>
                <w:szCs w:val="18"/>
                <w:lang w:bidi="ar"/>
              </w:rPr>
              <w:t>10.44</w:t>
            </w:r>
          </w:p>
        </w:tc>
        <w:tc>
          <w:tcPr>
            <w:tcW w:w="728" w:type="dxa"/>
            <w:shd w:val="clear" w:color="auto" w:fill="auto"/>
            <w:noWrap/>
            <w:vAlign w:val="center"/>
          </w:tcPr>
          <w:p w14:paraId="3093B1E5">
            <w:pPr>
              <w:widowControl/>
              <w:adjustRightInd w:val="0"/>
              <w:snapToGrid w:val="0"/>
              <w:jc w:val="center"/>
              <w:textAlignment w:val="center"/>
              <w:rPr>
                <w:color w:val="auto"/>
                <w:sz w:val="18"/>
                <w:szCs w:val="18"/>
              </w:rPr>
            </w:pPr>
            <w:r>
              <w:rPr>
                <w:color w:val="auto"/>
                <w:kern w:val="0"/>
                <w:sz w:val="18"/>
                <w:szCs w:val="18"/>
                <w:lang w:bidi="ar"/>
              </w:rPr>
              <w:t>40.13</w:t>
            </w:r>
          </w:p>
        </w:tc>
        <w:tc>
          <w:tcPr>
            <w:tcW w:w="728" w:type="dxa"/>
            <w:shd w:val="clear" w:color="auto" w:fill="FFFFFF"/>
            <w:noWrap/>
            <w:vAlign w:val="center"/>
          </w:tcPr>
          <w:p w14:paraId="2D1C75EF">
            <w:pPr>
              <w:widowControl/>
              <w:adjustRightInd w:val="0"/>
              <w:snapToGrid w:val="0"/>
              <w:jc w:val="center"/>
              <w:textAlignment w:val="center"/>
              <w:rPr>
                <w:color w:val="auto"/>
                <w:sz w:val="18"/>
                <w:szCs w:val="18"/>
              </w:rPr>
            </w:pPr>
            <w:r>
              <w:rPr>
                <w:color w:val="auto"/>
                <w:kern w:val="0"/>
                <w:sz w:val="18"/>
                <w:szCs w:val="18"/>
                <w:lang w:bidi="ar"/>
              </w:rPr>
              <w:t>9.93</w:t>
            </w:r>
          </w:p>
        </w:tc>
        <w:tc>
          <w:tcPr>
            <w:tcW w:w="728" w:type="dxa"/>
            <w:shd w:val="clear" w:color="auto" w:fill="auto"/>
            <w:noWrap/>
            <w:vAlign w:val="center"/>
          </w:tcPr>
          <w:p w14:paraId="37E52033">
            <w:pPr>
              <w:widowControl/>
              <w:adjustRightInd w:val="0"/>
              <w:snapToGrid w:val="0"/>
              <w:jc w:val="center"/>
              <w:textAlignment w:val="center"/>
              <w:rPr>
                <w:color w:val="auto"/>
                <w:sz w:val="18"/>
                <w:szCs w:val="18"/>
              </w:rPr>
            </w:pPr>
            <w:r>
              <w:rPr>
                <w:color w:val="auto"/>
                <w:kern w:val="0"/>
                <w:sz w:val="18"/>
                <w:szCs w:val="18"/>
                <w:lang w:bidi="ar"/>
              </w:rPr>
              <w:t>4.68</w:t>
            </w:r>
          </w:p>
        </w:tc>
        <w:tc>
          <w:tcPr>
            <w:tcW w:w="855" w:type="dxa"/>
            <w:shd w:val="clear" w:color="auto" w:fill="FFFFFF"/>
            <w:noWrap/>
            <w:vAlign w:val="center"/>
          </w:tcPr>
          <w:p w14:paraId="6C111E37">
            <w:pPr>
              <w:widowControl/>
              <w:adjustRightInd w:val="0"/>
              <w:snapToGrid w:val="0"/>
              <w:jc w:val="center"/>
              <w:textAlignment w:val="center"/>
              <w:rPr>
                <w:color w:val="auto"/>
                <w:sz w:val="18"/>
                <w:szCs w:val="18"/>
              </w:rPr>
            </w:pPr>
            <w:r>
              <w:rPr>
                <w:color w:val="auto"/>
                <w:kern w:val="0"/>
                <w:sz w:val="18"/>
                <w:szCs w:val="18"/>
                <w:lang w:bidi="ar"/>
              </w:rPr>
              <w:t>66.48</w:t>
            </w:r>
          </w:p>
        </w:tc>
        <w:tc>
          <w:tcPr>
            <w:tcW w:w="1116" w:type="dxa"/>
            <w:shd w:val="clear" w:color="auto" w:fill="FFFFFF"/>
            <w:noWrap/>
            <w:vAlign w:val="center"/>
          </w:tcPr>
          <w:p w14:paraId="67C10E14">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445F6E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3B1DA308">
            <w:pPr>
              <w:widowControl/>
              <w:adjustRightInd w:val="0"/>
              <w:snapToGrid w:val="0"/>
              <w:jc w:val="center"/>
              <w:textAlignment w:val="center"/>
              <w:rPr>
                <w:color w:val="auto"/>
                <w:sz w:val="18"/>
                <w:szCs w:val="18"/>
              </w:rPr>
            </w:pPr>
            <w:r>
              <w:rPr>
                <w:color w:val="auto"/>
                <w:kern w:val="0"/>
                <w:sz w:val="18"/>
                <w:szCs w:val="18"/>
                <w:lang w:bidi="ar"/>
              </w:rPr>
              <w:t>40.48</w:t>
            </w:r>
          </w:p>
        </w:tc>
        <w:tc>
          <w:tcPr>
            <w:tcW w:w="1011" w:type="dxa"/>
            <w:shd w:val="clear" w:color="auto" w:fill="FFFFFF"/>
            <w:noWrap/>
            <w:vAlign w:val="center"/>
          </w:tcPr>
          <w:p w14:paraId="7B043CD9">
            <w:pPr>
              <w:widowControl/>
              <w:adjustRightInd w:val="0"/>
              <w:snapToGrid w:val="0"/>
              <w:jc w:val="center"/>
              <w:textAlignment w:val="center"/>
              <w:rPr>
                <w:color w:val="auto"/>
                <w:sz w:val="18"/>
                <w:szCs w:val="18"/>
              </w:rPr>
            </w:pPr>
            <w:r>
              <w:rPr>
                <w:color w:val="auto"/>
                <w:kern w:val="0"/>
                <w:sz w:val="18"/>
                <w:szCs w:val="18"/>
                <w:lang w:bidi="ar"/>
              </w:rPr>
              <w:t>1</w:t>
            </w:r>
          </w:p>
        </w:tc>
      </w:tr>
      <w:tr w14:paraId="0A2EB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3764B30C">
            <w:pPr>
              <w:widowControl/>
              <w:adjustRightInd w:val="0"/>
              <w:snapToGrid w:val="0"/>
              <w:jc w:val="center"/>
              <w:textAlignment w:val="center"/>
              <w:rPr>
                <w:color w:val="auto"/>
                <w:sz w:val="18"/>
                <w:szCs w:val="18"/>
              </w:rPr>
            </w:pPr>
            <w:r>
              <w:rPr>
                <w:color w:val="auto"/>
                <w:kern w:val="0"/>
                <w:sz w:val="18"/>
                <w:szCs w:val="18"/>
                <w:lang w:bidi="ar"/>
              </w:rPr>
              <w:t>餐具包装机2</w:t>
            </w:r>
          </w:p>
        </w:tc>
        <w:tc>
          <w:tcPr>
            <w:tcW w:w="539" w:type="dxa"/>
            <w:vMerge w:val="continue"/>
            <w:shd w:val="clear" w:color="auto" w:fill="FFFFFF"/>
            <w:noWrap/>
            <w:vAlign w:val="center"/>
          </w:tcPr>
          <w:p w14:paraId="2D35B37E">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0033C457">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continue"/>
            <w:shd w:val="clear" w:color="auto" w:fill="FFFFFF"/>
            <w:noWrap/>
            <w:vAlign w:val="center"/>
          </w:tcPr>
          <w:p w14:paraId="5CFFEFBB">
            <w:pPr>
              <w:adjustRightInd w:val="0"/>
              <w:snapToGrid w:val="0"/>
              <w:jc w:val="center"/>
              <w:rPr>
                <w:color w:val="auto"/>
                <w:sz w:val="18"/>
                <w:szCs w:val="18"/>
              </w:rPr>
            </w:pPr>
          </w:p>
        </w:tc>
        <w:tc>
          <w:tcPr>
            <w:tcW w:w="875" w:type="dxa"/>
            <w:shd w:val="clear" w:color="auto" w:fill="FFFFFF"/>
            <w:noWrap/>
            <w:vAlign w:val="center"/>
          </w:tcPr>
          <w:p w14:paraId="619CC6A1">
            <w:pPr>
              <w:widowControl/>
              <w:adjustRightInd w:val="0"/>
              <w:snapToGrid w:val="0"/>
              <w:jc w:val="center"/>
              <w:textAlignment w:val="center"/>
              <w:rPr>
                <w:color w:val="auto"/>
                <w:sz w:val="18"/>
                <w:szCs w:val="18"/>
              </w:rPr>
            </w:pPr>
            <w:r>
              <w:rPr>
                <w:color w:val="auto"/>
                <w:kern w:val="0"/>
                <w:sz w:val="18"/>
                <w:szCs w:val="18"/>
                <w:lang w:bidi="ar"/>
              </w:rPr>
              <w:t>132.26</w:t>
            </w:r>
          </w:p>
        </w:tc>
        <w:tc>
          <w:tcPr>
            <w:tcW w:w="802" w:type="dxa"/>
            <w:shd w:val="clear" w:color="auto" w:fill="FFFFFF"/>
            <w:noWrap/>
            <w:vAlign w:val="center"/>
          </w:tcPr>
          <w:p w14:paraId="567CF3B7">
            <w:pPr>
              <w:widowControl/>
              <w:adjustRightInd w:val="0"/>
              <w:snapToGrid w:val="0"/>
              <w:jc w:val="center"/>
              <w:textAlignment w:val="center"/>
              <w:rPr>
                <w:color w:val="auto"/>
                <w:sz w:val="18"/>
                <w:szCs w:val="18"/>
              </w:rPr>
            </w:pPr>
            <w:r>
              <w:rPr>
                <w:color w:val="auto"/>
                <w:kern w:val="0"/>
                <w:sz w:val="18"/>
                <w:szCs w:val="18"/>
                <w:lang w:bidi="ar"/>
              </w:rPr>
              <w:t>143.25</w:t>
            </w:r>
          </w:p>
        </w:tc>
        <w:tc>
          <w:tcPr>
            <w:tcW w:w="507" w:type="dxa"/>
            <w:shd w:val="clear" w:color="auto" w:fill="FFFFFF"/>
            <w:noWrap/>
            <w:vAlign w:val="center"/>
          </w:tcPr>
          <w:p w14:paraId="129E9C88">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69E7DA35">
            <w:pPr>
              <w:widowControl/>
              <w:adjustRightInd w:val="0"/>
              <w:snapToGrid w:val="0"/>
              <w:jc w:val="center"/>
              <w:textAlignment w:val="center"/>
              <w:rPr>
                <w:color w:val="auto"/>
                <w:sz w:val="18"/>
                <w:szCs w:val="18"/>
              </w:rPr>
            </w:pPr>
            <w:r>
              <w:rPr>
                <w:color w:val="auto"/>
                <w:kern w:val="0"/>
                <w:sz w:val="18"/>
                <w:szCs w:val="18"/>
                <w:lang w:bidi="ar"/>
              </w:rPr>
              <w:t>7.94</w:t>
            </w:r>
          </w:p>
        </w:tc>
        <w:tc>
          <w:tcPr>
            <w:tcW w:w="728" w:type="dxa"/>
            <w:shd w:val="clear" w:color="auto" w:fill="auto"/>
            <w:noWrap/>
            <w:vAlign w:val="center"/>
          </w:tcPr>
          <w:p w14:paraId="7EAB040F">
            <w:pPr>
              <w:widowControl/>
              <w:adjustRightInd w:val="0"/>
              <w:snapToGrid w:val="0"/>
              <w:jc w:val="center"/>
              <w:textAlignment w:val="center"/>
              <w:rPr>
                <w:color w:val="auto"/>
                <w:sz w:val="18"/>
                <w:szCs w:val="18"/>
              </w:rPr>
            </w:pPr>
            <w:r>
              <w:rPr>
                <w:color w:val="auto"/>
                <w:kern w:val="0"/>
                <w:sz w:val="18"/>
                <w:szCs w:val="18"/>
                <w:lang w:bidi="ar"/>
              </w:rPr>
              <w:t>40.23</w:t>
            </w:r>
          </w:p>
        </w:tc>
        <w:tc>
          <w:tcPr>
            <w:tcW w:w="728" w:type="dxa"/>
            <w:shd w:val="clear" w:color="auto" w:fill="FFFFFF"/>
            <w:noWrap/>
            <w:vAlign w:val="center"/>
          </w:tcPr>
          <w:p w14:paraId="01C7A75E">
            <w:pPr>
              <w:widowControl/>
              <w:adjustRightInd w:val="0"/>
              <w:snapToGrid w:val="0"/>
              <w:jc w:val="center"/>
              <w:textAlignment w:val="center"/>
              <w:rPr>
                <w:color w:val="auto"/>
                <w:sz w:val="18"/>
                <w:szCs w:val="18"/>
              </w:rPr>
            </w:pPr>
            <w:r>
              <w:rPr>
                <w:color w:val="auto"/>
                <w:kern w:val="0"/>
                <w:sz w:val="18"/>
                <w:szCs w:val="18"/>
                <w:lang w:bidi="ar"/>
              </w:rPr>
              <w:t>12.44</w:t>
            </w:r>
          </w:p>
        </w:tc>
        <w:tc>
          <w:tcPr>
            <w:tcW w:w="728" w:type="dxa"/>
            <w:shd w:val="clear" w:color="auto" w:fill="auto"/>
            <w:noWrap/>
            <w:vAlign w:val="center"/>
          </w:tcPr>
          <w:p w14:paraId="636C749F">
            <w:pPr>
              <w:widowControl/>
              <w:adjustRightInd w:val="0"/>
              <w:snapToGrid w:val="0"/>
              <w:jc w:val="center"/>
              <w:textAlignment w:val="center"/>
              <w:rPr>
                <w:color w:val="auto"/>
                <w:sz w:val="18"/>
                <w:szCs w:val="18"/>
              </w:rPr>
            </w:pPr>
            <w:r>
              <w:rPr>
                <w:color w:val="auto"/>
                <w:kern w:val="0"/>
                <w:sz w:val="18"/>
                <w:szCs w:val="18"/>
                <w:lang w:bidi="ar"/>
              </w:rPr>
              <w:t>4.52</w:t>
            </w:r>
          </w:p>
        </w:tc>
        <w:tc>
          <w:tcPr>
            <w:tcW w:w="855" w:type="dxa"/>
            <w:shd w:val="clear" w:color="auto" w:fill="FFFFFF"/>
            <w:noWrap/>
            <w:vAlign w:val="center"/>
          </w:tcPr>
          <w:p w14:paraId="52C2EFCC">
            <w:pPr>
              <w:widowControl/>
              <w:adjustRightInd w:val="0"/>
              <w:snapToGrid w:val="0"/>
              <w:jc w:val="center"/>
              <w:textAlignment w:val="center"/>
              <w:rPr>
                <w:color w:val="auto"/>
                <w:sz w:val="18"/>
                <w:szCs w:val="18"/>
              </w:rPr>
            </w:pPr>
            <w:r>
              <w:rPr>
                <w:color w:val="auto"/>
                <w:kern w:val="0"/>
                <w:sz w:val="18"/>
                <w:szCs w:val="18"/>
                <w:lang w:bidi="ar"/>
              </w:rPr>
              <w:t>66.50</w:t>
            </w:r>
          </w:p>
        </w:tc>
        <w:tc>
          <w:tcPr>
            <w:tcW w:w="1116" w:type="dxa"/>
            <w:shd w:val="clear" w:color="auto" w:fill="FFFFFF"/>
            <w:noWrap/>
            <w:vAlign w:val="center"/>
          </w:tcPr>
          <w:p w14:paraId="1B765581">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25BAFB06">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13CE1C2">
            <w:pPr>
              <w:widowControl/>
              <w:adjustRightInd w:val="0"/>
              <w:snapToGrid w:val="0"/>
              <w:jc w:val="center"/>
              <w:textAlignment w:val="center"/>
              <w:rPr>
                <w:color w:val="auto"/>
                <w:sz w:val="18"/>
                <w:szCs w:val="18"/>
              </w:rPr>
            </w:pPr>
            <w:r>
              <w:rPr>
                <w:color w:val="auto"/>
                <w:kern w:val="0"/>
                <w:sz w:val="18"/>
                <w:szCs w:val="18"/>
                <w:lang w:bidi="ar"/>
              </w:rPr>
              <w:t>40.50</w:t>
            </w:r>
          </w:p>
        </w:tc>
        <w:tc>
          <w:tcPr>
            <w:tcW w:w="1011" w:type="dxa"/>
            <w:shd w:val="clear" w:color="auto" w:fill="FFFFFF"/>
            <w:noWrap/>
            <w:vAlign w:val="center"/>
          </w:tcPr>
          <w:p w14:paraId="67AD9B60">
            <w:pPr>
              <w:widowControl/>
              <w:adjustRightInd w:val="0"/>
              <w:snapToGrid w:val="0"/>
              <w:jc w:val="center"/>
              <w:textAlignment w:val="center"/>
              <w:rPr>
                <w:color w:val="auto"/>
                <w:sz w:val="18"/>
                <w:szCs w:val="18"/>
              </w:rPr>
            </w:pPr>
            <w:r>
              <w:rPr>
                <w:color w:val="auto"/>
                <w:kern w:val="0"/>
                <w:sz w:val="18"/>
                <w:szCs w:val="18"/>
                <w:lang w:bidi="ar"/>
              </w:rPr>
              <w:t>1</w:t>
            </w:r>
          </w:p>
        </w:tc>
      </w:tr>
      <w:tr w14:paraId="40859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3C755ACF">
            <w:pPr>
              <w:widowControl/>
              <w:adjustRightInd w:val="0"/>
              <w:snapToGrid w:val="0"/>
              <w:jc w:val="center"/>
              <w:textAlignment w:val="center"/>
              <w:rPr>
                <w:color w:val="auto"/>
                <w:sz w:val="18"/>
                <w:szCs w:val="18"/>
              </w:rPr>
            </w:pPr>
            <w:r>
              <w:rPr>
                <w:color w:val="auto"/>
                <w:kern w:val="0"/>
                <w:sz w:val="18"/>
                <w:szCs w:val="18"/>
                <w:lang w:bidi="ar"/>
              </w:rPr>
              <w:t>双扉隔离式洗脱机</w:t>
            </w:r>
          </w:p>
        </w:tc>
        <w:tc>
          <w:tcPr>
            <w:tcW w:w="539" w:type="dxa"/>
            <w:vMerge w:val="continue"/>
            <w:shd w:val="clear" w:color="auto" w:fill="FFFFFF"/>
            <w:noWrap/>
            <w:vAlign w:val="center"/>
          </w:tcPr>
          <w:p w14:paraId="7D298C77">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3DFEA632">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D3A9478">
            <w:pPr>
              <w:adjustRightInd w:val="0"/>
              <w:snapToGrid w:val="0"/>
              <w:jc w:val="center"/>
              <w:rPr>
                <w:color w:val="auto"/>
                <w:sz w:val="18"/>
                <w:szCs w:val="18"/>
              </w:rPr>
            </w:pPr>
          </w:p>
        </w:tc>
        <w:tc>
          <w:tcPr>
            <w:tcW w:w="875" w:type="dxa"/>
            <w:shd w:val="clear" w:color="auto" w:fill="FFFFFF"/>
            <w:noWrap/>
            <w:vAlign w:val="center"/>
          </w:tcPr>
          <w:p w14:paraId="7B5EA44B">
            <w:pPr>
              <w:widowControl/>
              <w:adjustRightInd w:val="0"/>
              <w:snapToGrid w:val="0"/>
              <w:jc w:val="center"/>
              <w:textAlignment w:val="center"/>
              <w:rPr>
                <w:color w:val="auto"/>
                <w:sz w:val="18"/>
                <w:szCs w:val="18"/>
              </w:rPr>
            </w:pPr>
            <w:r>
              <w:rPr>
                <w:color w:val="auto"/>
                <w:kern w:val="0"/>
                <w:sz w:val="18"/>
                <w:szCs w:val="18"/>
                <w:lang w:bidi="ar"/>
              </w:rPr>
              <w:t>152.54</w:t>
            </w:r>
          </w:p>
        </w:tc>
        <w:tc>
          <w:tcPr>
            <w:tcW w:w="802" w:type="dxa"/>
            <w:shd w:val="clear" w:color="auto" w:fill="FFFFFF"/>
            <w:noWrap/>
            <w:vAlign w:val="center"/>
          </w:tcPr>
          <w:p w14:paraId="78D1D63E">
            <w:pPr>
              <w:widowControl/>
              <w:adjustRightInd w:val="0"/>
              <w:snapToGrid w:val="0"/>
              <w:jc w:val="center"/>
              <w:textAlignment w:val="center"/>
              <w:rPr>
                <w:color w:val="auto"/>
                <w:sz w:val="18"/>
                <w:szCs w:val="18"/>
              </w:rPr>
            </w:pPr>
            <w:r>
              <w:rPr>
                <w:color w:val="auto"/>
                <w:kern w:val="0"/>
                <w:sz w:val="18"/>
                <w:szCs w:val="18"/>
                <w:lang w:bidi="ar"/>
              </w:rPr>
              <w:t>96.58</w:t>
            </w:r>
          </w:p>
        </w:tc>
        <w:tc>
          <w:tcPr>
            <w:tcW w:w="507" w:type="dxa"/>
            <w:shd w:val="clear" w:color="auto" w:fill="FFFFFF"/>
            <w:noWrap/>
            <w:vAlign w:val="center"/>
          </w:tcPr>
          <w:p w14:paraId="2514F240">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2F9E401E">
            <w:pPr>
              <w:widowControl/>
              <w:adjustRightInd w:val="0"/>
              <w:snapToGrid w:val="0"/>
              <w:jc w:val="center"/>
              <w:textAlignment w:val="center"/>
              <w:rPr>
                <w:color w:val="auto"/>
                <w:sz w:val="18"/>
                <w:szCs w:val="18"/>
              </w:rPr>
            </w:pPr>
            <w:r>
              <w:rPr>
                <w:color w:val="auto"/>
                <w:kern w:val="0"/>
                <w:sz w:val="18"/>
                <w:szCs w:val="18"/>
                <w:lang w:bidi="ar"/>
              </w:rPr>
              <w:t>3.02</w:t>
            </w:r>
          </w:p>
        </w:tc>
        <w:tc>
          <w:tcPr>
            <w:tcW w:w="728" w:type="dxa"/>
            <w:shd w:val="clear" w:color="auto" w:fill="auto"/>
            <w:noWrap/>
            <w:vAlign w:val="center"/>
          </w:tcPr>
          <w:p w14:paraId="650E8195">
            <w:pPr>
              <w:widowControl/>
              <w:adjustRightInd w:val="0"/>
              <w:snapToGrid w:val="0"/>
              <w:jc w:val="center"/>
              <w:textAlignment w:val="center"/>
              <w:rPr>
                <w:color w:val="auto"/>
                <w:sz w:val="18"/>
                <w:szCs w:val="18"/>
              </w:rPr>
            </w:pPr>
            <w:r>
              <w:rPr>
                <w:color w:val="auto"/>
                <w:kern w:val="0"/>
                <w:sz w:val="18"/>
                <w:szCs w:val="18"/>
                <w:lang w:bidi="ar"/>
              </w:rPr>
              <w:t>22.28</w:t>
            </w:r>
          </w:p>
        </w:tc>
        <w:tc>
          <w:tcPr>
            <w:tcW w:w="728" w:type="dxa"/>
            <w:shd w:val="clear" w:color="auto" w:fill="FFFFFF"/>
            <w:noWrap/>
            <w:vAlign w:val="center"/>
          </w:tcPr>
          <w:p w14:paraId="788E244A">
            <w:pPr>
              <w:widowControl/>
              <w:adjustRightInd w:val="0"/>
              <w:snapToGrid w:val="0"/>
              <w:jc w:val="center"/>
              <w:textAlignment w:val="center"/>
              <w:rPr>
                <w:color w:val="auto"/>
                <w:sz w:val="18"/>
                <w:szCs w:val="18"/>
              </w:rPr>
            </w:pPr>
            <w:r>
              <w:rPr>
                <w:color w:val="auto"/>
                <w:kern w:val="0"/>
                <w:sz w:val="18"/>
                <w:szCs w:val="18"/>
                <w:lang w:bidi="ar"/>
              </w:rPr>
              <w:t>15.99</w:t>
            </w:r>
          </w:p>
        </w:tc>
        <w:tc>
          <w:tcPr>
            <w:tcW w:w="728" w:type="dxa"/>
            <w:shd w:val="clear" w:color="auto" w:fill="auto"/>
            <w:noWrap/>
            <w:vAlign w:val="center"/>
          </w:tcPr>
          <w:p w14:paraId="0013320F">
            <w:pPr>
              <w:widowControl/>
              <w:adjustRightInd w:val="0"/>
              <w:snapToGrid w:val="0"/>
              <w:jc w:val="center"/>
              <w:textAlignment w:val="center"/>
              <w:rPr>
                <w:color w:val="auto"/>
                <w:sz w:val="18"/>
                <w:szCs w:val="18"/>
              </w:rPr>
            </w:pPr>
            <w:r>
              <w:rPr>
                <w:color w:val="auto"/>
                <w:kern w:val="0"/>
                <w:sz w:val="18"/>
                <w:szCs w:val="18"/>
                <w:lang w:bidi="ar"/>
              </w:rPr>
              <w:t>10.14</w:t>
            </w:r>
          </w:p>
        </w:tc>
        <w:tc>
          <w:tcPr>
            <w:tcW w:w="855" w:type="dxa"/>
            <w:shd w:val="clear" w:color="auto" w:fill="FFFFFF"/>
            <w:noWrap/>
            <w:vAlign w:val="center"/>
          </w:tcPr>
          <w:p w14:paraId="7B7410A2">
            <w:pPr>
              <w:widowControl/>
              <w:adjustRightInd w:val="0"/>
              <w:snapToGrid w:val="0"/>
              <w:jc w:val="center"/>
              <w:textAlignment w:val="center"/>
              <w:rPr>
                <w:color w:val="auto"/>
                <w:sz w:val="18"/>
                <w:szCs w:val="18"/>
              </w:rPr>
            </w:pPr>
            <w:r>
              <w:rPr>
                <w:color w:val="auto"/>
                <w:kern w:val="0"/>
                <w:sz w:val="18"/>
                <w:szCs w:val="18"/>
                <w:lang w:bidi="ar"/>
              </w:rPr>
              <w:t>63.05</w:t>
            </w:r>
          </w:p>
        </w:tc>
        <w:tc>
          <w:tcPr>
            <w:tcW w:w="1116" w:type="dxa"/>
            <w:shd w:val="clear" w:color="auto" w:fill="FFFFFF"/>
            <w:noWrap/>
            <w:vAlign w:val="center"/>
          </w:tcPr>
          <w:p w14:paraId="2EAF16FB">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0E1173A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E8F7B2E">
            <w:pPr>
              <w:widowControl/>
              <w:adjustRightInd w:val="0"/>
              <w:snapToGrid w:val="0"/>
              <w:jc w:val="center"/>
              <w:textAlignment w:val="center"/>
              <w:rPr>
                <w:color w:val="auto"/>
                <w:sz w:val="18"/>
                <w:szCs w:val="18"/>
              </w:rPr>
            </w:pPr>
            <w:r>
              <w:rPr>
                <w:color w:val="auto"/>
                <w:kern w:val="0"/>
                <w:sz w:val="18"/>
                <w:szCs w:val="18"/>
                <w:lang w:bidi="ar"/>
              </w:rPr>
              <w:t>37.05</w:t>
            </w:r>
          </w:p>
        </w:tc>
        <w:tc>
          <w:tcPr>
            <w:tcW w:w="1011" w:type="dxa"/>
            <w:shd w:val="clear" w:color="auto" w:fill="FFFFFF"/>
            <w:noWrap/>
            <w:vAlign w:val="center"/>
          </w:tcPr>
          <w:p w14:paraId="71756A8D">
            <w:pPr>
              <w:widowControl/>
              <w:adjustRightInd w:val="0"/>
              <w:snapToGrid w:val="0"/>
              <w:jc w:val="center"/>
              <w:textAlignment w:val="center"/>
              <w:rPr>
                <w:color w:val="auto"/>
                <w:sz w:val="18"/>
                <w:szCs w:val="18"/>
              </w:rPr>
            </w:pPr>
            <w:r>
              <w:rPr>
                <w:color w:val="auto"/>
                <w:kern w:val="0"/>
                <w:sz w:val="18"/>
                <w:szCs w:val="18"/>
                <w:lang w:bidi="ar"/>
              </w:rPr>
              <w:t>1</w:t>
            </w:r>
          </w:p>
        </w:tc>
      </w:tr>
      <w:tr w14:paraId="6D60F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5F1B1E1A">
            <w:pPr>
              <w:widowControl/>
              <w:adjustRightInd w:val="0"/>
              <w:snapToGrid w:val="0"/>
              <w:jc w:val="center"/>
              <w:textAlignment w:val="center"/>
              <w:rPr>
                <w:color w:val="auto"/>
                <w:sz w:val="18"/>
                <w:szCs w:val="18"/>
              </w:rPr>
            </w:pPr>
            <w:r>
              <w:rPr>
                <w:color w:val="auto"/>
                <w:kern w:val="0"/>
                <w:sz w:val="18"/>
                <w:szCs w:val="18"/>
                <w:lang w:bidi="ar"/>
              </w:rPr>
              <w:t>自动干衣机1</w:t>
            </w:r>
          </w:p>
        </w:tc>
        <w:tc>
          <w:tcPr>
            <w:tcW w:w="539" w:type="dxa"/>
            <w:vMerge w:val="continue"/>
            <w:shd w:val="clear" w:color="auto" w:fill="FFFFFF"/>
            <w:noWrap/>
            <w:vAlign w:val="center"/>
          </w:tcPr>
          <w:p w14:paraId="2E5EBEFC">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03D1A6D6">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1CFA18B1">
            <w:pPr>
              <w:adjustRightInd w:val="0"/>
              <w:snapToGrid w:val="0"/>
              <w:jc w:val="center"/>
              <w:rPr>
                <w:color w:val="auto"/>
                <w:sz w:val="18"/>
                <w:szCs w:val="18"/>
              </w:rPr>
            </w:pPr>
          </w:p>
        </w:tc>
        <w:tc>
          <w:tcPr>
            <w:tcW w:w="875" w:type="dxa"/>
            <w:shd w:val="clear" w:color="auto" w:fill="FFFFFF"/>
            <w:noWrap/>
            <w:vAlign w:val="center"/>
          </w:tcPr>
          <w:p w14:paraId="4191F393">
            <w:pPr>
              <w:widowControl/>
              <w:adjustRightInd w:val="0"/>
              <w:snapToGrid w:val="0"/>
              <w:jc w:val="center"/>
              <w:textAlignment w:val="center"/>
              <w:rPr>
                <w:color w:val="auto"/>
                <w:sz w:val="18"/>
                <w:szCs w:val="18"/>
              </w:rPr>
            </w:pPr>
            <w:r>
              <w:rPr>
                <w:color w:val="auto"/>
                <w:kern w:val="0"/>
                <w:sz w:val="18"/>
                <w:szCs w:val="18"/>
                <w:lang w:bidi="ar"/>
              </w:rPr>
              <w:t>150.14</w:t>
            </w:r>
          </w:p>
        </w:tc>
        <w:tc>
          <w:tcPr>
            <w:tcW w:w="802" w:type="dxa"/>
            <w:shd w:val="clear" w:color="auto" w:fill="FFFFFF"/>
            <w:noWrap/>
            <w:vAlign w:val="center"/>
          </w:tcPr>
          <w:p w14:paraId="173A2DDD">
            <w:pPr>
              <w:widowControl/>
              <w:adjustRightInd w:val="0"/>
              <w:snapToGrid w:val="0"/>
              <w:jc w:val="center"/>
              <w:textAlignment w:val="center"/>
              <w:rPr>
                <w:color w:val="auto"/>
                <w:sz w:val="18"/>
                <w:szCs w:val="18"/>
              </w:rPr>
            </w:pPr>
            <w:r>
              <w:rPr>
                <w:color w:val="auto"/>
                <w:kern w:val="0"/>
                <w:sz w:val="18"/>
                <w:szCs w:val="18"/>
                <w:lang w:bidi="ar"/>
              </w:rPr>
              <w:t>100.73</w:t>
            </w:r>
          </w:p>
        </w:tc>
        <w:tc>
          <w:tcPr>
            <w:tcW w:w="507" w:type="dxa"/>
            <w:shd w:val="clear" w:color="auto" w:fill="FFFFFF"/>
            <w:noWrap/>
            <w:vAlign w:val="center"/>
          </w:tcPr>
          <w:p w14:paraId="2DFE3A7F">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0D16F15B">
            <w:pPr>
              <w:widowControl/>
              <w:adjustRightInd w:val="0"/>
              <w:snapToGrid w:val="0"/>
              <w:jc w:val="center"/>
              <w:textAlignment w:val="center"/>
              <w:rPr>
                <w:color w:val="auto"/>
                <w:sz w:val="18"/>
                <w:szCs w:val="18"/>
              </w:rPr>
            </w:pPr>
            <w:r>
              <w:rPr>
                <w:color w:val="auto"/>
                <w:kern w:val="0"/>
                <w:sz w:val="18"/>
                <w:szCs w:val="18"/>
                <w:lang w:bidi="ar"/>
              </w:rPr>
              <w:t>3.04</w:t>
            </w:r>
          </w:p>
        </w:tc>
        <w:tc>
          <w:tcPr>
            <w:tcW w:w="728" w:type="dxa"/>
            <w:shd w:val="clear" w:color="auto" w:fill="auto"/>
            <w:noWrap/>
            <w:vAlign w:val="center"/>
          </w:tcPr>
          <w:p w14:paraId="4435F405">
            <w:pPr>
              <w:widowControl/>
              <w:adjustRightInd w:val="0"/>
              <w:snapToGrid w:val="0"/>
              <w:jc w:val="center"/>
              <w:textAlignment w:val="center"/>
              <w:rPr>
                <w:color w:val="auto"/>
                <w:sz w:val="18"/>
                <w:szCs w:val="18"/>
              </w:rPr>
            </w:pPr>
            <w:r>
              <w:rPr>
                <w:color w:val="auto"/>
                <w:kern w:val="0"/>
                <w:sz w:val="18"/>
                <w:szCs w:val="18"/>
                <w:lang w:bidi="ar"/>
              </w:rPr>
              <w:t>27.05</w:t>
            </w:r>
          </w:p>
        </w:tc>
        <w:tc>
          <w:tcPr>
            <w:tcW w:w="728" w:type="dxa"/>
            <w:shd w:val="clear" w:color="auto" w:fill="FFFFFF"/>
            <w:noWrap/>
            <w:vAlign w:val="center"/>
          </w:tcPr>
          <w:p w14:paraId="64DF33FD">
            <w:pPr>
              <w:widowControl/>
              <w:adjustRightInd w:val="0"/>
              <w:snapToGrid w:val="0"/>
              <w:jc w:val="center"/>
              <w:textAlignment w:val="center"/>
              <w:rPr>
                <w:color w:val="auto"/>
                <w:sz w:val="18"/>
                <w:szCs w:val="18"/>
              </w:rPr>
            </w:pPr>
            <w:r>
              <w:rPr>
                <w:color w:val="auto"/>
                <w:kern w:val="0"/>
                <w:sz w:val="18"/>
                <w:szCs w:val="18"/>
                <w:lang w:bidi="ar"/>
              </w:rPr>
              <w:t>16.14</w:t>
            </w:r>
          </w:p>
        </w:tc>
        <w:tc>
          <w:tcPr>
            <w:tcW w:w="728" w:type="dxa"/>
            <w:shd w:val="clear" w:color="auto" w:fill="auto"/>
            <w:noWrap/>
            <w:vAlign w:val="center"/>
          </w:tcPr>
          <w:p w14:paraId="61DA5862">
            <w:pPr>
              <w:widowControl/>
              <w:adjustRightInd w:val="0"/>
              <w:snapToGrid w:val="0"/>
              <w:jc w:val="center"/>
              <w:textAlignment w:val="center"/>
              <w:rPr>
                <w:color w:val="auto"/>
                <w:sz w:val="18"/>
                <w:szCs w:val="18"/>
              </w:rPr>
            </w:pPr>
            <w:r>
              <w:rPr>
                <w:color w:val="auto"/>
                <w:kern w:val="0"/>
                <w:sz w:val="18"/>
                <w:szCs w:val="18"/>
                <w:lang w:bidi="ar"/>
              </w:rPr>
              <w:t>5.36</w:t>
            </w:r>
          </w:p>
        </w:tc>
        <w:tc>
          <w:tcPr>
            <w:tcW w:w="855" w:type="dxa"/>
            <w:shd w:val="clear" w:color="auto" w:fill="FFFFFF"/>
            <w:noWrap/>
            <w:vAlign w:val="center"/>
          </w:tcPr>
          <w:p w14:paraId="107DA1E3">
            <w:pPr>
              <w:widowControl/>
              <w:adjustRightInd w:val="0"/>
              <w:snapToGrid w:val="0"/>
              <w:jc w:val="center"/>
              <w:textAlignment w:val="center"/>
              <w:rPr>
                <w:color w:val="auto"/>
                <w:sz w:val="18"/>
                <w:szCs w:val="18"/>
              </w:rPr>
            </w:pPr>
            <w:r>
              <w:rPr>
                <w:color w:val="auto"/>
                <w:kern w:val="0"/>
                <w:sz w:val="18"/>
                <w:szCs w:val="18"/>
                <w:lang w:bidi="ar"/>
              </w:rPr>
              <w:t>63.04</w:t>
            </w:r>
          </w:p>
        </w:tc>
        <w:tc>
          <w:tcPr>
            <w:tcW w:w="1116" w:type="dxa"/>
            <w:shd w:val="clear" w:color="auto" w:fill="FFFFFF"/>
            <w:noWrap/>
            <w:vAlign w:val="center"/>
          </w:tcPr>
          <w:p w14:paraId="3EB845BA">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3E57B641">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5F7B29B">
            <w:pPr>
              <w:widowControl/>
              <w:adjustRightInd w:val="0"/>
              <w:snapToGrid w:val="0"/>
              <w:jc w:val="center"/>
              <w:textAlignment w:val="center"/>
              <w:rPr>
                <w:color w:val="auto"/>
                <w:sz w:val="18"/>
                <w:szCs w:val="18"/>
              </w:rPr>
            </w:pPr>
            <w:r>
              <w:rPr>
                <w:color w:val="auto"/>
                <w:kern w:val="0"/>
                <w:sz w:val="18"/>
                <w:szCs w:val="18"/>
                <w:lang w:bidi="ar"/>
              </w:rPr>
              <w:t>37.04</w:t>
            </w:r>
          </w:p>
        </w:tc>
        <w:tc>
          <w:tcPr>
            <w:tcW w:w="1011" w:type="dxa"/>
            <w:shd w:val="clear" w:color="auto" w:fill="FFFFFF"/>
            <w:noWrap/>
            <w:vAlign w:val="center"/>
          </w:tcPr>
          <w:p w14:paraId="4A8BB9BA">
            <w:pPr>
              <w:widowControl/>
              <w:adjustRightInd w:val="0"/>
              <w:snapToGrid w:val="0"/>
              <w:jc w:val="center"/>
              <w:textAlignment w:val="center"/>
              <w:rPr>
                <w:color w:val="auto"/>
                <w:sz w:val="18"/>
                <w:szCs w:val="18"/>
              </w:rPr>
            </w:pPr>
            <w:r>
              <w:rPr>
                <w:color w:val="auto"/>
                <w:kern w:val="0"/>
                <w:sz w:val="18"/>
                <w:szCs w:val="18"/>
                <w:lang w:bidi="ar"/>
              </w:rPr>
              <w:t>1</w:t>
            </w:r>
          </w:p>
        </w:tc>
      </w:tr>
      <w:tr w14:paraId="29E6B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3B0E7F29">
            <w:pPr>
              <w:widowControl/>
              <w:adjustRightInd w:val="0"/>
              <w:snapToGrid w:val="0"/>
              <w:jc w:val="center"/>
              <w:textAlignment w:val="center"/>
              <w:rPr>
                <w:color w:val="auto"/>
                <w:sz w:val="18"/>
                <w:szCs w:val="18"/>
              </w:rPr>
            </w:pPr>
            <w:r>
              <w:rPr>
                <w:color w:val="auto"/>
                <w:kern w:val="0"/>
                <w:sz w:val="18"/>
                <w:szCs w:val="18"/>
                <w:lang w:bidi="ar"/>
              </w:rPr>
              <w:t>自动折叠机</w:t>
            </w:r>
          </w:p>
        </w:tc>
        <w:tc>
          <w:tcPr>
            <w:tcW w:w="539" w:type="dxa"/>
            <w:vMerge w:val="continue"/>
            <w:shd w:val="clear" w:color="auto" w:fill="FFFFFF"/>
            <w:noWrap/>
            <w:vAlign w:val="center"/>
          </w:tcPr>
          <w:p w14:paraId="36312688">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69FF2B2">
            <w:pPr>
              <w:widowControl/>
              <w:adjustRightInd w:val="0"/>
              <w:snapToGrid w:val="0"/>
              <w:jc w:val="center"/>
              <w:textAlignment w:val="center"/>
              <w:rPr>
                <w:color w:val="auto"/>
                <w:sz w:val="18"/>
                <w:szCs w:val="18"/>
              </w:rPr>
            </w:pPr>
            <w:r>
              <w:rPr>
                <w:color w:val="auto"/>
                <w:kern w:val="0"/>
                <w:sz w:val="18"/>
                <w:szCs w:val="18"/>
                <w:lang w:bidi="ar"/>
              </w:rPr>
              <w:t>75</w:t>
            </w:r>
          </w:p>
        </w:tc>
        <w:tc>
          <w:tcPr>
            <w:tcW w:w="674" w:type="dxa"/>
            <w:vMerge w:val="continue"/>
            <w:shd w:val="clear" w:color="auto" w:fill="FFFFFF"/>
            <w:noWrap/>
            <w:vAlign w:val="center"/>
          </w:tcPr>
          <w:p w14:paraId="112E4E7D">
            <w:pPr>
              <w:adjustRightInd w:val="0"/>
              <w:snapToGrid w:val="0"/>
              <w:jc w:val="center"/>
              <w:rPr>
                <w:color w:val="auto"/>
                <w:sz w:val="18"/>
                <w:szCs w:val="18"/>
              </w:rPr>
            </w:pPr>
          </w:p>
        </w:tc>
        <w:tc>
          <w:tcPr>
            <w:tcW w:w="875" w:type="dxa"/>
            <w:shd w:val="clear" w:color="auto" w:fill="FFFFFF"/>
            <w:noWrap/>
            <w:vAlign w:val="center"/>
          </w:tcPr>
          <w:p w14:paraId="3885D140">
            <w:pPr>
              <w:widowControl/>
              <w:adjustRightInd w:val="0"/>
              <w:snapToGrid w:val="0"/>
              <w:jc w:val="center"/>
              <w:textAlignment w:val="center"/>
              <w:rPr>
                <w:color w:val="auto"/>
                <w:sz w:val="18"/>
                <w:szCs w:val="18"/>
              </w:rPr>
            </w:pPr>
            <w:r>
              <w:rPr>
                <w:color w:val="auto"/>
                <w:kern w:val="0"/>
                <w:sz w:val="18"/>
                <w:szCs w:val="18"/>
                <w:lang w:bidi="ar"/>
              </w:rPr>
              <w:t>152.82</w:t>
            </w:r>
          </w:p>
        </w:tc>
        <w:tc>
          <w:tcPr>
            <w:tcW w:w="802" w:type="dxa"/>
            <w:shd w:val="clear" w:color="auto" w:fill="FFFFFF"/>
            <w:noWrap/>
            <w:vAlign w:val="center"/>
          </w:tcPr>
          <w:p w14:paraId="00B954CD">
            <w:pPr>
              <w:widowControl/>
              <w:adjustRightInd w:val="0"/>
              <w:snapToGrid w:val="0"/>
              <w:jc w:val="center"/>
              <w:textAlignment w:val="center"/>
              <w:rPr>
                <w:color w:val="auto"/>
                <w:sz w:val="18"/>
                <w:szCs w:val="18"/>
              </w:rPr>
            </w:pPr>
            <w:r>
              <w:rPr>
                <w:color w:val="auto"/>
                <w:kern w:val="0"/>
                <w:sz w:val="18"/>
                <w:szCs w:val="18"/>
                <w:lang w:bidi="ar"/>
              </w:rPr>
              <w:t>105.17</w:t>
            </w:r>
          </w:p>
        </w:tc>
        <w:tc>
          <w:tcPr>
            <w:tcW w:w="507" w:type="dxa"/>
            <w:shd w:val="clear" w:color="auto" w:fill="FFFFFF"/>
            <w:noWrap/>
            <w:vAlign w:val="center"/>
          </w:tcPr>
          <w:p w14:paraId="60F6FA10">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7DE41D7D">
            <w:pPr>
              <w:widowControl/>
              <w:adjustRightInd w:val="0"/>
              <w:snapToGrid w:val="0"/>
              <w:jc w:val="center"/>
              <w:textAlignment w:val="center"/>
              <w:rPr>
                <w:color w:val="auto"/>
                <w:sz w:val="18"/>
                <w:szCs w:val="18"/>
              </w:rPr>
            </w:pPr>
            <w:r>
              <w:rPr>
                <w:color w:val="auto"/>
                <w:kern w:val="0"/>
                <w:sz w:val="18"/>
                <w:szCs w:val="18"/>
                <w:lang w:bidi="ar"/>
              </w:rPr>
              <w:t>7.58</w:t>
            </w:r>
          </w:p>
        </w:tc>
        <w:tc>
          <w:tcPr>
            <w:tcW w:w="728" w:type="dxa"/>
            <w:shd w:val="clear" w:color="auto" w:fill="auto"/>
            <w:noWrap/>
            <w:vAlign w:val="center"/>
          </w:tcPr>
          <w:p w14:paraId="334C3C5F">
            <w:pPr>
              <w:widowControl/>
              <w:adjustRightInd w:val="0"/>
              <w:snapToGrid w:val="0"/>
              <w:jc w:val="center"/>
              <w:textAlignment w:val="center"/>
              <w:rPr>
                <w:color w:val="auto"/>
                <w:sz w:val="18"/>
                <w:szCs w:val="18"/>
              </w:rPr>
            </w:pPr>
            <w:r>
              <w:rPr>
                <w:color w:val="auto"/>
                <w:kern w:val="0"/>
                <w:sz w:val="18"/>
                <w:szCs w:val="18"/>
                <w:lang w:bidi="ar"/>
              </w:rPr>
              <w:t>29.97</w:t>
            </w:r>
          </w:p>
        </w:tc>
        <w:tc>
          <w:tcPr>
            <w:tcW w:w="728" w:type="dxa"/>
            <w:shd w:val="clear" w:color="auto" w:fill="FFFFFF"/>
            <w:noWrap/>
            <w:vAlign w:val="center"/>
          </w:tcPr>
          <w:p w14:paraId="0EB4DB03">
            <w:pPr>
              <w:widowControl/>
              <w:adjustRightInd w:val="0"/>
              <w:snapToGrid w:val="0"/>
              <w:jc w:val="center"/>
              <w:textAlignment w:val="center"/>
              <w:rPr>
                <w:color w:val="auto"/>
                <w:sz w:val="18"/>
                <w:szCs w:val="18"/>
              </w:rPr>
            </w:pPr>
            <w:r>
              <w:rPr>
                <w:color w:val="auto"/>
                <w:kern w:val="0"/>
                <w:sz w:val="18"/>
                <w:szCs w:val="18"/>
                <w:lang w:bidi="ar"/>
              </w:rPr>
              <w:t>11.68</w:t>
            </w:r>
          </w:p>
        </w:tc>
        <w:tc>
          <w:tcPr>
            <w:tcW w:w="728" w:type="dxa"/>
            <w:shd w:val="clear" w:color="auto" w:fill="auto"/>
            <w:noWrap/>
            <w:vAlign w:val="center"/>
          </w:tcPr>
          <w:p w14:paraId="4B42B50A">
            <w:pPr>
              <w:widowControl/>
              <w:adjustRightInd w:val="0"/>
              <w:snapToGrid w:val="0"/>
              <w:jc w:val="center"/>
              <w:textAlignment w:val="center"/>
              <w:rPr>
                <w:color w:val="auto"/>
                <w:sz w:val="18"/>
                <w:szCs w:val="18"/>
              </w:rPr>
            </w:pPr>
            <w:r>
              <w:rPr>
                <w:color w:val="auto"/>
                <w:kern w:val="0"/>
                <w:sz w:val="18"/>
                <w:szCs w:val="18"/>
                <w:lang w:bidi="ar"/>
              </w:rPr>
              <w:t>2.55</w:t>
            </w:r>
          </w:p>
        </w:tc>
        <w:tc>
          <w:tcPr>
            <w:tcW w:w="855" w:type="dxa"/>
            <w:shd w:val="clear" w:color="auto" w:fill="FFFFFF"/>
            <w:noWrap/>
            <w:vAlign w:val="center"/>
          </w:tcPr>
          <w:p w14:paraId="59282E40">
            <w:pPr>
              <w:widowControl/>
              <w:adjustRightInd w:val="0"/>
              <w:snapToGrid w:val="0"/>
              <w:jc w:val="center"/>
              <w:textAlignment w:val="center"/>
              <w:rPr>
                <w:color w:val="auto"/>
                <w:sz w:val="18"/>
                <w:szCs w:val="18"/>
              </w:rPr>
            </w:pPr>
            <w:r>
              <w:rPr>
                <w:color w:val="auto"/>
                <w:kern w:val="0"/>
                <w:sz w:val="18"/>
                <w:szCs w:val="18"/>
                <w:lang w:bidi="ar"/>
              </w:rPr>
              <w:t>67.89</w:t>
            </w:r>
          </w:p>
        </w:tc>
        <w:tc>
          <w:tcPr>
            <w:tcW w:w="1116" w:type="dxa"/>
            <w:shd w:val="clear" w:color="auto" w:fill="FFFFFF"/>
            <w:noWrap/>
            <w:vAlign w:val="center"/>
          </w:tcPr>
          <w:p w14:paraId="7583437C">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7C0DE03">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D11FD91">
            <w:pPr>
              <w:widowControl/>
              <w:adjustRightInd w:val="0"/>
              <w:snapToGrid w:val="0"/>
              <w:jc w:val="center"/>
              <w:textAlignment w:val="center"/>
              <w:rPr>
                <w:color w:val="auto"/>
                <w:sz w:val="18"/>
                <w:szCs w:val="18"/>
              </w:rPr>
            </w:pPr>
            <w:r>
              <w:rPr>
                <w:color w:val="auto"/>
                <w:kern w:val="0"/>
                <w:sz w:val="18"/>
                <w:szCs w:val="18"/>
                <w:lang w:bidi="ar"/>
              </w:rPr>
              <w:t>41.89</w:t>
            </w:r>
          </w:p>
        </w:tc>
        <w:tc>
          <w:tcPr>
            <w:tcW w:w="1011" w:type="dxa"/>
            <w:shd w:val="clear" w:color="auto" w:fill="FFFFFF"/>
            <w:noWrap/>
            <w:vAlign w:val="center"/>
          </w:tcPr>
          <w:p w14:paraId="463993C5">
            <w:pPr>
              <w:widowControl/>
              <w:adjustRightInd w:val="0"/>
              <w:snapToGrid w:val="0"/>
              <w:jc w:val="center"/>
              <w:textAlignment w:val="center"/>
              <w:rPr>
                <w:color w:val="auto"/>
                <w:sz w:val="18"/>
                <w:szCs w:val="18"/>
              </w:rPr>
            </w:pPr>
            <w:r>
              <w:rPr>
                <w:color w:val="auto"/>
                <w:kern w:val="0"/>
                <w:sz w:val="18"/>
                <w:szCs w:val="18"/>
                <w:lang w:bidi="ar"/>
              </w:rPr>
              <w:t>1</w:t>
            </w:r>
          </w:p>
        </w:tc>
      </w:tr>
      <w:tr w14:paraId="22DE5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13CF670B">
            <w:pPr>
              <w:widowControl/>
              <w:adjustRightInd w:val="0"/>
              <w:snapToGrid w:val="0"/>
              <w:jc w:val="center"/>
              <w:textAlignment w:val="center"/>
              <w:rPr>
                <w:color w:val="auto"/>
                <w:sz w:val="18"/>
                <w:szCs w:val="18"/>
              </w:rPr>
            </w:pPr>
            <w:r>
              <w:rPr>
                <w:color w:val="auto"/>
                <w:kern w:val="0"/>
                <w:sz w:val="18"/>
                <w:szCs w:val="18"/>
                <w:lang w:bidi="ar"/>
              </w:rPr>
              <w:t>抽湿熨烫台（配熨斗）</w:t>
            </w:r>
          </w:p>
        </w:tc>
        <w:tc>
          <w:tcPr>
            <w:tcW w:w="539" w:type="dxa"/>
            <w:vMerge w:val="continue"/>
            <w:shd w:val="clear" w:color="auto" w:fill="FFFFFF"/>
            <w:noWrap/>
            <w:vAlign w:val="center"/>
          </w:tcPr>
          <w:p w14:paraId="16B0DB67">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9DDC00F">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B1DB76B">
            <w:pPr>
              <w:adjustRightInd w:val="0"/>
              <w:snapToGrid w:val="0"/>
              <w:jc w:val="center"/>
              <w:rPr>
                <w:color w:val="auto"/>
                <w:sz w:val="18"/>
                <w:szCs w:val="18"/>
              </w:rPr>
            </w:pPr>
          </w:p>
        </w:tc>
        <w:tc>
          <w:tcPr>
            <w:tcW w:w="875" w:type="dxa"/>
            <w:shd w:val="clear" w:color="auto" w:fill="FFFFFF"/>
            <w:noWrap/>
            <w:vAlign w:val="center"/>
          </w:tcPr>
          <w:p w14:paraId="6E127802">
            <w:pPr>
              <w:widowControl/>
              <w:adjustRightInd w:val="0"/>
              <w:snapToGrid w:val="0"/>
              <w:jc w:val="center"/>
              <w:textAlignment w:val="center"/>
              <w:rPr>
                <w:color w:val="auto"/>
                <w:sz w:val="18"/>
                <w:szCs w:val="18"/>
              </w:rPr>
            </w:pPr>
            <w:r>
              <w:rPr>
                <w:color w:val="auto"/>
                <w:kern w:val="0"/>
                <w:sz w:val="18"/>
                <w:szCs w:val="18"/>
                <w:lang w:bidi="ar"/>
              </w:rPr>
              <w:t>160.58</w:t>
            </w:r>
          </w:p>
        </w:tc>
        <w:tc>
          <w:tcPr>
            <w:tcW w:w="802" w:type="dxa"/>
            <w:shd w:val="clear" w:color="auto" w:fill="FFFFFF"/>
            <w:noWrap/>
            <w:vAlign w:val="center"/>
          </w:tcPr>
          <w:p w14:paraId="5592D38B">
            <w:pPr>
              <w:widowControl/>
              <w:adjustRightInd w:val="0"/>
              <w:snapToGrid w:val="0"/>
              <w:jc w:val="center"/>
              <w:textAlignment w:val="center"/>
              <w:rPr>
                <w:color w:val="auto"/>
                <w:sz w:val="18"/>
                <w:szCs w:val="18"/>
              </w:rPr>
            </w:pPr>
            <w:r>
              <w:rPr>
                <w:color w:val="auto"/>
                <w:kern w:val="0"/>
                <w:sz w:val="18"/>
                <w:szCs w:val="18"/>
                <w:lang w:bidi="ar"/>
              </w:rPr>
              <w:t>108.4</w:t>
            </w:r>
          </w:p>
        </w:tc>
        <w:tc>
          <w:tcPr>
            <w:tcW w:w="507" w:type="dxa"/>
            <w:shd w:val="clear" w:color="auto" w:fill="FFFFFF"/>
            <w:noWrap/>
            <w:vAlign w:val="center"/>
          </w:tcPr>
          <w:p w14:paraId="7CCA6E35">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7CF2EAF9">
            <w:pPr>
              <w:widowControl/>
              <w:adjustRightInd w:val="0"/>
              <w:snapToGrid w:val="0"/>
              <w:jc w:val="center"/>
              <w:textAlignment w:val="center"/>
              <w:rPr>
                <w:color w:val="auto"/>
                <w:sz w:val="18"/>
                <w:szCs w:val="18"/>
              </w:rPr>
            </w:pPr>
            <w:r>
              <w:rPr>
                <w:color w:val="auto"/>
                <w:kern w:val="0"/>
                <w:sz w:val="18"/>
                <w:szCs w:val="18"/>
                <w:lang w:bidi="ar"/>
              </w:rPr>
              <w:t>15.92</w:t>
            </w:r>
          </w:p>
        </w:tc>
        <w:tc>
          <w:tcPr>
            <w:tcW w:w="728" w:type="dxa"/>
            <w:shd w:val="clear" w:color="auto" w:fill="auto"/>
            <w:noWrap/>
            <w:vAlign w:val="center"/>
          </w:tcPr>
          <w:p w14:paraId="0E2D5F40">
            <w:pPr>
              <w:widowControl/>
              <w:adjustRightInd w:val="0"/>
              <w:snapToGrid w:val="0"/>
              <w:jc w:val="center"/>
              <w:textAlignment w:val="center"/>
              <w:rPr>
                <w:color w:val="auto"/>
                <w:sz w:val="18"/>
                <w:szCs w:val="18"/>
              </w:rPr>
            </w:pPr>
            <w:r>
              <w:rPr>
                <w:color w:val="auto"/>
                <w:kern w:val="0"/>
                <w:sz w:val="18"/>
                <w:szCs w:val="18"/>
                <w:lang w:bidi="ar"/>
              </w:rPr>
              <w:t>29.67</w:t>
            </w:r>
          </w:p>
        </w:tc>
        <w:tc>
          <w:tcPr>
            <w:tcW w:w="728" w:type="dxa"/>
            <w:shd w:val="clear" w:color="auto" w:fill="FFFFFF"/>
            <w:noWrap/>
            <w:vAlign w:val="center"/>
          </w:tcPr>
          <w:p w14:paraId="7DABD969">
            <w:pPr>
              <w:widowControl/>
              <w:adjustRightInd w:val="0"/>
              <w:snapToGrid w:val="0"/>
              <w:jc w:val="center"/>
              <w:textAlignment w:val="center"/>
              <w:rPr>
                <w:color w:val="auto"/>
                <w:sz w:val="18"/>
                <w:szCs w:val="18"/>
              </w:rPr>
            </w:pPr>
            <w:r>
              <w:rPr>
                <w:color w:val="auto"/>
                <w:kern w:val="0"/>
                <w:sz w:val="18"/>
                <w:szCs w:val="18"/>
                <w:lang w:bidi="ar"/>
              </w:rPr>
              <w:t>3.31</w:t>
            </w:r>
          </w:p>
        </w:tc>
        <w:tc>
          <w:tcPr>
            <w:tcW w:w="728" w:type="dxa"/>
            <w:shd w:val="clear" w:color="auto" w:fill="auto"/>
            <w:noWrap/>
            <w:vAlign w:val="center"/>
          </w:tcPr>
          <w:p w14:paraId="44C09611">
            <w:pPr>
              <w:widowControl/>
              <w:adjustRightInd w:val="0"/>
              <w:snapToGrid w:val="0"/>
              <w:jc w:val="center"/>
              <w:textAlignment w:val="center"/>
              <w:rPr>
                <w:color w:val="auto"/>
                <w:sz w:val="18"/>
                <w:szCs w:val="18"/>
              </w:rPr>
            </w:pPr>
            <w:r>
              <w:rPr>
                <w:color w:val="auto"/>
                <w:kern w:val="0"/>
                <w:sz w:val="18"/>
                <w:szCs w:val="18"/>
                <w:lang w:bidi="ar"/>
              </w:rPr>
              <w:t>3.07</w:t>
            </w:r>
          </w:p>
        </w:tc>
        <w:tc>
          <w:tcPr>
            <w:tcW w:w="855" w:type="dxa"/>
            <w:shd w:val="clear" w:color="auto" w:fill="FFFFFF"/>
            <w:noWrap/>
            <w:vAlign w:val="center"/>
          </w:tcPr>
          <w:p w14:paraId="2B49ED02">
            <w:pPr>
              <w:widowControl/>
              <w:adjustRightInd w:val="0"/>
              <w:snapToGrid w:val="0"/>
              <w:jc w:val="center"/>
              <w:textAlignment w:val="center"/>
              <w:rPr>
                <w:color w:val="auto"/>
                <w:sz w:val="18"/>
                <w:szCs w:val="18"/>
              </w:rPr>
            </w:pPr>
            <w:r>
              <w:rPr>
                <w:color w:val="auto"/>
                <w:kern w:val="0"/>
                <w:sz w:val="18"/>
                <w:szCs w:val="18"/>
                <w:lang w:bidi="ar"/>
              </w:rPr>
              <w:t>62.86</w:t>
            </w:r>
          </w:p>
        </w:tc>
        <w:tc>
          <w:tcPr>
            <w:tcW w:w="1116" w:type="dxa"/>
            <w:shd w:val="clear" w:color="auto" w:fill="FFFFFF"/>
            <w:noWrap/>
            <w:vAlign w:val="center"/>
          </w:tcPr>
          <w:p w14:paraId="4E162F9B">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42D2AE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3D36803">
            <w:pPr>
              <w:widowControl/>
              <w:adjustRightInd w:val="0"/>
              <w:snapToGrid w:val="0"/>
              <w:jc w:val="center"/>
              <w:textAlignment w:val="center"/>
              <w:rPr>
                <w:color w:val="auto"/>
                <w:sz w:val="18"/>
                <w:szCs w:val="18"/>
              </w:rPr>
            </w:pPr>
            <w:r>
              <w:rPr>
                <w:color w:val="auto"/>
                <w:kern w:val="0"/>
                <w:sz w:val="18"/>
                <w:szCs w:val="18"/>
                <w:lang w:bidi="ar"/>
              </w:rPr>
              <w:t>36.86</w:t>
            </w:r>
          </w:p>
        </w:tc>
        <w:tc>
          <w:tcPr>
            <w:tcW w:w="1011" w:type="dxa"/>
            <w:shd w:val="clear" w:color="auto" w:fill="FFFFFF"/>
            <w:noWrap/>
            <w:vAlign w:val="center"/>
          </w:tcPr>
          <w:p w14:paraId="304A063F">
            <w:pPr>
              <w:widowControl/>
              <w:adjustRightInd w:val="0"/>
              <w:snapToGrid w:val="0"/>
              <w:jc w:val="center"/>
              <w:textAlignment w:val="center"/>
              <w:rPr>
                <w:color w:val="auto"/>
                <w:sz w:val="18"/>
                <w:szCs w:val="18"/>
              </w:rPr>
            </w:pPr>
            <w:r>
              <w:rPr>
                <w:color w:val="auto"/>
                <w:kern w:val="0"/>
                <w:sz w:val="18"/>
                <w:szCs w:val="18"/>
                <w:lang w:bidi="ar"/>
              </w:rPr>
              <w:t>1</w:t>
            </w:r>
          </w:p>
        </w:tc>
      </w:tr>
      <w:tr w14:paraId="44B65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71B9F2C">
            <w:pPr>
              <w:widowControl/>
              <w:adjustRightInd w:val="0"/>
              <w:snapToGrid w:val="0"/>
              <w:jc w:val="center"/>
              <w:textAlignment w:val="center"/>
              <w:rPr>
                <w:color w:val="auto"/>
                <w:sz w:val="18"/>
                <w:szCs w:val="18"/>
              </w:rPr>
            </w:pPr>
            <w:r>
              <w:rPr>
                <w:color w:val="auto"/>
                <w:kern w:val="0"/>
                <w:sz w:val="18"/>
                <w:szCs w:val="18"/>
                <w:lang w:bidi="ar"/>
              </w:rPr>
              <w:t>自动干衣机2</w:t>
            </w:r>
          </w:p>
        </w:tc>
        <w:tc>
          <w:tcPr>
            <w:tcW w:w="539" w:type="dxa"/>
            <w:vMerge w:val="continue"/>
            <w:shd w:val="clear" w:color="auto" w:fill="FFFFFF"/>
            <w:noWrap/>
            <w:vAlign w:val="center"/>
          </w:tcPr>
          <w:p w14:paraId="09B62C83">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2CD642AE">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32C8E3AE">
            <w:pPr>
              <w:adjustRightInd w:val="0"/>
              <w:snapToGrid w:val="0"/>
              <w:jc w:val="center"/>
              <w:rPr>
                <w:color w:val="auto"/>
                <w:sz w:val="18"/>
                <w:szCs w:val="18"/>
              </w:rPr>
            </w:pPr>
          </w:p>
        </w:tc>
        <w:tc>
          <w:tcPr>
            <w:tcW w:w="875" w:type="dxa"/>
            <w:shd w:val="clear" w:color="auto" w:fill="FFFFFF"/>
            <w:noWrap/>
            <w:vAlign w:val="center"/>
          </w:tcPr>
          <w:p w14:paraId="5FD35536">
            <w:pPr>
              <w:widowControl/>
              <w:adjustRightInd w:val="0"/>
              <w:snapToGrid w:val="0"/>
              <w:jc w:val="center"/>
              <w:textAlignment w:val="center"/>
              <w:rPr>
                <w:color w:val="auto"/>
                <w:sz w:val="18"/>
                <w:szCs w:val="18"/>
              </w:rPr>
            </w:pPr>
            <w:r>
              <w:rPr>
                <w:color w:val="auto"/>
                <w:kern w:val="0"/>
                <w:sz w:val="18"/>
                <w:szCs w:val="18"/>
                <w:lang w:bidi="ar"/>
              </w:rPr>
              <w:t>163.72</w:t>
            </w:r>
          </w:p>
        </w:tc>
        <w:tc>
          <w:tcPr>
            <w:tcW w:w="802" w:type="dxa"/>
            <w:shd w:val="clear" w:color="auto" w:fill="FFFFFF"/>
            <w:noWrap/>
            <w:vAlign w:val="center"/>
          </w:tcPr>
          <w:p w14:paraId="4978F200">
            <w:pPr>
              <w:widowControl/>
              <w:adjustRightInd w:val="0"/>
              <w:snapToGrid w:val="0"/>
              <w:jc w:val="center"/>
              <w:textAlignment w:val="center"/>
              <w:rPr>
                <w:color w:val="auto"/>
                <w:sz w:val="18"/>
                <w:szCs w:val="18"/>
              </w:rPr>
            </w:pPr>
            <w:r>
              <w:rPr>
                <w:color w:val="auto"/>
                <w:kern w:val="0"/>
                <w:sz w:val="18"/>
                <w:szCs w:val="18"/>
                <w:lang w:bidi="ar"/>
              </w:rPr>
              <w:t>103.6</w:t>
            </w:r>
          </w:p>
        </w:tc>
        <w:tc>
          <w:tcPr>
            <w:tcW w:w="507" w:type="dxa"/>
            <w:shd w:val="clear" w:color="auto" w:fill="FFFFFF"/>
            <w:noWrap/>
            <w:vAlign w:val="center"/>
          </w:tcPr>
          <w:p w14:paraId="3FE8CDBB">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61294FB4">
            <w:pPr>
              <w:widowControl/>
              <w:adjustRightInd w:val="0"/>
              <w:snapToGrid w:val="0"/>
              <w:jc w:val="center"/>
              <w:textAlignment w:val="center"/>
              <w:rPr>
                <w:color w:val="auto"/>
                <w:sz w:val="18"/>
                <w:szCs w:val="18"/>
              </w:rPr>
            </w:pPr>
            <w:r>
              <w:rPr>
                <w:color w:val="auto"/>
                <w:kern w:val="0"/>
                <w:sz w:val="18"/>
                <w:szCs w:val="18"/>
                <w:lang w:bidi="ar"/>
              </w:rPr>
              <w:t>16.22</w:t>
            </w:r>
          </w:p>
        </w:tc>
        <w:tc>
          <w:tcPr>
            <w:tcW w:w="728" w:type="dxa"/>
            <w:shd w:val="clear" w:color="auto" w:fill="auto"/>
            <w:noWrap/>
            <w:vAlign w:val="center"/>
          </w:tcPr>
          <w:p w14:paraId="08E3A541">
            <w:pPr>
              <w:widowControl/>
              <w:adjustRightInd w:val="0"/>
              <w:snapToGrid w:val="0"/>
              <w:jc w:val="center"/>
              <w:textAlignment w:val="center"/>
              <w:rPr>
                <w:color w:val="auto"/>
                <w:sz w:val="18"/>
                <w:szCs w:val="18"/>
              </w:rPr>
            </w:pPr>
            <w:r>
              <w:rPr>
                <w:color w:val="auto"/>
                <w:kern w:val="0"/>
                <w:sz w:val="18"/>
                <w:szCs w:val="18"/>
                <w:lang w:bidi="ar"/>
              </w:rPr>
              <w:t>24.00</w:t>
            </w:r>
          </w:p>
        </w:tc>
        <w:tc>
          <w:tcPr>
            <w:tcW w:w="728" w:type="dxa"/>
            <w:shd w:val="clear" w:color="auto" w:fill="FFFFFF"/>
            <w:noWrap/>
            <w:vAlign w:val="center"/>
          </w:tcPr>
          <w:p w14:paraId="20476191">
            <w:pPr>
              <w:widowControl/>
              <w:adjustRightInd w:val="0"/>
              <w:snapToGrid w:val="0"/>
              <w:jc w:val="center"/>
              <w:textAlignment w:val="center"/>
              <w:rPr>
                <w:color w:val="auto"/>
                <w:sz w:val="18"/>
                <w:szCs w:val="18"/>
              </w:rPr>
            </w:pPr>
            <w:r>
              <w:rPr>
                <w:color w:val="auto"/>
                <w:kern w:val="0"/>
                <w:sz w:val="18"/>
                <w:szCs w:val="18"/>
                <w:lang w:bidi="ar"/>
              </w:rPr>
              <w:t>2.82</w:t>
            </w:r>
          </w:p>
        </w:tc>
        <w:tc>
          <w:tcPr>
            <w:tcW w:w="728" w:type="dxa"/>
            <w:shd w:val="clear" w:color="auto" w:fill="auto"/>
            <w:noWrap/>
            <w:vAlign w:val="center"/>
          </w:tcPr>
          <w:p w14:paraId="6D76BEEE">
            <w:pPr>
              <w:widowControl/>
              <w:adjustRightInd w:val="0"/>
              <w:snapToGrid w:val="0"/>
              <w:jc w:val="center"/>
              <w:textAlignment w:val="center"/>
              <w:rPr>
                <w:color w:val="auto"/>
                <w:sz w:val="18"/>
                <w:szCs w:val="18"/>
              </w:rPr>
            </w:pPr>
            <w:r>
              <w:rPr>
                <w:color w:val="auto"/>
                <w:kern w:val="0"/>
                <w:sz w:val="18"/>
                <w:szCs w:val="18"/>
                <w:lang w:bidi="ar"/>
              </w:rPr>
              <w:t>8.77</w:t>
            </w:r>
          </w:p>
        </w:tc>
        <w:tc>
          <w:tcPr>
            <w:tcW w:w="855" w:type="dxa"/>
            <w:shd w:val="clear" w:color="auto" w:fill="FFFFFF"/>
            <w:noWrap/>
            <w:vAlign w:val="center"/>
          </w:tcPr>
          <w:p w14:paraId="7F87A6B2">
            <w:pPr>
              <w:widowControl/>
              <w:adjustRightInd w:val="0"/>
              <w:snapToGrid w:val="0"/>
              <w:jc w:val="center"/>
              <w:textAlignment w:val="center"/>
              <w:rPr>
                <w:color w:val="auto"/>
                <w:sz w:val="18"/>
                <w:szCs w:val="18"/>
              </w:rPr>
            </w:pPr>
            <w:r>
              <w:rPr>
                <w:color w:val="auto"/>
                <w:kern w:val="0"/>
                <w:sz w:val="18"/>
                <w:szCs w:val="18"/>
                <w:lang w:bidi="ar"/>
              </w:rPr>
              <w:t>62.86</w:t>
            </w:r>
          </w:p>
        </w:tc>
        <w:tc>
          <w:tcPr>
            <w:tcW w:w="1116" w:type="dxa"/>
            <w:shd w:val="clear" w:color="auto" w:fill="FFFFFF"/>
            <w:noWrap/>
            <w:vAlign w:val="center"/>
          </w:tcPr>
          <w:p w14:paraId="1212ECC8">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B1280B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FE0879C">
            <w:pPr>
              <w:widowControl/>
              <w:adjustRightInd w:val="0"/>
              <w:snapToGrid w:val="0"/>
              <w:jc w:val="center"/>
              <w:textAlignment w:val="center"/>
              <w:rPr>
                <w:color w:val="auto"/>
                <w:sz w:val="18"/>
                <w:szCs w:val="18"/>
              </w:rPr>
            </w:pPr>
            <w:r>
              <w:rPr>
                <w:color w:val="auto"/>
                <w:kern w:val="0"/>
                <w:sz w:val="18"/>
                <w:szCs w:val="18"/>
                <w:lang w:bidi="ar"/>
              </w:rPr>
              <w:t>36.86</w:t>
            </w:r>
          </w:p>
        </w:tc>
        <w:tc>
          <w:tcPr>
            <w:tcW w:w="1011" w:type="dxa"/>
            <w:shd w:val="clear" w:color="auto" w:fill="FFFFFF"/>
            <w:noWrap/>
            <w:vAlign w:val="center"/>
          </w:tcPr>
          <w:p w14:paraId="33BF15DC">
            <w:pPr>
              <w:widowControl/>
              <w:adjustRightInd w:val="0"/>
              <w:snapToGrid w:val="0"/>
              <w:jc w:val="center"/>
              <w:textAlignment w:val="center"/>
              <w:rPr>
                <w:color w:val="auto"/>
                <w:sz w:val="18"/>
                <w:szCs w:val="18"/>
              </w:rPr>
            </w:pPr>
            <w:r>
              <w:rPr>
                <w:color w:val="auto"/>
                <w:kern w:val="0"/>
                <w:sz w:val="18"/>
                <w:szCs w:val="18"/>
                <w:lang w:bidi="ar"/>
              </w:rPr>
              <w:t>1</w:t>
            </w:r>
          </w:p>
        </w:tc>
      </w:tr>
      <w:tr w14:paraId="13F4B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2221C545">
            <w:pPr>
              <w:widowControl/>
              <w:adjustRightInd w:val="0"/>
              <w:snapToGrid w:val="0"/>
              <w:jc w:val="center"/>
              <w:textAlignment w:val="center"/>
              <w:rPr>
                <w:color w:val="auto"/>
                <w:sz w:val="18"/>
                <w:szCs w:val="18"/>
              </w:rPr>
            </w:pPr>
            <w:r>
              <w:rPr>
                <w:color w:val="auto"/>
                <w:kern w:val="0"/>
                <w:sz w:val="18"/>
                <w:szCs w:val="18"/>
                <w:lang w:bidi="ar"/>
              </w:rPr>
              <w:t>全自动洗脱机</w:t>
            </w:r>
          </w:p>
        </w:tc>
        <w:tc>
          <w:tcPr>
            <w:tcW w:w="539" w:type="dxa"/>
            <w:vMerge w:val="continue"/>
            <w:shd w:val="clear" w:color="auto" w:fill="FFFFFF"/>
            <w:noWrap/>
            <w:vAlign w:val="center"/>
          </w:tcPr>
          <w:p w14:paraId="0499AE34">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6BCB4F8">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0774AC9">
            <w:pPr>
              <w:adjustRightInd w:val="0"/>
              <w:snapToGrid w:val="0"/>
              <w:jc w:val="center"/>
              <w:rPr>
                <w:color w:val="auto"/>
                <w:sz w:val="18"/>
                <w:szCs w:val="18"/>
              </w:rPr>
            </w:pPr>
          </w:p>
        </w:tc>
        <w:tc>
          <w:tcPr>
            <w:tcW w:w="875" w:type="dxa"/>
            <w:shd w:val="clear" w:color="auto" w:fill="FFFFFF"/>
            <w:noWrap/>
            <w:vAlign w:val="center"/>
          </w:tcPr>
          <w:p w14:paraId="5B7CDFCD">
            <w:pPr>
              <w:widowControl/>
              <w:adjustRightInd w:val="0"/>
              <w:snapToGrid w:val="0"/>
              <w:jc w:val="center"/>
              <w:textAlignment w:val="center"/>
              <w:rPr>
                <w:color w:val="auto"/>
                <w:sz w:val="18"/>
                <w:szCs w:val="18"/>
              </w:rPr>
            </w:pPr>
            <w:r>
              <w:rPr>
                <w:color w:val="auto"/>
                <w:kern w:val="0"/>
                <w:sz w:val="18"/>
                <w:szCs w:val="18"/>
                <w:lang w:bidi="ar"/>
              </w:rPr>
              <w:t>166.67</w:t>
            </w:r>
          </w:p>
        </w:tc>
        <w:tc>
          <w:tcPr>
            <w:tcW w:w="802" w:type="dxa"/>
            <w:shd w:val="clear" w:color="auto" w:fill="FFFFFF"/>
            <w:noWrap/>
            <w:vAlign w:val="center"/>
          </w:tcPr>
          <w:p w14:paraId="60A2B30E">
            <w:pPr>
              <w:widowControl/>
              <w:adjustRightInd w:val="0"/>
              <w:snapToGrid w:val="0"/>
              <w:jc w:val="center"/>
              <w:textAlignment w:val="center"/>
              <w:rPr>
                <w:color w:val="auto"/>
                <w:sz w:val="18"/>
                <w:szCs w:val="18"/>
              </w:rPr>
            </w:pPr>
            <w:r>
              <w:rPr>
                <w:color w:val="auto"/>
                <w:kern w:val="0"/>
                <w:sz w:val="18"/>
                <w:szCs w:val="18"/>
                <w:lang w:bidi="ar"/>
              </w:rPr>
              <w:t>97.41</w:t>
            </w:r>
          </w:p>
        </w:tc>
        <w:tc>
          <w:tcPr>
            <w:tcW w:w="507" w:type="dxa"/>
            <w:shd w:val="clear" w:color="auto" w:fill="FFFFFF"/>
            <w:noWrap/>
            <w:vAlign w:val="center"/>
          </w:tcPr>
          <w:p w14:paraId="5CBC1C64">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379A0F48">
            <w:pPr>
              <w:widowControl/>
              <w:adjustRightInd w:val="0"/>
              <w:snapToGrid w:val="0"/>
              <w:jc w:val="center"/>
              <w:textAlignment w:val="center"/>
              <w:rPr>
                <w:color w:val="auto"/>
                <w:sz w:val="18"/>
                <w:szCs w:val="18"/>
              </w:rPr>
            </w:pPr>
            <w:r>
              <w:rPr>
                <w:color w:val="auto"/>
                <w:kern w:val="0"/>
                <w:sz w:val="18"/>
                <w:szCs w:val="18"/>
                <w:lang w:bidi="ar"/>
              </w:rPr>
              <w:t>15.66</w:t>
            </w:r>
          </w:p>
        </w:tc>
        <w:tc>
          <w:tcPr>
            <w:tcW w:w="728" w:type="dxa"/>
            <w:shd w:val="clear" w:color="auto" w:fill="auto"/>
            <w:noWrap/>
            <w:vAlign w:val="center"/>
          </w:tcPr>
          <w:p w14:paraId="2C4906AA">
            <w:pPr>
              <w:widowControl/>
              <w:adjustRightInd w:val="0"/>
              <w:snapToGrid w:val="0"/>
              <w:jc w:val="center"/>
              <w:textAlignment w:val="center"/>
              <w:rPr>
                <w:color w:val="auto"/>
                <w:sz w:val="18"/>
                <w:szCs w:val="18"/>
              </w:rPr>
            </w:pPr>
            <w:r>
              <w:rPr>
                <w:color w:val="auto"/>
                <w:kern w:val="0"/>
                <w:sz w:val="18"/>
                <w:szCs w:val="18"/>
                <w:lang w:bidi="ar"/>
              </w:rPr>
              <w:t>17.14</w:t>
            </w:r>
          </w:p>
        </w:tc>
        <w:tc>
          <w:tcPr>
            <w:tcW w:w="728" w:type="dxa"/>
            <w:shd w:val="clear" w:color="auto" w:fill="FFFFFF"/>
            <w:noWrap/>
            <w:vAlign w:val="center"/>
          </w:tcPr>
          <w:p w14:paraId="08916281">
            <w:pPr>
              <w:widowControl/>
              <w:adjustRightInd w:val="0"/>
              <w:snapToGrid w:val="0"/>
              <w:jc w:val="center"/>
              <w:textAlignment w:val="center"/>
              <w:rPr>
                <w:color w:val="auto"/>
                <w:sz w:val="18"/>
                <w:szCs w:val="18"/>
              </w:rPr>
            </w:pPr>
            <w:r>
              <w:rPr>
                <w:color w:val="auto"/>
                <w:kern w:val="0"/>
                <w:sz w:val="18"/>
                <w:szCs w:val="18"/>
                <w:lang w:bidi="ar"/>
              </w:rPr>
              <w:t>3.15</w:t>
            </w:r>
          </w:p>
        </w:tc>
        <w:tc>
          <w:tcPr>
            <w:tcW w:w="728" w:type="dxa"/>
            <w:shd w:val="clear" w:color="auto" w:fill="auto"/>
            <w:noWrap/>
            <w:vAlign w:val="center"/>
          </w:tcPr>
          <w:p w14:paraId="4C7CB1EC">
            <w:pPr>
              <w:widowControl/>
              <w:adjustRightInd w:val="0"/>
              <w:snapToGrid w:val="0"/>
              <w:jc w:val="center"/>
              <w:textAlignment w:val="center"/>
              <w:rPr>
                <w:color w:val="auto"/>
                <w:sz w:val="18"/>
                <w:szCs w:val="18"/>
              </w:rPr>
            </w:pPr>
            <w:r>
              <w:rPr>
                <w:color w:val="auto"/>
                <w:kern w:val="0"/>
                <w:sz w:val="18"/>
                <w:szCs w:val="18"/>
                <w:lang w:bidi="ar"/>
              </w:rPr>
              <w:t>15.62</w:t>
            </w:r>
          </w:p>
        </w:tc>
        <w:tc>
          <w:tcPr>
            <w:tcW w:w="855" w:type="dxa"/>
            <w:shd w:val="clear" w:color="auto" w:fill="FFFFFF"/>
            <w:noWrap/>
            <w:vAlign w:val="center"/>
          </w:tcPr>
          <w:p w14:paraId="66C29A60">
            <w:pPr>
              <w:widowControl/>
              <w:adjustRightInd w:val="0"/>
              <w:snapToGrid w:val="0"/>
              <w:jc w:val="center"/>
              <w:textAlignment w:val="center"/>
              <w:rPr>
                <w:color w:val="auto"/>
                <w:sz w:val="18"/>
                <w:szCs w:val="18"/>
              </w:rPr>
            </w:pPr>
            <w:r>
              <w:rPr>
                <w:color w:val="auto"/>
                <w:kern w:val="0"/>
                <w:sz w:val="18"/>
                <w:szCs w:val="18"/>
                <w:lang w:bidi="ar"/>
              </w:rPr>
              <w:t>62.86</w:t>
            </w:r>
          </w:p>
        </w:tc>
        <w:tc>
          <w:tcPr>
            <w:tcW w:w="1116" w:type="dxa"/>
            <w:shd w:val="clear" w:color="auto" w:fill="FFFFFF"/>
            <w:noWrap/>
            <w:vAlign w:val="center"/>
          </w:tcPr>
          <w:p w14:paraId="52A94771">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326897A">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3874D57A">
            <w:pPr>
              <w:widowControl/>
              <w:adjustRightInd w:val="0"/>
              <w:snapToGrid w:val="0"/>
              <w:jc w:val="center"/>
              <w:textAlignment w:val="center"/>
              <w:rPr>
                <w:color w:val="auto"/>
                <w:sz w:val="18"/>
                <w:szCs w:val="18"/>
              </w:rPr>
            </w:pPr>
            <w:r>
              <w:rPr>
                <w:color w:val="auto"/>
                <w:kern w:val="0"/>
                <w:sz w:val="18"/>
                <w:szCs w:val="18"/>
                <w:lang w:bidi="ar"/>
              </w:rPr>
              <w:t>36.86</w:t>
            </w:r>
          </w:p>
        </w:tc>
        <w:tc>
          <w:tcPr>
            <w:tcW w:w="1011" w:type="dxa"/>
            <w:shd w:val="clear" w:color="auto" w:fill="FFFFFF"/>
            <w:noWrap/>
            <w:vAlign w:val="center"/>
          </w:tcPr>
          <w:p w14:paraId="752E8016">
            <w:pPr>
              <w:widowControl/>
              <w:adjustRightInd w:val="0"/>
              <w:snapToGrid w:val="0"/>
              <w:jc w:val="center"/>
              <w:textAlignment w:val="center"/>
              <w:rPr>
                <w:color w:val="auto"/>
                <w:sz w:val="18"/>
                <w:szCs w:val="18"/>
              </w:rPr>
            </w:pPr>
            <w:r>
              <w:rPr>
                <w:color w:val="auto"/>
                <w:kern w:val="0"/>
                <w:sz w:val="18"/>
                <w:szCs w:val="18"/>
                <w:lang w:bidi="ar"/>
              </w:rPr>
              <w:t>1</w:t>
            </w:r>
          </w:p>
        </w:tc>
      </w:tr>
      <w:tr w14:paraId="5CDB7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2D7ED7A0">
            <w:pPr>
              <w:widowControl/>
              <w:adjustRightInd w:val="0"/>
              <w:snapToGrid w:val="0"/>
              <w:jc w:val="center"/>
              <w:textAlignment w:val="center"/>
              <w:rPr>
                <w:color w:val="auto"/>
                <w:sz w:val="18"/>
                <w:szCs w:val="18"/>
              </w:rPr>
            </w:pPr>
            <w:r>
              <w:rPr>
                <w:color w:val="auto"/>
                <w:kern w:val="0"/>
                <w:sz w:val="18"/>
                <w:szCs w:val="18"/>
                <w:lang w:bidi="ar"/>
              </w:rPr>
              <w:t>全自动倾斜洗脱机</w:t>
            </w:r>
          </w:p>
        </w:tc>
        <w:tc>
          <w:tcPr>
            <w:tcW w:w="539" w:type="dxa"/>
            <w:vMerge w:val="continue"/>
            <w:shd w:val="clear" w:color="auto" w:fill="FFFFFF"/>
            <w:noWrap/>
            <w:vAlign w:val="center"/>
          </w:tcPr>
          <w:p w14:paraId="7622DAF5">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3236CDEF">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7B871712">
            <w:pPr>
              <w:adjustRightInd w:val="0"/>
              <w:snapToGrid w:val="0"/>
              <w:jc w:val="center"/>
              <w:rPr>
                <w:color w:val="auto"/>
                <w:sz w:val="18"/>
                <w:szCs w:val="18"/>
              </w:rPr>
            </w:pPr>
          </w:p>
        </w:tc>
        <w:tc>
          <w:tcPr>
            <w:tcW w:w="875" w:type="dxa"/>
            <w:shd w:val="clear" w:color="auto" w:fill="FFFFFF"/>
            <w:noWrap/>
            <w:vAlign w:val="center"/>
          </w:tcPr>
          <w:p w14:paraId="088D1829">
            <w:pPr>
              <w:widowControl/>
              <w:adjustRightInd w:val="0"/>
              <w:snapToGrid w:val="0"/>
              <w:jc w:val="center"/>
              <w:textAlignment w:val="center"/>
              <w:rPr>
                <w:color w:val="auto"/>
                <w:sz w:val="18"/>
                <w:szCs w:val="18"/>
              </w:rPr>
            </w:pPr>
            <w:r>
              <w:rPr>
                <w:color w:val="auto"/>
                <w:kern w:val="0"/>
                <w:sz w:val="18"/>
                <w:szCs w:val="18"/>
                <w:lang w:bidi="ar"/>
              </w:rPr>
              <w:t>169.16</w:t>
            </w:r>
          </w:p>
        </w:tc>
        <w:tc>
          <w:tcPr>
            <w:tcW w:w="802" w:type="dxa"/>
            <w:shd w:val="clear" w:color="auto" w:fill="FFFFFF"/>
            <w:noWrap/>
            <w:vAlign w:val="center"/>
          </w:tcPr>
          <w:p w14:paraId="27E491DF">
            <w:pPr>
              <w:widowControl/>
              <w:adjustRightInd w:val="0"/>
              <w:snapToGrid w:val="0"/>
              <w:jc w:val="center"/>
              <w:textAlignment w:val="center"/>
              <w:rPr>
                <w:color w:val="auto"/>
                <w:sz w:val="18"/>
                <w:szCs w:val="18"/>
              </w:rPr>
            </w:pPr>
            <w:r>
              <w:rPr>
                <w:color w:val="auto"/>
                <w:kern w:val="0"/>
                <w:sz w:val="18"/>
                <w:szCs w:val="18"/>
                <w:lang w:bidi="ar"/>
              </w:rPr>
              <w:t>93.16</w:t>
            </w:r>
          </w:p>
        </w:tc>
        <w:tc>
          <w:tcPr>
            <w:tcW w:w="507" w:type="dxa"/>
            <w:shd w:val="clear" w:color="auto" w:fill="FFFFFF"/>
            <w:noWrap/>
            <w:vAlign w:val="center"/>
          </w:tcPr>
          <w:p w14:paraId="06BCDB9A">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16415048">
            <w:pPr>
              <w:widowControl/>
              <w:adjustRightInd w:val="0"/>
              <w:snapToGrid w:val="0"/>
              <w:jc w:val="center"/>
              <w:textAlignment w:val="center"/>
              <w:rPr>
                <w:color w:val="auto"/>
                <w:sz w:val="18"/>
                <w:szCs w:val="18"/>
              </w:rPr>
            </w:pPr>
            <w:r>
              <w:rPr>
                <w:color w:val="auto"/>
                <w:kern w:val="0"/>
                <w:sz w:val="18"/>
                <w:szCs w:val="18"/>
                <w:lang w:bidi="ar"/>
              </w:rPr>
              <w:t>15.67</w:t>
            </w:r>
          </w:p>
        </w:tc>
        <w:tc>
          <w:tcPr>
            <w:tcW w:w="728" w:type="dxa"/>
            <w:shd w:val="clear" w:color="auto" w:fill="auto"/>
            <w:noWrap/>
            <w:vAlign w:val="center"/>
          </w:tcPr>
          <w:p w14:paraId="62B18982">
            <w:pPr>
              <w:widowControl/>
              <w:adjustRightInd w:val="0"/>
              <w:snapToGrid w:val="0"/>
              <w:jc w:val="center"/>
              <w:textAlignment w:val="center"/>
              <w:rPr>
                <w:color w:val="auto"/>
                <w:sz w:val="18"/>
                <w:szCs w:val="18"/>
              </w:rPr>
            </w:pPr>
            <w:r>
              <w:rPr>
                <w:color w:val="auto"/>
                <w:kern w:val="0"/>
                <w:sz w:val="18"/>
                <w:szCs w:val="18"/>
                <w:lang w:bidi="ar"/>
              </w:rPr>
              <w:t>12.24</w:t>
            </w:r>
          </w:p>
        </w:tc>
        <w:tc>
          <w:tcPr>
            <w:tcW w:w="728" w:type="dxa"/>
            <w:shd w:val="clear" w:color="auto" w:fill="FFFFFF"/>
            <w:noWrap/>
            <w:vAlign w:val="center"/>
          </w:tcPr>
          <w:p w14:paraId="4FF538A3">
            <w:pPr>
              <w:widowControl/>
              <w:adjustRightInd w:val="0"/>
              <w:snapToGrid w:val="0"/>
              <w:jc w:val="center"/>
              <w:textAlignment w:val="center"/>
              <w:rPr>
                <w:color w:val="auto"/>
                <w:sz w:val="18"/>
                <w:szCs w:val="18"/>
              </w:rPr>
            </w:pPr>
            <w:r>
              <w:rPr>
                <w:color w:val="auto"/>
                <w:kern w:val="0"/>
                <w:sz w:val="18"/>
                <w:szCs w:val="18"/>
                <w:lang w:bidi="ar"/>
              </w:rPr>
              <w:t>2.96</w:t>
            </w:r>
          </w:p>
        </w:tc>
        <w:tc>
          <w:tcPr>
            <w:tcW w:w="728" w:type="dxa"/>
            <w:shd w:val="clear" w:color="auto" w:fill="auto"/>
            <w:noWrap/>
            <w:vAlign w:val="center"/>
          </w:tcPr>
          <w:p w14:paraId="0D8A9B16">
            <w:pPr>
              <w:widowControl/>
              <w:adjustRightInd w:val="0"/>
              <w:snapToGrid w:val="0"/>
              <w:jc w:val="center"/>
              <w:textAlignment w:val="center"/>
              <w:rPr>
                <w:color w:val="auto"/>
                <w:sz w:val="18"/>
                <w:szCs w:val="18"/>
              </w:rPr>
            </w:pPr>
            <w:r>
              <w:rPr>
                <w:color w:val="auto"/>
                <w:kern w:val="0"/>
                <w:sz w:val="18"/>
                <w:szCs w:val="18"/>
                <w:lang w:bidi="ar"/>
              </w:rPr>
              <w:t>20.53</w:t>
            </w:r>
          </w:p>
        </w:tc>
        <w:tc>
          <w:tcPr>
            <w:tcW w:w="855" w:type="dxa"/>
            <w:shd w:val="clear" w:color="auto" w:fill="FFFFFF"/>
            <w:noWrap/>
            <w:vAlign w:val="center"/>
          </w:tcPr>
          <w:p w14:paraId="196C549D">
            <w:pPr>
              <w:widowControl/>
              <w:adjustRightInd w:val="0"/>
              <w:snapToGrid w:val="0"/>
              <w:jc w:val="center"/>
              <w:textAlignment w:val="center"/>
              <w:rPr>
                <w:color w:val="auto"/>
                <w:sz w:val="18"/>
                <w:szCs w:val="18"/>
              </w:rPr>
            </w:pPr>
            <w:r>
              <w:rPr>
                <w:color w:val="auto"/>
                <w:kern w:val="0"/>
                <w:sz w:val="18"/>
                <w:szCs w:val="18"/>
                <w:lang w:bidi="ar"/>
              </w:rPr>
              <w:t>62.86</w:t>
            </w:r>
          </w:p>
        </w:tc>
        <w:tc>
          <w:tcPr>
            <w:tcW w:w="1116" w:type="dxa"/>
            <w:shd w:val="clear" w:color="auto" w:fill="FFFFFF"/>
            <w:noWrap/>
            <w:vAlign w:val="center"/>
          </w:tcPr>
          <w:p w14:paraId="6BF6D8A9">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7E2AC20">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DF234A5">
            <w:pPr>
              <w:widowControl/>
              <w:adjustRightInd w:val="0"/>
              <w:snapToGrid w:val="0"/>
              <w:jc w:val="center"/>
              <w:textAlignment w:val="center"/>
              <w:rPr>
                <w:color w:val="auto"/>
                <w:sz w:val="18"/>
                <w:szCs w:val="18"/>
              </w:rPr>
            </w:pPr>
            <w:r>
              <w:rPr>
                <w:color w:val="auto"/>
                <w:kern w:val="0"/>
                <w:sz w:val="18"/>
                <w:szCs w:val="18"/>
                <w:lang w:bidi="ar"/>
              </w:rPr>
              <w:t>36.86</w:t>
            </w:r>
          </w:p>
        </w:tc>
        <w:tc>
          <w:tcPr>
            <w:tcW w:w="1011" w:type="dxa"/>
            <w:shd w:val="clear" w:color="auto" w:fill="FFFFFF"/>
            <w:noWrap/>
            <w:vAlign w:val="center"/>
          </w:tcPr>
          <w:p w14:paraId="5FDA82DE">
            <w:pPr>
              <w:widowControl/>
              <w:adjustRightInd w:val="0"/>
              <w:snapToGrid w:val="0"/>
              <w:jc w:val="center"/>
              <w:textAlignment w:val="center"/>
              <w:rPr>
                <w:color w:val="auto"/>
                <w:sz w:val="18"/>
                <w:szCs w:val="18"/>
              </w:rPr>
            </w:pPr>
            <w:r>
              <w:rPr>
                <w:color w:val="auto"/>
                <w:kern w:val="0"/>
                <w:sz w:val="18"/>
                <w:szCs w:val="18"/>
                <w:lang w:bidi="ar"/>
              </w:rPr>
              <w:t>1</w:t>
            </w:r>
          </w:p>
        </w:tc>
      </w:tr>
      <w:tr w14:paraId="182BC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9B878B9">
            <w:pPr>
              <w:widowControl/>
              <w:adjustRightInd w:val="0"/>
              <w:snapToGrid w:val="0"/>
              <w:jc w:val="center"/>
              <w:textAlignment w:val="center"/>
              <w:rPr>
                <w:color w:val="auto"/>
                <w:sz w:val="18"/>
                <w:szCs w:val="18"/>
              </w:rPr>
            </w:pPr>
            <w:r>
              <w:rPr>
                <w:color w:val="auto"/>
                <w:kern w:val="0"/>
                <w:sz w:val="18"/>
                <w:szCs w:val="18"/>
                <w:lang w:bidi="ar"/>
              </w:rPr>
              <w:t>烫平机1</w:t>
            </w:r>
          </w:p>
        </w:tc>
        <w:tc>
          <w:tcPr>
            <w:tcW w:w="539" w:type="dxa"/>
            <w:vMerge w:val="continue"/>
            <w:shd w:val="clear" w:color="auto" w:fill="FFFFFF"/>
            <w:noWrap/>
            <w:vAlign w:val="center"/>
          </w:tcPr>
          <w:p w14:paraId="64FC3084">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39DE1397">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17A26751">
            <w:pPr>
              <w:adjustRightInd w:val="0"/>
              <w:snapToGrid w:val="0"/>
              <w:jc w:val="center"/>
              <w:rPr>
                <w:color w:val="auto"/>
                <w:sz w:val="18"/>
                <w:szCs w:val="18"/>
              </w:rPr>
            </w:pPr>
          </w:p>
        </w:tc>
        <w:tc>
          <w:tcPr>
            <w:tcW w:w="875" w:type="dxa"/>
            <w:shd w:val="clear" w:color="auto" w:fill="FFFFFF"/>
            <w:noWrap/>
            <w:vAlign w:val="center"/>
          </w:tcPr>
          <w:p w14:paraId="4C6251A3">
            <w:pPr>
              <w:widowControl/>
              <w:adjustRightInd w:val="0"/>
              <w:snapToGrid w:val="0"/>
              <w:jc w:val="center"/>
              <w:textAlignment w:val="center"/>
              <w:rPr>
                <w:color w:val="auto"/>
                <w:sz w:val="18"/>
                <w:szCs w:val="18"/>
              </w:rPr>
            </w:pPr>
            <w:r>
              <w:rPr>
                <w:color w:val="auto"/>
                <w:kern w:val="0"/>
                <w:sz w:val="18"/>
                <w:szCs w:val="18"/>
                <w:lang w:bidi="ar"/>
              </w:rPr>
              <w:t>98.3</w:t>
            </w:r>
          </w:p>
        </w:tc>
        <w:tc>
          <w:tcPr>
            <w:tcW w:w="802" w:type="dxa"/>
            <w:shd w:val="clear" w:color="auto" w:fill="FFFFFF"/>
            <w:noWrap/>
            <w:vAlign w:val="center"/>
          </w:tcPr>
          <w:p w14:paraId="72E2B16E">
            <w:pPr>
              <w:widowControl/>
              <w:adjustRightInd w:val="0"/>
              <w:snapToGrid w:val="0"/>
              <w:jc w:val="center"/>
              <w:textAlignment w:val="center"/>
              <w:rPr>
                <w:color w:val="auto"/>
                <w:sz w:val="18"/>
                <w:szCs w:val="18"/>
              </w:rPr>
            </w:pPr>
            <w:r>
              <w:rPr>
                <w:color w:val="auto"/>
                <w:kern w:val="0"/>
                <w:sz w:val="18"/>
                <w:szCs w:val="18"/>
                <w:lang w:bidi="ar"/>
              </w:rPr>
              <w:t>123.61</w:t>
            </w:r>
          </w:p>
        </w:tc>
        <w:tc>
          <w:tcPr>
            <w:tcW w:w="507" w:type="dxa"/>
            <w:shd w:val="clear" w:color="auto" w:fill="FFFFFF"/>
            <w:noWrap/>
            <w:vAlign w:val="center"/>
          </w:tcPr>
          <w:p w14:paraId="7DBDB348">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7193C7C4">
            <w:pPr>
              <w:widowControl/>
              <w:adjustRightInd w:val="0"/>
              <w:snapToGrid w:val="0"/>
              <w:jc w:val="center"/>
              <w:textAlignment w:val="center"/>
              <w:rPr>
                <w:color w:val="auto"/>
                <w:sz w:val="18"/>
                <w:szCs w:val="18"/>
              </w:rPr>
            </w:pPr>
            <w:r>
              <w:rPr>
                <w:color w:val="auto"/>
                <w:kern w:val="0"/>
                <w:sz w:val="18"/>
                <w:szCs w:val="18"/>
                <w:lang w:bidi="ar"/>
              </w:rPr>
              <w:t>4.95</w:t>
            </w:r>
          </w:p>
        </w:tc>
        <w:tc>
          <w:tcPr>
            <w:tcW w:w="728" w:type="dxa"/>
            <w:shd w:val="clear" w:color="auto" w:fill="auto"/>
            <w:noWrap/>
            <w:vAlign w:val="center"/>
          </w:tcPr>
          <w:p w14:paraId="4D6398B9">
            <w:pPr>
              <w:widowControl/>
              <w:adjustRightInd w:val="0"/>
              <w:snapToGrid w:val="0"/>
              <w:jc w:val="center"/>
              <w:textAlignment w:val="center"/>
              <w:rPr>
                <w:color w:val="auto"/>
                <w:sz w:val="18"/>
                <w:szCs w:val="18"/>
              </w:rPr>
            </w:pPr>
            <w:r>
              <w:rPr>
                <w:color w:val="auto"/>
                <w:kern w:val="0"/>
                <w:sz w:val="18"/>
                <w:szCs w:val="18"/>
                <w:lang w:bidi="ar"/>
              </w:rPr>
              <w:t>4.39</w:t>
            </w:r>
          </w:p>
        </w:tc>
        <w:tc>
          <w:tcPr>
            <w:tcW w:w="728" w:type="dxa"/>
            <w:shd w:val="clear" w:color="auto" w:fill="FFFFFF"/>
            <w:noWrap/>
            <w:vAlign w:val="center"/>
          </w:tcPr>
          <w:p w14:paraId="00E6C80E">
            <w:pPr>
              <w:widowControl/>
              <w:adjustRightInd w:val="0"/>
              <w:snapToGrid w:val="0"/>
              <w:jc w:val="center"/>
              <w:textAlignment w:val="center"/>
              <w:rPr>
                <w:color w:val="auto"/>
                <w:sz w:val="18"/>
                <w:szCs w:val="18"/>
              </w:rPr>
            </w:pPr>
            <w:r>
              <w:rPr>
                <w:color w:val="auto"/>
                <w:kern w:val="0"/>
                <w:sz w:val="18"/>
                <w:szCs w:val="18"/>
                <w:lang w:bidi="ar"/>
              </w:rPr>
              <w:t>21.29</w:t>
            </w:r>
          </w:p>
        </w:tc>
        <w:tc>
          <w:tcPr>
            <w:tcW w:w="728" w:type="dxa"/>
            <w:shd w:val="clear" w:color="auto" w:fill="auto"/>
            <w:noWrap/>
            <w:vAlign w:val="center"/>
          </w:tcPr>
          <w:p w14:paraId="30956235">
            <w:pPr>
              <w:widowControl/>
              <w:adjustRightInd w:val="0"/>
              <w:snapToGrid w:val="0"/>
              <w:jc w:val="center"/>
              <w:textAlignment w:val="center"/>
              <w:rPr>
                <w:color w:val="auto"/>
                <w:sz w:val="18"/>
                <w:szCs w:val="18"/>
              </w:rPr>
            </w:pPr>
            <w:r>
              <w:rPr>
                <w:color w:val="auto"/>
                <w:kern w:val="0"/>
                <w:sz w:val="18"/>
                <w:szCs w:val="18"/>
                <w:lang w:bidi="ar"/>
              </w:rPr>
              <w:t>33.04</w:t>
            </w:r>
          </w:p>
        </w:tc>
        <w:tc>
          <w:tcPr>
            <w:tcW w:w="855" w:type="dxa"/>
            <w:shd w:val="clear" w:color="auto" w:fill="FFFFFF"/>
            <w:noWrap/>
            <w:vAlign w:val="center"/>
          </w:tcPr>
          <w:p w14:paraId="6DE549AB">
            <w:pPr>
              <w:widowControl/>
              <w:adjustRightInd w:val="0"/>
              <w:snapToGrid w:val="0"/>
              <w:jc w:val="center"/>
              <w:textAlignment w:val="center"/>
              <w:rPr>
                <w:color w:val="auto"/>
                <w:sz w:val="18"/>
                <w:szCs w:val="18"/>
              </w:rPr>
            </w:pPr>
            <w:r>
              <w:rPr>
                <w:color w:val="auto"/>
                <w:kern w:val="0"/>
                <w:sz w:val="18"/>
                <w:szCs w:val="18"/>
                <w:lang w:bidi="ar"/>
              </w:rPr>
              <w:t>60.32</w:t>
            </w:r>
          </w:p>
        </w:tc>
        <w:tc>
          <w:tcPr>
            <w:tcW w:w="1116" w:type="dxa"/>
            <w:shd w:val="clear" w:color="auto" w:fill="FFFFFF"/>
            <w:noWrap/>
            <w:vAlign w:val="center"/>
          </w:tcPr>
          <w:p w14:paraId="1048163B">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38897CEC">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D8A3903">
            <w:pPr>
              <w:widowControl/>
              <w:adjustRightInd w:val="0"/>
              <w:snapToGrid w:val="0"/>
              <w:jc w:val="center"/>
              <w:textAlignment w:val="center"/>
              <w:rPr>
                <w:color w:val="auto"/>
                <w:sz w:val="18"/>
                <w:szCs w:val="18"/>
              </w:rPr>
            </w:pPr>
            <w:r>
              <w:rPr>
                <w:color w:val="auto"/>
                <w:kern w:val="0"/>
                <w:sz w:val="18"/>
                <w:szCs w:val="18"/>
                <w:lang w:bidi="ar"/>
              </w:rPr>
              <w:t>34.32</w:t>
            </w:r>
          </w:p>
        </w:tc>
        <w:tc>
          <w:tcPr>
            <w:tcW w:w="1011" w:type="dxa"/>
            <w:shd w:val="clear" w:color="auto" w:fill="FFFFFF"/>
            <w:noWrap/>
            <w:vAlign w:val="center"/>
          </w:tcPr>
          <w:p w14:paraId="0AB9E250">
            <w:pPr>
              <w:widowControl/>
              <w:adjustRightInd w:val="0"/>
              <w:snapToGrid w:val="0"/>
              <w:jc w:val="center"/>
              <w:textAlignment w:val="center"/>
              <w:rPr>
                <w:color w:val="auto"/>
                <w:sz w:val="18"/>
                <w:szCs w:val="18"/>
              </w:rPr>
            </w:pPr>
            <w:r>
              <w:rPr>
                <w:color w:val="auto"/>
                <w:kern w:val="0"/>
                <w:sz w:val="18"/>
                <w:szCs w:val="18"/>
                <w:lang w:bidi="ar"/>
              </w:rPr>
              <w:t>1</w:t>
            </w:r>
          </w:p>
        </w:tc>
      </w:tr>
      <w:tr w14:paraId="4C139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3CC38E1">
            <w:pPr>
              <w:widowControl/>
              <w:adjustRightInd w:val="0"/>
              <w:snapToGrid w:val="0"/>
              <w:jc w:val="center"/>
              <w:textAlignment w:val="center"/>
              <w:rPr>
                <w:color w:val="auto"/>
                <w:sz w:val="18"/>
                <w:szCs w:val="18"/>
              </w:rPr>
            </w:pPr>
            <w:r>
              <w:rPr>
                <w:color w:val="auto"/>
                <w:kern w:val="0"/>
                <w:sz w:val="18"/>
                <w:szCs w:val="18"/>
                <w:lang w:bidi="ar"/>
              </w:rPr>
              <w:t>烫平机2</w:t>
            </w:r>
          </w:p>
        </w:tc>
        <w:tc>
          <w:tcPr>
            <w:tcW w:w="539" w:type="dxa"/>
            <w:vMerge w:val="continue"/>
            <w:shd w:val="clear" w:color="auto" w:fill="FFFFFF"/>
            <w:noWrap/>
            <w:vAlign w:val="center"/>
          </w:tcPr>
          <w:p w14:paraId="2CAEFFAF">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50939E49">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4A2C3BD3">
            <w:pPr>
              <w:adjustRightInd w:val="0"/>
              <w:snapToGrid w:val="0"/>
              <w:jc w:val="center"/>
              <w:rPr>
                <w:color w:val="auto"/>
                <w:sz w:val="18"/>
                <w:szCs w:val="18"/>
              </w:rPr>
            </w:pPr>
          </w:p>
        </w:tc>
        <w:tc>
          <w:tcPr>
            <w:tcW w:w="875" w:type="dxa"/>
            <w:shd w:val="clear" w:color="auto" w:fill="FFFFFF"/>
            <w:noWrap/>
            <w:vAlign w:val="center"/>
          </w:tcPr>
          <w:p w14:paraId="1DFFD74F">
            <w:pPr>
              <w:widowControl/>
              <w:adjustRightInd w:val="0"/>
              <w:snapToGrid w:val="0"/>
              <w:jc w:val="center"/>
              <w:textAlignment w:val="center"/>
              <w:rPr>
                <w:color w:val="auto"/>
                <w:sz w:val="18"/>
                <w:szCs w:val="18"/>
              </w:rPr>
            </w:pPr>
            <w:r>
              <w:rPr>
                <w:color w:val="auto"/>
                <w:kern w:val="0"/>
                <w:sz w:val="18"/>
                <w:szCs w:val="18"/>
                <w:lang w:bidi="ar"/>
              </w:rPr>
              <w:t>100.5</w:t>
            </w:r>
          </w:p>
        </w:tc>
        <w:tc>
          <w:tcPr>
            <w:tcW w:w="802" w:type="dxa"/>
            <w:shd w:val="clear" w:color="auto" w:fill="FFFFFF"/>
            <w:noWrap/>
            <w:vAlign w:val="center"/>
          </w:tcPr>
          <w:p w14:paraId="7AF3BA60">
            <w:pPr>
              <w:widowControl/>
              <w:adjustRightInd w:val="0"/>
              <w:snapToGrid w:val="0"/>
              <w:jc w:val="center"/>
              <w:textAlignment w:val="center"/>
              <w:rPr>
                <w:color w:val="auto"/>
                <w:sz w:val="18"/>
                <w:szCs w:val="18"/>
              </w:rPr>
            </w:pPr>
            <w:r>
              <w:rPr>
                <w:color w:val="auto"/>
                <w:kern w:val="0"/>
                <w:sz w:val="18"/>
                <w:szCs w:val="18"/>
                <w:lang w:bidi="ar"/>
              </w:rPr>
              <w:t>119.66</w:t>
            </w:r>
          </w:p>
        </w:tc>
        <w:tc>
          <w:tcPr>
            <w:tcW w:w="507" w:type="dxa"/>
            <w:shd w:val="clear" w:color="auto" w:fill="FFFFFF"/>
            <w:noWrap/>
            <w:vAlign w:val="center"/>
          </w:tcPr>
          <w:p w14:paraId="7341FC6B">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457D8557">
            <w:pPr>
              <w:widowControl/>
              <w:adjustRightInd w:val="0"/>
              <w:snapToGrid w:val="0"/>
              <w:jc w:val="center"/>
              <w:textAlignment w:val="center"/>
              <w:rPr>
                <w:color w:val="auto"/>
                <w:sz w:val="18"/>
                <w:szCs w:val="18"/>
              </w:rPr>
            </w:pPr>
            <w:r>
              <w:rPr>
                <w:color w:val="auto"/>
                <w:kern w:val="0"/>
                <w:sz w:val="18"/>
                <w:szCs w:val="18"/>
                <w:lang w:bidi="ar"/>
              </w:rPr>
              <w:t>4.71</w:t>
            </w:r>
          </w:p>
        </w:tc>
        <w:tc>
          <w:tcPr>
            <w:tcW w:w="728" w:type="dxa"/>
            <w:shd w:val="clear" w:color="auto" w:fill="auto"/>
            <w:noWrap/>
            <w:vAlign w:val="center"/>
          </w:tcPr>
          <w:p w14:paraId="7B7126CE">
            <w:pPr>
              <w:widowControl/>
              <w:adjustRightInd w:val="0"/>
              <w:snapToGrid w:val="0"/>
              <w:jc w:val="center"/>
              <w:textAlignment w:val="center"/>
              <w:rPr>
                <w:color w:val="auto"/>
                <w:sz w:val="18"/>
                <w:szCs w:val="18"/>
              </w:rPr>
            </w:pPr>
            <w:r>
              <w:rPr>
                <w:color w:val="auto"/>
                <w:kern w:val="0"/>
                <w:sz w:val="18"/>
                <w:szCs w:val="18"/>
                <w:lang w:bidi="ar"/>
              </w:rPr>
              <w:t>8.91</w:t>
            </w:r>
          </w:p>
        </w:tc>
        <w:tc>
          <w:tcPr>
            <w:tcW w:w="728" w:type="dxa"/>
            <w:shd w:val="clear" w:color="auto" w:fill="FFFFFF"/>
            <w:noWrap/>
            <w:vAlign w:val="center"/>
          </w:tcPr>
          <w:p w14:paraId="3EEAA2A0">
            <w:pPr>
              <w:widowControl/>
              <w:adjustRightInd w:val="0"/>
              <w:snapToGrid w:val="0"/>
              <w:jc w:val="center"/>
              <w:textAlignment w:val="center"/>
              <w:rPr>
                <w:color w:val="auto"/>
                <w:sz w:val="18"/>
                <w:szCs w:val="18"/>
              </w:rPr>
            </w:pPr>
            <w:r>
              <w:rPr>
                <w:color w:val="auto"/>
                <w:kern w:val="0"/>
                <w:sz w:val="18"/>
                <w:szCs w:val="18"/>
                <w:lang w:bidi="ar"/>
              </w:rPr>
              <w:t>21.29</w:t>
            </w:r>
          </w:p>
        </w:tc>
        <w:tc>
          <w:tcPr>
            <w:tcW w:w="728" w:type="dxa"/>
            <w:shd w:val="clear" w:color="auto" w:fill="auto"/>
            <w:noWrap/>
            <w:vAlign w:val="center"/>
          </w:tcPr>
          <w:p w14:paraId="4A6D9C48">
            <w:pPr>
              <w:widowControl/>
              <w:adjustRightInd w:val="0"/>
              <w:snapToGrid w:val="0"/>
              <w:jc w:val="center"/>
              <w:textAlignment w:val="center"/>
              <w:rPr>
                <w:color w:val="auto"/>
                <w:sz w:val="18"/>
                <w:szCs w:val="18"/>
              </w:rPr>
            </w:pPr>
            <w:r>
              <w:rPr>
                <w:color w:val="auto"/>
                <w:kern w:val="0"/>
                <w:sz w:val="18"/>
                <w:szCs w:val="18"/>
                <w:lang w:bidi="ar"/>
              </w:rPr>
              <w:t>28.52</w:t>
            </w:r>
          </w:p>
        </w:tc>
        <w:tc>
          <w:tcPr>
            <w:tcW w:w="855" w:type="dxa"/>
            <w:shd w:val="clear" w:color="auto" w:fill="FFFFFF"/>
            <w:noWrap/>
            <w:vAlign w:val="center"/>
          </w:tcPr>
          <w:p w14:paraId="6A114CEC">
            <w:pPr>
              <w:widowControl/>
              <w:adjustRightInd w:val="0"/>
              <w:snapToGrid w:val="0"/>
              <w:jc w:val="center"/>
              <w:textAlignment w:val="center"/>
              <w:rPr>
                <w:color w:val="auto"/>
                <w:sz w:val="18"/>
                <w:szCs w:val="18"/>
              </w:rPr>
            </w:pPr>
            <w:r>
              <w:rPr>
                <w:color w:val="auto"/>
                <w:kern w:val="0"/>
                <w:sz w:val="18"/>
                <w:szCs w:val="18"/>
                <w:lang w:bidi="ar"/>
              </w:rPr>
              <w:t>60.33</w:t>
            </w:r>
          </w:p>
        </w:tc>
        <w:tc>
          <w:tcPr>
            <w:tcW w:w="1116" w:type="dxa"/>
            <w:shd w:val="clear" w:color="auto" w:fill="FFFFFF"/>
            <w:noWrap/>
            <w:vAlign w:val="center"/>
          </w:tcPr>
          <w:p w14:paraId="34C0E09D">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6675A992">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AF72B44">
            <w:pPr>
              <w:widowControl/>
              <w:adjustRightInd w:val="0"/>
              <w:snapToGrid w:val="0"/>
              <w:jc w:val="center"/>
              <w:textAlignment w:val="center"/>
              <w:rPr>
                <w:color w:val="auto"/>
                <w:sz w:val="18"/>
                <w:szCs w:val="18"/>
              </w:rPr>
            </w:pPr>
            <w:r>
              <w:rPr>
                <w:color w:val="auto"/>
                <w:kern w:val="0"/>
                <w:sz w:val="18"/>
                <w:szCs w:val="18"/>
                <w:lang w:bidi="ar"/>
              </w:rPr>
              <w:t>34.33</w:t>
            </w:r>
          </w:p>
        </w:tc>
        <w:tc>
          <w:tcPr>
            <w:tcW w:w="1011" w:type="dxa"/>
            <w:shd w:val="clear" w:color="auto" w:fill="FFFFFF"/>
            <w:noWrap/>
            <w:vAlign w:val="center"/>
          </w:tcPr>
          <w:p w14:paraId="0743B8C2">
            <w:pPr>
              <w:widowControl/>
              <w:adjustRightInd w:val="0"/>
              <w:snapToGrid w:val="0"/>
              <w:jc w:val="center"/>
              <w:textAlignment w:val="center"/>
              <w:rPr>
                <w:color w:val="auto"/>
                <w:sz w:val="18"/>
                <w:szCs w:val="18"/>
              </w:rPr>
            </w:pPr>
            <w:r>
              <w:rPr>
                <w:color w:val="auto"/>
                <w:kern w:val="0"/>
                <w:sz w:val="18"/>
                <w:szCs w:val="18"/>
                <w:lang w:bidi="ar"/>
              </w:rPr>
              <w:t>1</w:t>
            </w:r>
          </w:p>
        </w:tc>
      </w:tr>
      <w:tr w14:paraId="7A291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25AB41D1">
            <w:pPr>
              <w:widowControl/>
              <w:adjustRightInd w:val="0"/>
              <w:snapToGrid w:val="0"/>
              <w:jc w:val="center"/>
              <w:textAlignment w:val="center"/>
              <w:rPr>
                <w:color w:val="auto"/>
                <w:sz w:val="18"/>
                <w:szCs w:val="18"/>
              </w:rPr>
            </w:pPr>
            <w:r>
              <w:rPr>
                <w:color w:val="auto"/>
                <w:kern w:val="0"/>
                <w:sz w:val="18"/>
                <w:szCs w:val="18"/>
                <w:lang w:bidi="ar"/>
              </w:rPr>
              <w:t>烫平机3</w:t>
            </w:r>
          </w:p>
        </w:tc>
        <w:tc>
          <w:tcPr>
            <w:tcW w:w="539" w:type="dxa"/>
            <w:vMerge w:val="continue"/>
            <w:shd w:val="clear" w:color="auto" w:fill="FFFFFF"/>
            <w:noWrap/>
            <w:vAlign w:val="center"/>
          </w:tcPr>
          <w:p w14:paraId="3608BC7A">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08336E17">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38130CB2">
            <w:pPr>
              <w:adjustRightInd w:val="0"/>
              <w:snapToGrid w:val="0"/>
              <w:jc w:val="center"/>
              <w:rPr>
                <w:color w:val="auto"/>
                <w:sz w:val="18"/>
                <w:szCs w:val="18"/>
              </w:rPr>
            </w:pPr>
          </w:p>
        </w:tc>
        <w:tc>
          <w:tcPr>
            <w:tcW w:w="875" w:type="dxa"/>
            <w:shd w:val="clear" w:color="auto" w:fill="FFFFFF"/>
            <w:noWrap/>
            <w:vAlign w:val="center"/>
          </w:tcPr>
          <w:p w14:paraId="4DDAE62D">
            <w:pPr>
              <w:widowControl/>
              <w:adjustRightInd w:val="0"/>
              <w:snapToGrid w:val="0"/>
              <w:jc w:val="center"/>
              <w:textAlignment w:val="center"/>
              <w:rPr>
                <w:color w:val="auto"/>
                <w:sz w:val="18"/>
                <w:szCs w:val="18"/>
              </w:rPr>
            </w:pPr>
            <w:r>
              <w:rPr>
                <w:color w:val="auto"/>
                <w:kern w:val="0"/>
                <w:sz w:val="18"/>
                <w:szCs w:val="18"/>
                <w:lang w:bidi="ar"/>
              </w:rPr>
              <w:t>102.43</w:t>
            </w:r>
          </w:p>
        </w:tc>
        <w:tc>
          <w:tcPr>
            <w:tcW w:w="802" w:type="dxa"/>
            <w:shd w:val="clear" w:color="auto" w:fill="FFFFFF"/>
            <w:noWrap/>
            <w:vAlign w:val="center"/>
          </w:tcPr>
          <w:p w14:paraId="61BD1A32">
            <w:pPr>
              <w:widowControl/>
              <w:adjustRightInd w:val="0"/>
              <w:snapToGrid w:val="0"/>
              <w:jc w:val="center"/>
              <w:textAlignment w:val="center"/>
              <w:rPr>
                <w:color w:val="auto"/>
                <w:sz w:val="18"/>
                <w:szCs w:val="18"/>
              </w:rPr>
            </w:pPr>
            <w:r>
              <w:rPr>
                <w:color w:val="auto"/>
                <w:kern w:val="0"/>
                <w:sz w:val="18"/>
                <w:szCs w:val="18"/>
                <w:lang w:bidi="ar"/>
              </w:rPr>
              <w:t>115.9</w:t>
            </w:r>
          </w:p>
        </w:tc>
        <w:tc>
          <w:tcPr>
            <w:tcW w:w="507" w:type="dxa"/>
            <w:shd w:val="clear" w:color="auto" w:fill="FFFFFF"/>
            <w:noWrap/>
            <w:vAlign w:val="center"/>
          </w:tcPr>
          <w:p w14:paraId="2EA2E5CE">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3A56CA0E">
            <w:pPr>
              <w:widowControl/>
              <w:adjustRightInd w:val="0"/>
              <w:snapToGrid w:val="0"/>
              <w:jc w:val="center"/>
              <w:textAlignment w:val="center"/>
              <w:rPr>
                <w:color w:val="auto"/>
                <w:sz w:val="18"/>
                <w:szCs w:val="18"/>
              </w:rPr>
            </w:pPr>
            <w:r>
              <w:rPr>
                <w:color w:val="auto"/>
                <w:kern w:val="0"/>
                <w:sz w:val="18"/>
                <w:szCs w:val="18"/>
                <w:lang w:bidi="ar"/>
              </w:rPr>
              <w:t>4.34</w:t>
            </w:r>
          </w:p>
        </w:tc>
        <w:tc>
          <w:tcPr>
            <w:tcW w:w="728" w:type="dxa"/>
            <w:shd w:val="clear" w:color="auto" w:fill="auto"/>
            <w:noWrap/>
            <w:vAlign w:val="center"/>
          </w:tcPr>
          <w:p w14:paraId="2E925A19">
            <w:pPr>
              <w:widowControl/>
              <w:adjustRightInd w:val="0"/>
              <w:snapToGrid w:val="0"/>
              <w:jc w:val="center"/>
              <w:textAlignment w:val="center"/>
              <w:rPr>
                <w:color w:val="auto"/>
                <w:sz w:val="18"/>
                <w:szCs w:val="18"/>
              </w:rPr>
            </w:pPr>
            <w:r>
              <w:rPr>
                <w:color w:val="auto"/>
                <w:kern w:val="0"/>
                <w:sz w:val="18"/>
                <w:szCs w:val="18"/>
                <w:lang w:bidi="ar"/>
              </w:rPr>
              <w:t>13.13</w:t>
            </w:r>
          </w:p>
        </w:tc>
        <w:tc>
          <w:tcPr>
            <w:tcW w:w="728" w:type="dxa"/>
            <w:shd w:val="clear" w:color="auto" w:fill="FFFFFF"/>
            <w:noWrap/>
            <w:vAlign w:val="center"/>
          </w:tcPr>
          <w:p w14:paraId="3F9730D9">
            <w:pPr>
              <w:widowControl/>
              <w:adjustRightInd w:val="0"/>
              <w:snapToGrid w:val="0"/>
              <w:jc w:val="center"/>
              <w:textAlignment w:val="center"/>
              <w:rPr>
                <w:color w:val="auto"/>
                <w:sz w:val="18"/>
                <w:szCs w:val="18"/>
              </w:rPr>
            </w:pPr>
            <w:r>
              <w:rPr>
                <w:color w:val="auto"/>
                <w:kern w:val="0"/>
                <w:sz w:val="18"/>
                <w:szCs w:val="18"/>
                <w:lang w:bidi="ar"/>
              </w:rPr>
              <w:t>21.43</w:t>
            </w:r>
          </w:p>
        </w:tc>
        <w:tc>
          <w:tcPr>
            <w:tcW w:w="728" w:type="dxa"/>
            <w:shd w:val="clear" w:color="auto" w:fill="auto"/>
            <w:noWrap/>
            <w:vAlign w:val="center"/>
          </w:tcPr>
          <w:p w14:paraId="2639BE6A">
            <w:pPr>
              <w:widowControl/>
              <w:adjustRightInd w:val="0"/>
              <w:snapToGrid w:val="0"/>
              <w:jc w:val="center"/>
              <w:textAlignment w:val="center"/>
              <w:rPr>
                <w:color w:val="auto"/>
                <w:sz w:val="18"/>
                <w:szCs w:val="18"/>
              </w:rPr>
            </w:pPr>
            <w:r>
              <w:rPr>
                <w:color w:val="auto"/>
                <w:kern w:val="0"/>
                <w:sz w:val="18"/>
                <w:szCs w:val="18"/>
                <w:lang w:bidi="ar"/>
              </w:rPr>
              <w:t>24.29</w:t>
            </w:r>
          </w:p>
        </w:tc>
        <w:tc>
          <w:tcPr>
            <w:tcW w:w="855" w:type="dxa"/>
            <w:shd w:val="clear" w:color="auto" w:fill="FFFFFF"/>
            <w:noWrap/>
            <w:vAlign w:val="center"/>
          </w:tcPr>
          <w:p w14:paraId="104AAA39">
            <w:pPr>
              <w:widowControl/>
              <w:adjustRightInd w:val="0"/>
              <w:snapToGrid w:val="0"/>
              <w:jc w:val="center"/>
              <w:textAlignment w:val="center"/>
              <w:rPr>
                <w:color w:val="auto"/>
                <w:sz w:val="18"/>
                <w:szCs w:val="18"/>
              </w:rPr>
            </w:pPr>
            <w:r>
              <w:rPr>
                <w:color w:val="auto"/>
                <w:kern w:val="0"/>
                <w:sz w:val="18"/>
                <w:szCs w:val="18"/>
                <w:lang w:bidi="ar"/>
              </w:rPr>
              <w:t>60.36</w:t>
            </w:r>
          </w:p>
        </w:tc>
        <w:tc>
          <w:tcPr>
            <w:tcW w:w="1116" w:type="dxa"/>
            <w:shd w:val="clear" w:color="auto" w:fill="FFFFFF"/>
            <w:noWrap/>
            <w:vAlign w:val="center"/>
          </w:tcPr>
          <w:p w14:paraId="1B710BA6">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AD8A8F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4D6AE0C">
            <w:pPr>
              <w:widowControl/>
              <w:adjustRightInd w:val="0"/>
              <w:snapToGrid w:val="0"/>
              <w:jc w:val="center"/>
              <w:textAlignment w:val="center"/>
              <w:rPr>
                <w:color w:val="auto"/>
                <w:sz w:val="18"/>
                <w:szCs w:val="18"/>
              </w:rPr>
            </w:pPr>
            <w:r>
              <w:rPr>
                <w:color w:val="auto"/>
                <w:kern w:val="0"/>
                <w:sz w:val="18"/>
                <w:szCs w:val="18"/>
                <w:lang w:bidi="ar"/>
              </w:rPr>
              <w:t>34.36</w:t>
            </w:r>
          </w:p>
        </w:tc>
        <w:tc>
          <w:tcPr>
            <w:tcW w:w="1011" w:type="dxa"/>
            <w:shd w:val="clear" w:color="auto" w:fill="FFFFFF"/>
            <w:noWrap/>
            <w:vAlign w:val="center"/>
          </w:tcPr>
          <w:p w14:paraId="7ADFE38A">
            <w:pPr>
              <w:widowControl/>
              <w:adjustRightInd w:val="0"/>
              <w:snapToGrid w:val="0"/>
              <w:jc w:val="center"/>
              <w:textAlignment w:val="center"/>
              <w:rPr>
                <w:color w:val="auto"/>
                <w:sz w:val="18"/>
                <w:szCs w:val="18"/>
              </w:rPr>
            </w:pPr>
            <w:r>
              <w:rPr>
                <w:color w:val="auto"/>
                <w:kern w:val="0"/>
                <w:sz w:val="18"/>
                <w:szCs w:val="18"/>
                <w:lang w:bidi="ar"/>
              </w:rPr>
              <w:t>1</w:t>
            </w:r>
          </w:p>
        </w:tc>
      </w:tr>
      <w:tr w14:paraId="716C6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152BA134">
            <w:pPr>
              <w:widowControl/>
              <w:adjustRightInd w:val="0"/>
              <w:snapToGrid w:val="0"/>
              <w:jc w:val="center"/>
              <w:textAlignment w:val="center"/>
              <w:rPr>
                <w:color w:val="auto"/>
                <w:sz w:val="18"/>
                <w:szCs w:val="18"/>
              </w:rPr>
            </w:pPr>
            <w:r>
              <w:rPr>
                <w:color w:val="auto"/>
                <w:kern w:val="0"/>
                <w:sz w:val="18"/>
                <w:szCs w:val="18"/>
                <w:lang w:bidi="ar"/>
              </w:rPr>
              <w:t>槽烫烫平机</w:t>
            </w:r>
          </w:p>
        </w:tc>
        <w:tc>
          <w:tcPr>
            <w:tcW w:w="539" w:type="dxa"/>
            <w:vMerge w:val="continue"/>
            <w:shd w:val="clear" w:color="auto" w:fill="FFFFFF"/>
            <w:noWrap/>
            <w:vAlign w:val="center"/>
          </w:tcPr>
          <w:p w14:paraId="45D4148B">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7424EB5D">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47664AF1">
            <w:pPr>
              <w:adjustRightInd w:val="0"/>
              <w:snapToGrid w:val="0"/>
              <w:jc w:val="center"/>
              <w:rPr>
                <w:color w:val="auto"/>
                <w:sz w:val="18"/>
                <w:szCs w:val="18"/>
              </w:rPr>
            </w:pPr>
          </w:p>
        </w:tc>
        <w:tc>
          <w:tcPr>
            <w:tcW w:w="875" w:type="dxa"/>
            <w:shd w:val="clear" w:color="auto" w:fill="FFFFFF"/>
            <w:noWrap/>
            <w:vAlign w:val="center"/>
          </w:tcPr>
          <w:p w14:paraId="3A55D8A4">
            <w:pPr>
              <w:widowControl/>
              <w:adjustRightInd w:val="0"/>
              <w:snapToGrid w:val="0"/>
              <w:jc w:val="center"/>
              <w:textAlignment w:val="center"/>
              <w:rPr>
                <w:color w:val="auto"/>
                <w:sz w:val="18"/>
                <w:szCs w:val="18"/>
              </w:rPr>
            </w:pPr>
            <w:r>
              <w:rPr>
                <w:color w:val="auto"/>
                <w:kern w:val="0"/>
                <w:sz w:val="18"/>
                <w:szCs w:val="18"/>
                <w:lang w:bidi="ar"/>
              </w:rPr>
              <w:t>104.63</w:t>
            </w:r>
          </w:p>
        </w:tc>
        <w:tc>
          <w:tcPr>
            <w:tcW w:w="802" w:type="dxa"/>
            <w:shd w:val="clear" w:color="auto" w:fill="FFFFFF"/>
            <w:noWrap/>
            <w:vAlign w:val="center"/>
          </w:tcPr>
          <w:p w14:paraId="0A64E44C">
            <w:pPr>
              <w:widowControl/>
              <w:adjustRightInd w:val="0"/>
              <w:snapToGrid w:val="0"/>
              <w:jc w:val="center"/>
              <w:textAlignment w:val="center"/>
              <w:rPr>
                <w:color w:val="auto"/>
                <w:sz w:val="18"/>
                <w:szCs w:val="18"/>
              </w:rPr>
            </w:pPr>
            <w:r>
              <w:rPr>
                <w:color w:val="auto"/>
                <w:kern w:val="0"/>
                <w:sz w:val="18"/>
                <w:szCs w:val="18"/>
                <w:lang w:bidi="ar"/>
              </w:rPr>
              <w:t>112.22</w:t>
            </w:r>
          </w:p>
        </w:tc>
        <w:tc>
          <w:tcPr>
            <w:tcW w:w="507" w:type="dxa"/>
            <w:shd w:val="clear" w:color="auto" w:fill="FFFFFF"/>
            <w:noWrap/>
            <w:vAlign w:val="center"/>
          </w:tcPr>
          <w:p w14:paraId="5B96ED7B">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48217887">
            <w:pPr>
              <w:widowControl/>
              <w:adjustRightInd w:val="0"/>
              <w:snapToGrid w:val="0"/>
              <w:jc w:val="center"/>
              <w:textAlignment w:val="center"/>
              <w:rPr>
                <w:color w:val="auto"/>
                <w:sz w:val="18"/>
                <w:szCs w:val="18"/>
              </w:rPr>
            </w:pPr>
            <w:r>
              <w:rPr>
                <w:color w:val="auto"/>
                <w:kern w:val="0"/>
                <w:sz w:val="18"/>
                <w:szCs w:val="18"/>
                <w:lang w:bidi="ar"/>
              </w:rPr>
              <w:t>4.24</w:t>
            </w:r>
          </w:p>
        </w:tc>
        <w:tc>
          <w:tcPr>
            <w:tcW w:w="728" w:type="dxa"/>
            <w:shd w:val="clear" w:color="auto" w:fill="auto"/>
            <w:noWrap/>
            <w:vAlign w:val="center"/>
          </w:tcPr>
          <w:p w14:paraId="47199BA6">
            <w:pPr>
              <w:widowControl/>
              <w:adjustRightInd w:val="0"/>
              <w:snapToGrid w:val="0"/>
              <w:jc w:val="center"/>
              <w:textAlignment w:val="center"/>
              <w:rPr>
                <w:color w:val="auto"/>
                <w:sz w:val="18"/>
                <w:szCs w:val="18"/>
              </w:rPr>
            </w:pPr>
            <w:r>
              <w:rPr>
                <w:color w:val="auto"/>
                <w:kern w:val="0"/>
                <w:sz w:val="18"/>
                <w:szCs w:val="18"/>
                <w:lang w:bidi="ar"/>
              </w:rPr>
              <w:t>17.42</w:t>
            </w:r>
          </w:p>
        </w:tc>
        <w:tc>
          <w:tcPr>
            <w:tcW w:w="728" w:type="dxa"/>
            <w:shd w:val="clear" w:color="auto" w:fill="FFFFFF"/>
            <w:noWrap/>
            <w:vAlign w:val="center"/>
          </w:tcPr>
          <w:p w14:paraId="3C750985">
            <w:pPr>
              <w:widowControl/>
              <w:adjustRightInd w:val="0"/>
              <w:snapToGrid w:val="0"/>
              <w:jc w:val="center"/>
              <w:textAlignment w:val="center"/>
              <w:rPr>
                <w:color w:val="auto"/>
                <w:sz w:val="18"/>
                <w:szCs w:val="18"/>
              </w:rPr>
            </w:pPr>
            <w:r>
              <w:rPr>
                <w:color w:val="auto"/>
                <w:kern w:val="0"/>
                <w:sz w:val="18"/>
                <w:szCs w:val="18"/>
                <w:lang w:bidi="ar"/>
              </w:rPr>
              <w:t>21.30</w:t>
            </w:r>
          </w:p>
        </w:tc>
        <w:tc>
          <w:tcPr>
            <w:tcW w:w="728" w:type="dxa"/>
            <w:shd w:val="clear" w:color="auto" w:fill="auto"/>
            <w:noWrap/>
            <w:vAlign w:val="center"/>
          </w:tcPr>
          <w:p w14:paraId="70FB0177">
            <w:pPr>
              <w:widowControl/>
              <w:adjustRightInd w:val="0"/>
              <w:snapToGrid w:val="0"/>
              <w:jc w:val="center"/>
              <w:textAlignment w:val="center"/>
              <w:rPr>
                <w:color w:val="auto"/>
                <w:sz w:val="18"/>
                <w:szCs w:val="18"/>
              </w:rPr>
            </w:pPr>
            <w:r>
              <w:rPr>
                <w:color w:val="auto"/>
                <w:kern w:val="0"/>
                <w:sz w:val="18"/>
                <w:szCs w:val="18"/>
                <w:lang w:bidi="ar"/>
              </w:rPr>
              <w:t>20.01</w:t>
            </w:r>
          </w:p>
        </w:tc>
        <w:tc>
          <w:tcPr>
            <w:tcW w:w="855" w:type="dxa"/>
            <w:shd w:val="clear" w:color="auto" w:fill="FFFFFF"/>
            <w:noWrap/>
            <w:vAlign w:val="center"/>
          </w:tcPr>
          <w:p w14:paraId="68741D60">
            <w:pPr>
              <w:widowControl/>
              <w:adjustRightInd w:val="0"/>
              <w:snapToGrid w:val="0"/>
              <w:jc w:val="center"/>
              <w:textAlignment w:val="center"/>
              <w:rPr>
                <w:color w:val="auto"/>
                <w:sz w:val="18"/>
                <w:szCs w:val="18"/>
              </w:rPr>
            </w:pPr>
            <w:r>
              <w:rPr>
                <w:color w:val="auto"/>
                <w:kern w:val="0"/>
                <w:sz w:val="18"/>
                <w:szCs w:val="18"/>
                <w:lang w:bidi="ar"/>
              </w:rPr>
              <w:t>60.37</w:t>
            </w:r>
          </w:p>
        </w:tc>
        <w:tc>
          <w:tcPr>
            <w:tcW w:w="1116" w:type="dxa"/>
            <w:shd w:val="clear" w:color="auto" w:fill="FFFFFF"/>
            <w:noWrap/>
            <w:vAlign w:val="center"/>
          </w:tcPr>
          <w:p w14:paraId="4997E27C">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62D89D7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2B1EBA93">
            <w:pPr>
              <w:widowControl/>
              <w:adjustRightInd w:val="0"/>
              <w:snapToGrid w:val="0"/>
              <w:jc w:val="center"/>
              <w:textAlignment w:val="center"/>
              <w:rPr>
                <w:color w:val="auto"/>
                <w:sz w:val="18"/>
                <w:szCs w:val="18"/>
              </w:rPr>
            </w:pPr>
            <w:r>
              <w:rPr>
                <w:color w:val="auto"/>
                <w:kern w:val="0"/>
                <w:sz w:val="18"/>
                <w:szCs w:val="18"/>
                <w:lang w:bidi="ar"/>
              </w:rPr>
              <w:t>34.37</w:t>
            </w:r>
          </w:p>
        </w:tc>
        <w:tc>
          <w:tcPr>
            <w:tcW w:w="1011" w:type="dxa"/>
            <w:shd w:val="clear" w:color="auto" w:fill="FFFFFF"/>
            <w:noWrap/>
            <w:vAlign w:val="center"/>
          </w:tcPr>
          <w:p w14:paraId="54E85E09">
            <w:pPr>
              <w:widowControl/>
              <w:adjustRightInd w:val="0"/>
              <w:snapToGrid w:val="0"/>
              <w:jc w:val="center"/>
              <w:textAlignment w:val="center"/>
              <w:rPr>
                <w:color w:val="auto"/>
                <w:sz w:val="18"/>
                <w:szCs w:val="18"/>
              </w:rPr>
            </w:pPr>
            <w:r>
              <w:rPr>
                <w:color w:val="auto"/>
                <w:kern w:val="0"/>
                <w:sz w:val="18"/>
                <w:szCs w:val="18"/>
                <w:lang w:bidi="ar"/>
              </w:rPr>
              <w:t>1</w:t>
            </w:r>
          </w:p>
        </w:tc>
      </w:tr>
      <w:tr w14:paraId="106D0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6D6BF7E">
            <w:pPr>
              <w:widowControl/>
              <w:adjustRightInd w:val="0"/>
              <w:snapToGrid w:val="0"/>
              <w:jc w:val="center"/>
              <w:textAlignment w:val="center"/>
              <w:rPr>
                <w:color w:val="auto"/>
                <w:sz w:val="18"/>
                <w:szCs w:val="18"/>
              </w:rPr>
            </w:pPr>
            <w:r>
              <w:rPr>
                <w:color w:val="auto"/>
                <w:kern w:val="0"/>
                <w:sz w:val="18"/>
                <w:szCs w:val="18"/>
                <w:lang w:bidi="ar"/>
              </w:rPr>
              <w:t>毛巾卷包机</w:t>
            </w:r>
          </w:p>
        </w:tc>
        <w:tc>
          <w:tcPr>
            <w:tcW w:w="539" w:type="dxa"/>
            <w:vMerge w:val="continue"/>
            <w:shd w:val="clear" w:color="auto" w:fill="FFFFFF"/>
            <w:noWrap/>
            <w:vAlign w:val="center"/>
          </w:tcPr>
          <w:p w14:paraId="577D4294">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7B7000A1">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12D50AAA">
            <w:pPr>
              <w:adjustRightInd w:val="0"/>
              <w:snapToGrid w:val="0"/>
              <w:jc w:val="center"/>
              <w:rPr>
                <w:color w:val="auto"/>
                <w:sz w:val="18"/>
                <w:szCs w:val="18"/>
              </w:rPr>
            </w:pPr>
          </w:p>
        </w:tc>
        <w:tc>
          <w:tcPr>
            <w:tcW w:w="875" w:type="dxa"/>
            <w:shd w:val="clear" w:color="auto" w:fill="FFFFFF"/>
            <w:noWrap/>
            <w:vAlign w:val="center"/>
          </w:tcPr>
          <w:p w14:paraId="1206DE13">
            <w:pPr>
              <w:widowControl/>
              <w:adjustRightInd w:val="0"/>
              <w:snapToGrid w:val="0"/>
              <w:jc w:val="center"/>
              <w:textAlignment w:val="center"/>
              <w:rPr>
                <w:color w:val="auto"/>
                <w:sz w:val="18"/>
                <w:szCs w:val="18"/>
              </w:rPr>
            </w:pPr>
            <w:r>
              <w:rPr>
                <w:color w:val="auto"/>
                <w:kern w:val="0"/>
                <w:sz w:val="18"/>
                <w:szCs w:val="18"/>
                <w:lang w:bidi="ar"/>
              </w:rPr>
              <w:t>109.22</w:t>
            </w:r>
          </w:p>
        </w:tc>
        <w:tc>
          <w:tcPr>
            <w:tcW w:w="802" w:type="dxa"/>
            <w:shd w:val="clear" w:color="auto" w:fill="FFFFFF"/>
            <w:noWrap/>
            <w:vAlign w:val="center"/>
          </w:tcPr>
          <w:p w14:paraId="2C8228DD">
            <w:pPr>
              <w:widowControl/>
              <w:adjustRightInd w:val="0"/>
              <w:snapToGrid w:val="0"/>
              <w:jc w:val="center"/>
              <w:textAlignment w:val="center"/>
              <w:rPr>
                <w:color w:val="auto"/>
                <w:sz w:val="18"/>
                <w:szCs w:val="18"/>
              </w:rPr>
            </w:pPr>
            <w:r>
              <w:rPr>
                <w:color w:val="auto"/>
                <w:kern w:val="0"/>
                <w:sz w:val="18"/>
                <w:szCs w:val="18"/>
                <w:lang w:bidi="ar"/>
              </w:rPr>
              <w:t>108.92</w:t>
            </w:r>
          </w:p>
        </w:tc>
        <w:tc>
          <w:tcPr>
            <w:tcW w:w="507" w:type="dxa"/>
            <w:shd w:val="clear" w:color="auto" w:fill="FFFFFF"/>
            <w:noWrap/>
            <w:vAlign w:val="center"/>
          </w:tcPr>
          <w:p w14:paraId="18667556">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2DB02FEC">
            <w:pPr>
              <w:widowControl/>
              <w:adjustRightInd w:val="0"/>
              <w:snapToGrid w:val="0"/>
              <w:jc w:val="center"/>
              <w:textAlignment w:val="center"/>
              <w:rPr>
                <w:color w:val="auto"/>
                <w:sz w:val="18"/>
                <w:szCs w:val="18"/>
              </w:rPr>
            </w:pPr>
            <w:r>
              <w:rPr>
                <w:color w:val="auto"/>
                <w:kern w:val="0"/>
                <w:sz w:val="18"/>
                <w:szCs w:val="18"/>
                <w:lang w:bidi="ar"/>
              </w:rPr>
              <w:t>6.36</w:t>
            </w:r>
          </w:p>
        </w:tc>
        <w:tc>
          <w:tcPr>
            <w:tcW w:w="728" w:type="dxa"/>
            <w:shd w:val="clear" w:color="auto" w:fill="auto"/>
            <w:noWrap/>
            <w:vAlign w:val="center"/>
          </w:tcPr>
          <w:p w14:paraId="5B2B35BE">
            <w:pPr>
              <w:widowControl/>
              <w:adjustRightInd w:val="0"/>
              <w:snapToGrid w:val="0"/>
              <w:jc w:val="center"/>
              <w:textAlignment w:val="center"/>
              <w:rPr>
                <w:color w:val="auto"/>
                <w:sz w:val="18"/>
                <w:szCs w:val="18"/>
              </w:rPr>
            </w:pPr>
            <w:r>
              <w:rPr>
                <w:color w:val="auto"/>
                <w:kern w:val="0"/>
                <w:sz w:val="18"/>
                <w:szCs w:val="18"/>
                <w:lang w:bidi="ar"/>
              </w:rPr>
              <w:t>22.53</w:t>
            </w:r>
          </w:p>
        </w:tc>
        <w:tc>
          <w:tcPr>
            <w:tcW w:w="728" w:type="dxa"/>
            <w:shd w:val="clear" w:color="auto" w:fill="FFFFFF"/>
            <w:noWrap/>
            <w:vAlign w:val="center"/>
          </w:tcPr>
          <w:p w14:paraId="23B99F07">
            <w:pPr>
              <w:widowControl/>
              <w:adjustRightInd w:val="0"/>
              <w:snapToGrid w:val="0"/>
              <w:jc w:val="center"/>
              <w:textAlignment w:val="center"/>
              <w:rPr>
                <w:color w:val="auto"/>
                <w:sz w:val="18"/>
                <w:szCs w:val="18"/>
              </w:rPr>
            </w:pPr>
            <w:r>
              <w:rPr>
                <w:color w:val="auto"/>
                <w:kern w:val="0"/>
                <w:sz w:val="18"/>
                <w:szCs w:val="18"/>
                <w:lang w:bidi="ar"/>
              </w:rPr>
              <w:t>18.89</w:t>
            </w:r>
          </w:p>
        </w:tc>
        <w:tc>
          <w:tcPr>
            <w:tcW w:w="728" w:type="dxa"/>
            <w:shd w:val="clear" w:color="auto" w:fill="auto"/>
            <w:noWrap/>
            <w:vAlign w:val="center"/>
          </w:tcPr>
          <w:p w14:paraId="2316A3B1">
            <w:pPr>
              <w:widowControl/>
              <w:adjustRightInd w:val="0"/>
              <w:snapToGrid w:val="0"/>
              <w:jc w:val="center"/>
              <w:textAlignment w:val="center"/>
              <w:rPr>
                <w:color w:val="auto"/>
                <w:sz w:val="18"/>
                <w:szCs w:val="18"/>
              </w:rPr>
            </w:pPr>
            <w:r>
              <w:rPr>
                <w:color w:val="auto"/>
                <w:kern w:val="0"/>
                <w:sz w:val="18"/>
                <w:szCs w:val="18"/>
                <w:lang w:bidi="ar"/>
              </w:rPr>
              <w:t>14.89</w:t>
            </w:r>
          </w:p>
        </w:tc>
        <w:tc>
          <w:tcPr>
            <w:tcW w:w="855" w:type="dxa"/>
            <w:shd w:val="clear" w:color="auto" w:fill="FFFFFF"/>
            <w:noWrap/>
            <w:vAlign w:val="center"/>
          </w:tcPr>
          <w:p w14:paraId="3692701A">
            <w:pPr>
              <w:widowControl/>
              <w:adjustRightInd w:val="0"/>
              <w:snapToGrid w:val="0"/>
              <w:jc w:val="center"/>
              <w:textAlignment w:val="center"/>
              <w:rPr>
                <w:color w:val="auto"/>
                <w:sz w:val="18"/>
                <w:szCs w:val="18"/>
              </w:rPr>
            </w:pPr>
            <w:r>
              <w:rPr>
                <w:color w:val="auto"/>
                <w:kern w:val="0"/>
                <w:sz w:val="18"/>
                <w:szCs w:val="18"/>
                <w:lang w:bidi="ar"/>
              </w:rPr>
              <w:t>60.27</w:t>
            </w:r>
          </w:p>
        </w:tc>
        <w:tc>
          <w:tcPr>
            <w:tcW w:w="1116" w:type="dxa"/>
            <w:shd w:val="clear" w:color="auto" w:fill="FFFFFF"/>
            <w:noWrap/>
            <w:vAlign w:val="center"/>
          </w:tcPr>
          <w:p w14:paraId="2AE37521">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3114B1A">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797B15A9">
            <w:pPr>
              <w:widowControl/>
              <w:adjustRightInd w:val="0"/>
              <w:snapToGrid w:val="0"/>
              <w:jc w:val="center"/>
              <w:textAlignment w:val="center"/>
              <w:rPr>
                <w:color w:val="auto"/>
                <w:sz w:val="18"/>
                <w:szCs w:val="18"/>
              </w:rPr>
            </w:pPr>
            <w:r>
              <w:rPr>
                <w:color w:val="auto"/>
                <w:kern w:val="0"/>
                <w:sz w:val="18"/>
                <w:szCs w:val="18"/>
                <w:lang w:bidi="ar"/>
              </w:rPr>
              <w:t>34.27</w:t>
            </w:r>
          </w:p>
        </w:tc>
        <w:tc>
          <w:tcPr>
            <w:tcW w:w="1011" w:type="dxa"/>
            <w:shd w:val="clear" w:color="auto" w:fill="FFFFFF"/>
            <w:noWrap/>
            <w:vAlign w:val="center"/>
          </w:tcPr>
          <w:p w14:paraId="01FADFEC">
            <w:pPr>
              <w:widowControl/>
              <w:adjustRightInd w:val="0"/>
              <w:snapToGrid w:val="0"/>
              <w:jc w:val="center"/>
              <w:textAlignment w:val="center"/>
              <w:rPr>
                <w:color w:val="auto"/>
                <w:sz w:val="18"/>
                <w:szCs w:val="18"/>
              </w:rPr>
            </w:pPr>
            <w:r>
              <w:rPr>
                <w:color w:val="auto"/>
                <w:kern w:val="0"/>
                <w:sz w:val="18"/>
                <w:szCs w:val="18"/>
                <w:lang w:bidi="ar"/>
              </w:rPr>
              <w:t>1</w:t>
            </w:r>
          </w:p>
        </w:tc>
      </w:tr>
      <w:tr w14:paraId="2BF19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1B3440E">
            <w:pPr>
              <w:widowControl/>
              <w:adjustRightInd w:val="0"/>
              <w:snapToGrid w:val="0"/>
              <w:jc w:val="center"/>
              <w:textAlignment w:val="center"/>
              <w:rPr>
                <w:color w:val="auto"/>
                <w:sz w:val="18"/>
                <w:szCs w:val="18"/>
              </w:rPr>
            </w:pPr>
            <w:r>
              <w:rPr>
                <w:color w:val="auto"/>
                <w:kern w:val="0"/>
                <w:sz w:val="18"/>
                <w:szCs w:val="18"/>
                <w:lang w:bidi="ar"/>
              </w:rPr>
              <w:t>隧道式连续洗涤机1</w:t>
            </w:r>
          </w:p>
        </w:tc>
        <w:tc>
          <w:tcPr>
            <w:tcW w:w="539" w:type="dxa"/>
            <w:vMerge w:val="continue"/>
            <w:shd w:val="clear" w:color="auto" w:fill="FFFFFF"/>
            <w:noWrap/>
            <w:vAlign w:val="center"/>
          </w:tcPr>
          <w:p w14:paraId="15469385">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4F962544">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4E207446">
            <w:pPr>
              <w:adjustRightInd w:val="0"/>
              <w:snapToGrid w:val="0"/>
              <w:jc w:val="center"/>
              <w:rPr>
                <w:color w:val="auto"/>
                <w:sz w:val="18"/>
                <w:szCs w:val="18"/>
              </w:rPr>
            </w:pPr>
          </w:p>
        </w:tc>
        <w:tc>
          <w:tcPr>
            <w:tcW w:w="875" w:type="dxa"/>
            <w:shd w:val="clear" w:color="auto" w:fill="FFFFFF"/>
            <w:noWrap/>
            <w:vAlign w:val="center"/>
          </w:tcPr>
          <w:p w14:paraId="4E1981B6">
            <w:pPr>
              <w:widowControl/>
              <w:adjustRightInd w:val="0"/>
              <w:snapToGrid w:val="0"/>
              <w:jc w:val="center"/>
              <w:textAlignment w:val="center"/>
              <w:rPr>
                <w:color w:val="auto"/>
                <w:sz w:val="18"/>
                <w:szCs w:val="18"/>
              </w:rPr>
            </w:pPr>
            <w:r>
              <w:rPr>
                <w:color w:val="auto"/>
                <w:kern w:val="0"/>
                <w:sz w:val="18"/>
                <w:szCs w:val="18"/>
                <w:lang w:bidi="ar"/>
              </w:rPr>
              <w:t>110.05</w:t>
            </w:r>
          </w:p>
        </w:tc>
        <w:tc>
          <w:tcPr>
            <w:tcW w:w="802" w:type="dxa"/>
            <w:shd w:val="clear" w:color="auto" w:fill="FFFFFF"/>
            <w:noWrap/>
            <w:vAlign w:val="center"/>
          </w:tcPr>
          <w:p w14:paraId="43920C9E">
            <w:pPr>
              <w:widowControl/>
              <w:adjustRightInd w:val="0"/>
              <w:snapToGrid w:val="0"/>
              <w:jc w:val="center"/>
              <w:textAlignment w:val="center"/>
              <w:rPr>
                <w:color w:val="auto"/>
                <w:sz w:val="18"/>
                <w:szCs w:val="18"/>
              </w:rPr>
            </w:pPr>
            <w:r>
              <w:rPr>
                <w:color w:val="auto"/>
                <w:kern w:val="0"/>
                <w:sz w:val="18"/>
                <w:szCs w:val="18"/>
                <w:lang w:bidi="ar"/>
              </w:rPr>
              <w:t>121.13</w:t>
            </w:r>
          </w:p>
        </w:tc>
        <w:tc>
          <w:tcPr>
            <w:tcW w:w="507" w:type="dxa"/>
            <w:shd w:val="clear" w:color="auto" w:fill="FFFFFF"/>
            <w:noWrap/>
            <w:vAlign w:val="center"/>
          </w:tcPr>
          <w:p w14:paraId="54FAD9A5">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367C7D63">
            <w:pPr>
              <w:widowControl/>
              <w:adjustRightInd w:val="0"/>
              <w:snapToGrid w:val="0"/>
              <w:jc w:val="center"/>
              <w:textAlignment w:val="center"/>
              <w:rPr>
                <w:color w:val="auto"/>
                <w:sz w:val="18"/>
                <w:szCs w:val="18"/>
              </w:rPr>
            </w:pPr>
            <w:r>
              <w:rPr>
                <w:color w:val="auto"/>
                <w:kern w:val="0"/>
                <w:sz w:val="18"/>
                <w:szCs w:val="18"/>
                <w:lang w:bidi="ar"/>
              </w:rPr>
              <w:t>13.57</w:t>
            </w:r>
          </w:p>
        </w:tc>
        <w:tc>
          <w:tcPr>
            <w:tcW w:w="728" w:type="dxa"/>
            <w:shd w:val="clear" w:color="auto" w:fill="auto"/>
            <w:noWrap/>
            <w:vAlign w:val="center"/>
          </w:tcPr>
          <w:p w14:paraId="60E30EC3">
            <w:pPr>
              <w:widowControl/>
              <w:adjustRightInd w:val="0"/>
              <w:snapToGrid w:val="0"/>
              <w:jc w:val="center"/>
              <w:textAlignment w:val="center"/>
              <w:rPr>
                <w:color w:val="auto"/>
                <w:sz w:val="18"/>
                <w:szCs w:val="18"/>
              </w:rPr>
            </w:pPr>
            <w:r>
              <w:rPr>
                <w:color w:val="auto"/>
                <w:kern w:val="0"/>
                <w:sz w:val="18"/>
                <w:szCs w:val="18"/>
                <w:lang w:bidi="ar"/>
              </w:rPr>
              <w:t>12.24</w:t>
            </w:r>
          </w:p>
        </w:tc>
        <w:tc>
          <w:tcPr>
            <w:tcW w:w="728" w:type="dxa"/>
            <w:shd w:val="clear" w:color="auto" w:fill="FFFFFF"/>
            <w:noWrap/>
            <w:vAlign w:val="center"/>
          </w:tcPr>
          <w:p w14:paraId="01BA39D7">
            <w:pPr>
              <w:widowControl/>
              <w:adjustRightInd w:val="0"/>
              <w:snapToGrid w:val="0"/>
              <w:jc w:val="center"/>
              <w:textAlignment w:val="center"/>
              <w:rPr>
                <w:color w:val="auto"/>
                <w:sz w:val="18"/>
                <w:szCs w:val="18"/>
              </w:rPr>
            </w:pPr>
            <w:r>
              <w:rPr>
                <w:color w:val="auto"/>
                <w:kern w:val="0"/>
                <w:sz w:val="18"/>
                <w:szCs w:val="18"/>
                <w:lang w:bidi="ar"/>
              </w:rPr>
              <w:t>12.23</w:t>
            </w:r>
          </w:p>
        </w:tc>
        <w:tc>
          <w:tcPr>
            <w:tcW w:w="728" w:type="dxa"/>
            <w:shd w:val="clear" w:color="auto" w:fill="auto"/>
            <w:noWrap/>
            <w:vAlign w:val="center"/>
          </w:tcPr>
          <w:p w14:paraId="6049AF44">
            <w:pPr>
              <w:widowControl/>
              <w:adjustRightInd w:val="0"/>
              <w:snapToGrid w:val="0"/>
              <w:jc w:val="center"/>
              <w:textAlignment w:val="center"/>
              <w:rPr>
                <w:color w:val="auto"/>
                <w:sz w:val="18"/>
                <w:szCs w:val="18"/>
              </w:rPr>
            </w:pPr>
            <w:r>
              <w:rPr>
                <w:color w:val="auto"/>
                <w:kern w:val="0"/>
                <w:sz w:val="18"/>
                <w:szCs w:val="18"/>
                <w:lang w:bidi="ar"/>
              </w:rPr>
              <w:t>25.15</w:t>
            </w:r>
          </w:p>
        </w:tc>
        <w:tc>
          <w:tcPr>
            <w:tcW w:w="855" w:type="dxa"/>
            <w:shd w:val="clear" w:color="auto" w:fill="FFFFFF"/>
            <w:noWrap/>
            <w:vAlign w:val="center"/>
          </w:tcPr>
          <w:p w14:paraId="05D5AC76">
            <w:pPr>
              <w:widowControl/>
              <w:adjustRightInd w:val="0"/>
              <w:snapToGrid w:val="0"/>
              <w:jc w:val="center"/>
              <w:textAlignment w:val="center"/>
              <w:rPr>
                <w:color w:val="auto"/>
                <w:sz w:val="18"/>
                <w:szCs w:val="18"/>
              </w:rPr>
            </w:pPr>
            <w:r>
              <w:rPr>
                <w:color w:val="auto"/>
                <w:kern w:val="0"/>
                <w:sz w:val="18"/>
                <w:szCs w:val="18"/>
                <w:lang w:bidi="ar"/>
              </w:rPr>
              <w:t>60.21</w:t>
            </w:r>
          </w:p>
        </w:tc>
        <w:tc>
          <w:tcPr>
            <w:tcW w:w="1116" w:type="dxa"/>
            <w:shd w:val="clear" w:color="auto" w:fill="FFFFFF"/>
            <w:noWrap/>
            <w:vAlign w:val="center"/>
          </w:tcPr>
          <w:p w14:paraId="7145CC6F">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1DC0A68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2C23C2E">
            <w:pPr>
              <w:widowControl/>
              <w:adjustRightInd w:val="0"/>
              <w:snapToGrid w:val="0"/>
              <w:jc w:val="center"/>
              <w:textAlignment w:val="center"/>
              <w:rPr>
                <w:color w:val="auto"/>
                <w:sz w:val="18"/>
                <w:szCs w:val="18"/>
              </w:rPr>
            </w:pPr>
            <w:r>
              <w:rPr>
                <w:color w:val="auto"/>
                <w:kern w:val="0"/>
                <w:sz w:val="18"/>
                <w:szCs w:val="18"/>
                <w:lang w:bidi="ar"/>
              </w:rPr>
              <w:t>34.21</w:t>
            </w:r>
          </w:p>
        </w:tc>
        <w:tc>
          <w:tcPr>
            <w:tcW w:w="1011" w:type="dxa"/>
            <w:shd w:val="clear" w:color="auto" w:fill="FFFFFF"/>
            <w:noWrap/>
            <w:vAlign w:val="center"/>
          </w:tcPr>
          <w:p w14:paraId="708B52BA">
            <w:pPr>
              <w:widowControl/>
              <w:adjustRightInd w:val="0"/>
              <w:snapToGrid w:val="0"/>
              <w:jc w:val="center"/>
              <w:textAlignment w:val="center"/>
              <w:rPr>
                <w:color w:val="auto"/>
                <w:sz w:val="18"/>
                <w:szCs w:val="18"/>
              </w:rPr>
            </w:pPr>
            <w:r>
              <w:rPr>
                <w:color w:val="auto"/>
                <w:kern w:val="0"/>
                <w:sz w:val="18"/>
                <w:szCs w:val="18"/>
                <w:lang w:bidi="ar"/>
              </w:rPr>
              <w:t>1</w:t>
            </w:r>
          </w:p>
        </w:tc>
      </w:tr>
      <w:tr w14:paraId="255CE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1B1888E2">
            <w:pPr>
              <w:widowControl/>
              <w:adjustRightInd w:val="0"/>
              <w:snapToGrid w:val="0"/>
              <w:jc w:val="center"/>
              <w:textAlignment w:val="center"/>
              <w:rPr>
                <w:color w:val="auto"/>
                <w:sz w:val="18"/>
                <w:szCs w:val="18"/>
              </w:rPr>
            </w:pPr>
            <w:r>
              <w:rPr>
                <w:color w:val="auto"/>
                <w:kern w:val="0"/>
                <w:sz w:val="18"/>
                <w:szCs w:val="18"/>
                <w:lang w:bidi="ar"/>
              </w:rPr>
              <w:t>洗水机1</w:t>
            </w:r>
          </w:p>
        </w:tc>
        <w:tc>
          <w:tcPr>
            <w:tcW w:w="539" w:type="dxa"/>
            <w:vMerge w:val="continue"/>
            <w:shd w:val="clear" w:color="auto" w:fill="FFFFFF"/>
            <w:noWrap/>
            <w:vAlign w:val="center"/>
          </w:tcPr>
          <w:p w14:paraId="174818AD">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43E75EC4">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1E2B6EB4">
            <w:pPr>
              <w:adjustRightInd w:val="0"/>
              <w:snapToGrid w:val="0"/>
              <w:jc w:val="center"/>
              <w:rPr>
                <w:color w:val="auto"/>
                <w:sz w:val="18"/>
                <w:szCs w:val="18"/>
              </w:rPr>
            </w:pPr>
          </w:p>
        </w:tc>
        <w:tc>
          <w:tcPr>
            <w:tcW w:w="875" w:type="dxa"/>
            <w:shd w:val="clear" w:color="auto" w:fill="FFFFFF"/>
            <w:noWrap/>
            <w:vAlign w:val="center"/>
          </w:tcPr>
          <w:p w14:paraId="0342BFA5">
            <w:pPr>
              <w:widowControl/>
              <w:adjustRightInd w:val="0"/>
              <w:snapToGrid w:val="0"/>
              <w:jc w:val="center"/>
              <w:textAlignment w:val="center"/>
              <w:rPr>
                <w:color w:val="auto"/>
                <w:sz w:val="18"/>
                <w:szCs w:val="18"/>
              </w:rPr>
            </w:pPr>
            <w:r>
              <w:rPr>
                <w:color w:val="auto"/>
                <w:kern w:val="0"/>
                <w:sz w:val="18"/>
                <w:szCs w:val="18"/>
                <w:lang w:bidi="ar"/>
              </w:rPr>
              <w:t>122.9</w:t>
            </w:r>
          </w:p>
        </w:tc>
        <w:tc>
          <w:tcPr>
            <w:tcW w:w="802" w:type="dxa"/>
            <w:shd w:val="clear" w:color="auto" w:fill="FFFFFF"/>
            <w:noWrap/>
            <w:vAlign w:val="center"/>
          </w:tcPr>
          <w:p w14:paraId="32BEBEA9">
            <w:pPr>
              <w:widowControl/>
              <w:adjustRightInd w:val="0"/>
              <w:snapToGrid w:val="0"/>
              <w:jc w:val="center"/>
              <w:textAlignment w:val="center"/>
              <w:rPr>
                <w:color w:val="auto"/>
                <w:sz w:val="18"/>
                <w:szCs w:val="18"/>
              </w:rPr>
            </w:pPr>
            <w:r>
              <w:rPr>
                <w:color w:val="auto"/>
                <w:kern w:val="0"/>
                <w:sz w:val="18"/>
                <w:szCs w:val="18"/>
                <w:lang w:bidi="ar"/>
              </w:rPr>
              <w:t>118.74</w:t>
            </w:r>
          </w:p>
        </w:tc>
        <w:tc>
          <w:tcPr>
            <w:tcW w:w="507" w:type="dxa"/>
            <w:shd w:val="clear" w:color="auto" w:fill="FFFFFF"/>
            <w:noWrap/>
            <w:vAlign w:val="center"/>
          </w:tcPr>
          <w:p w14:paraId="5AA52932">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0D2A3ECE">
            <w:pPr>
              <w:widowControl/>
              <w:adjustRightInd w:val="0"/>
              <w:snapToGrid w:val="0"/>
              <w:jc w:val="center"/>
              <w:textAlignment w:val="center"/>
              <w:rPr>
                <w:color w:val="auto"/>
                <w:sz w:val="18"/>
                <w:szCs w:val="18"/>
              </w:rPr>
            </w:pPr>
            <w:r>
              <w:rPr>
                <w:color w:val="auto"/>
                <w:kern w:val="0"/>
                <w:sz w:val="18"/>
                <w:szCs w:val="18"/>
                <w:lang w:bidi="ar"/>
              </w:rPr>
              <w:t>23.17</w:t>
            </w:r>
          </w:p>
        </w:tc>
        <w:tc>
          <w:tcPr>
            <w:tcW w:w="728" w:type="dxa"/>
            <w:shd w:val="clear" w:color="auto" w:fill="auto"/>
            <w:noWrap/>
            <w:vAlign w:val="center"/>
          </w:tcPr>
          <w:p w14:paraId="28B81DEF">
            <w:pPr>
              <w:widowControl/>
              <w:adjustRightInd w:val="0"/>
              <w:snapToGrid w:val="0"/>
              <w:jc w:val="center"/>
              <w:textAlignment w:val="center"/>
              <w:rPr>
                <w:color w:val="auto"/>
                <w:sz w:val="18"/>
                <w:szCs w:val="18"/>
              </w:rPr>
            </w:pPr>
            <w:r>
              <w:rPr>
                <w:color w:val="auto"/>
                <w:kern w:val="0"/>
                <w:sz w:val="18"/>
                <w:szCs w:val="18"/>
                <w:lang w:bidi="ar"/>
              </w:rPr>
              <w:t>20.56</w:t>
            </w:r>
          </w:p>
        </w:tc>
        <w:tc>
          <w:tcPr>
            <w:tcW w:w="728" w:type="dxa"/>
            <w:shd w:val="clear" w:color="auto" w:fill="FFFFFF"/>
            <w:noWrap/>
            <w:vAlign w:val="center"/>
          </w:tcPr>
          <w:p w14:paraId="3A611D09">
            <w:pPr>
              <w:widowControl/>
              <w:adjustRightInd w:val="0"/>
              <w:snapToGrid w:val="0"/>
              <w:jc w:val="center"/>
              <w:textAlignment w:val="center"/>
              <w:rPr>
                <w:color w:val="auto"/>
                <w:sz w:val="18"/>
                <w:szCs w:val="18"/>
              </w:rPr>
            </w:pPr>
            <w:r>
              <w:rPr>
                <w:color w:val="auto"/>
                <w:kern w:val="0"/>
                <w:sz w:val="18"/>
                <w:szCs w:val="18"/>
                <w:lang w:bidi="ar"/>
              </w:rPr>
              <w:t>2.16</w:t>
            </w:r>
          </w:p>
        </w:tc>
        <w:tc>
          <w:tcPr>
            <w:tcW w:w="728" w:type="dxa"/>
            <w:shd w:val="clear" w:color="auto" w:fill="auto"/>
            <w:noWrap/>
            <w:vAlign w:val="center"/>
          </w:tcPr>
          <w:p w14:paraId="3AA3B97D">
            <w:pPr>
              <w:widowControl/>
              <w:adjustRightInd w:val="0"/>
              <w:snapToGrid w:val="0"/>
              <w:jc w:val="center"/>
              <w:textAlignment w:val="center"/>
              <w:rPr>
                <w:color w:val="auto"/>
                <w:sz w:val="18"/>
                <w:szCs w:val="18"/>
              </w:rPr>
            </w:pPr>
            <w:r>
              <w:rPr>
                <w:color w:val="auto"/>
                <w:kern w:val="0"/>
                <w:sz w:val="18"/>
                <w:szCs w:val="18"/>
                <w:lang w:bidi="ar"/>
              </w:rPr>
              <w:t>16.81</w:t>
            </w:r>
          </w:p>
        </w:tc>
        <w:tc>
          <w:tcPr>
            <w:tcW w:w="855" w:type="dxa"/>
            <w:shd w:val="clear" w:color="auto" w:fill="FFFFFF"/>
            <w:noWrap/>
            <w:vAlign w:val="center"/>
          </w:tcPr>
          <w:p w14:paraId="360FB45F">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138770B0">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DFAD10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2A32B3A5">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76228533">
            <w:pPr>
              <w:widowControl/>
              <w:adjustRightInd w:val="0"/>
              <w:snapToGrid w:val="0"/>
              <w:jc w:val="center"/>
              <w:textAlignment w:val="center"/>
              <w:rPr>
                <w:color w:val="auto"/>
                <w:sz w:val="18"/>
                <w:szCs w:val="18"/>
              </w:rPr>
            </w:pPr>
            <w:r>
              <w:rPr>
                <w:color w:val="auto"/>
                <w:kern w:val="0"/>
                <w:sz w:val="18"/>
                <w:szCs w:val="18"/>
                <w:lang w:bidi="ar"/>
              </w:rPr>
              <w:t>1</w:t>
            </w:r>
          </w:p>
        </w:tc>
      </w:tr>
      <w:tr w14:paraId="07399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77469B8A">
            <w:pPr>
              <w:widowControl/>
              <w:adjustRightInd w:val="0"/>
              <w:snapToGrid w:val="0"/>
              <w:jc w:val="center"/>
              <w:textAlignment w:val="center"/>
              <w:rPr>
                <w:color w:val="auto"/>
                <w:sz w:val="18"/>
                <w:szCs w:val="18"/>
              </w:rPr>
            </w:pPr>
            <w:r>
              <w:rPr>
                <w:color w:val="auto"/>
                <w:kern w:val="0"/>
                <w:sz w:val="18"/>
                <w:szCs w:val="18"/>
                <w:lang w:bidi="ar"/>
              </w:rPr>
              <w:t>洗水机2</w:t>
            </w:r>
          </w:p>
        </w:tc>
        <w:tc>
          <w:tcPr>
            <w:tcW w:w="539" w:type="dxa"/>
            <w:vMerge w:val="continue"/>
            <w:shd w:val="clear" w:color="auto" w:fill="FFFFFF"/>
            <w:noWrap/>
            <w:vAlign w:val="center"/>
          </w:tcPr>
          <w:p w14:paraId="6ACA06D9">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6375ADA3">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34933B54">
            <w:pPr>
              <w:adjustRightInd w:val="0"/>
              <w:snapToGrid w:val="0"/>
              <w:jc w:val="center"/>
              <w:rPr>
                <w:color w:val="auto"/>
                <w:sz w:val="18"/>
                <w:szCs w:val="18"/>
              </w:rPr>
            </w:pPr>
          </w:p>
        </w:tc>
        <w:tc>
          <w:tcPr>
            <w:tcW w:w="875" w:type="dxa"/>
            <w:shd w:val="clear" w:color="auto" w:fill="FFFFFF"/>
            <w:noWrap/>
            <w:vAlign w:val="center"/>
          </w:tcPr>
          <w:p w14:paraId="0F57DBB0">
            <w:pPr>
              <w:widowControl/>
              <w:adjustRightInd w:val="0"/>
              <w:snapToGrid w:val="0"/>
              <w:jc w:val="center"/>
              <w:textAlignment w:val="center"/>
              <w:rPr>
                <w:color w:val="auto"/>
                <w:sz w:val="18"/>
                <w:szCs w:val="18"/>
              </w:rPr>
            </w:pPr>
            <w:r>
              <w:rPr>
                <w:color w:val="auto"/>
                <w:kern w:val="0"/>
                <w:sz w:val="18"/>
                <w:szCs w:val="18"/>
                <w:lang w:bidi="ar"/>
              </w:rPr>
              <w:t>124.09</w:t>
            </w:r>
          </w:p>
        </w:tc>
        <w:tc>
          <w:tcPr>
            <w:tcW w:w="802" w:type="dxa"/>
            <w:shd w:val="clear" w:color="auto" w:fill="FFFFFF"/>
            <w:noWrap/>
            <w:vAlign w:val="center"/>
          </w:tcPr>
          <w:p w14:paraId="38939E11">
            <w:pPr>
              <w:widowControl/>
              <w:adjustRightInd w:val="0"/>
              <w:snapToGrid w:val="0"/>
              <w:jc w:val="center"/>
              <w:textAlignment w:val="center"/>
              <w:rPr>
                <w:color w:val="auto"/>
                <w:sz w:val="18"/>
                <w:szCs w:val="18"/>
              </w:rPr>
            </w:pPr>
            <w:r>
              <w:rPr>
                <w:color w:val="auto"/>
                <w:kern w:val="0"/>
                <w:sz w:val="18"/>
                <w:szCs w:val="18"/>
                <w:lang w:bidi="ar"/>
              </w:rPr>
              <w:t>117</w:t>
            </w:r>
          </w:p>
        </w:tc>
        <w:tc>
          <w:tcPr>
            <w:tcW w:w="507" w:type="dxa"/>
            <w:shd w:val="clear" w:color="auto" w:fill="FFFFFF"/>
            <w:noWrap/>
            <w:vAlign w:val="center"/>
          </w:tcPr>
          <w:p w14:paraId="1223D5AF">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03C95672">
            <w:pPr>
              <w:widowControl/>
              <w:adjustRightInd w:val="0"/>
              <w:snapToGrid w:val="0"/>
              <w:jc w:val="center"/>
              <w:textAlignment w:val="center"/>
              <w:rPr>
                <w:color w:val="auto"/>
                <w:sz w:val="18"/>
                <w:szCs w:val="18"/>
              </w:rPr>
            </w:pPr>
            <w:r>
              <w:rPr>
                <w:color w:val="auto"/>
                <w:kern w:val="0"/>
                <w:sz w:val="18"/>
                <w:szCs w:val="18"/>
                <w:lang w:bidi="ar"/>
              </w:rPr>
              <w:t>23.25</w:t>
            </w:r>
          </w:p>
        </w:tc>
        <w:tc>
          <w:tcPr>
            <w:tcW w:w="728" w:type="dxa"/>
            <w:shd w:val="clear" w:color="auto" w:fill="auto"/>
            <w:noWrap/>
            <w:vAlign w:val="center"/>
          </w:tcPr>
          <w:p w14:paraId="5E060BE9">
            <w:pPr>
              <w:widowControl/>
              <w:adjustRightInd w:val="0"/>
              <w:snapToGrid w:val="0"/>
              <w:jc w:val="center"/>
              <w:textAlignment w:val="center"/>
              <w:rPr>
                <w:color w:val="auto"/>
                <w:sz w:val="18"/>
                <w:szCs w:val="18"/>
              </w:rPr>
            </w:pPr>
            <w:r>
              <w:rPr>
                <w:color w:val="auto"/>
                <w:kern w:val="0"/>
                <w:sz w:val="18"/>
                <w:szCs w:val="18"/>
                <w:lang w:bidi="ar"/>
              </w:rPr>
              <w:t>22.65</w:t>
            </w:r>
          </w:p>
        </w:tc>
        <w:tc>
          <w:tcPr>
            <w:tcW w:w="728" w:type="dxa"/>
            <w:shd w:val="clear" w:color="auto" w:fill="FFFFFF"/>
            <w:noWrap/>
            <w:vAlign w:val="center"/>
          </w:tcPr>
          <w:p w14:paraId="2903C1D6">
            <w:pPr>
              <w:widowControl/>
              <w:adjustRightInd w:val="0"/>
              <w:snapToGrid w:val="0"/>
              <w:jc w:val="center"/>
              <w:textAlignment w:val="center"/>
              <w:rPr>
                <w:color w:val="auto"/>
                <w:sz w:val="18"/>
                <w:szCs w:val="18"/>
              </w:rPr>
            </w:pPr>
            <w:r>
              <w:rPr>
                <w:color w:val="auto"/>
                <w:kern w:val="0"/>
                <w:sz w:val="18"/>
                <w:szCs w:val="18"/>
                <w:lang w:bidi="ar"/>
              </w:rPr>
              <w:t>1.97</w:t>
            </w:r>
          </w:p>
        </w:tc>
        <w:tc>
          <w:tcPr>
            <w:tcW w:w="728" w:type="dxa"/>
            <w:shd w:val="clear" w:color="auto" w:fill="auto"/>
            <w:noWrap/>
            <w:vAlign w:val="center"/>
          </w:tcPr>
          <w:p w14:paraId="10300091">
            <w:pPr>
              <w:widowControl/>
              <w:adjustRightInd w:val="0"/>
              <w:snapToGrid w:val="0"/>
              <w:jc w:val="center"/>
              <w:textAlignment w:val="center"/>
              <w:rPr>
                <w:color w:val="auto"/>
                <w:sz w:val="18"/>
                <w:szCs w:val="18"/>
              </w:rPr>
            </w:pPr>
            <w:r>
              <w:rPr>
                <w:color w:val="auto"/>
                <w:kern w:val="0"/>
                <w:sz w:val="18"/>
                <w:szCs w:val="18"/>
                <w:lang w:bidi="ar"/>
              </w:rPr>
              <w:t>14.71</w:t>
            </w:r>
          </w:p>
        </w:tc>
        <w:tc>
          <w:tcPr>
            <w:tcW w:w="855" w:type="dxa"/>
            <w:shd w:val="clear" w:color="auto" w:fill="FFFFFF"/>
            <w:noWrap/>
            <w:vAlign w:val="center"/>
          </w:tcPr>
          <w:p w14:paraId="1C927BA4">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3A9E0890">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BBB48D0">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3AE53EDC">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07A95BF6">
            <w:pPr>
              <w:widowControl/>
              <w:adjustRightInd w:val="0"/>
              <w:snapToGrid w:val="0"/>
              <w:jc w:val="center"/>
              <w:textAlignment w:val="center"/>
              <w:rPr>
                <w:color w:val="auto"/>
                <w:sz w:val="18"/>
                <w:szCs w:val="18"/>
              </w:rPr>
            </w:pPr>
            <w:r>
              <w:rPr>
                <w:color w:val="auto"/>
                <w:kern w:val="0"/>
                <w:sz w:val="18"/>
                <w:szCs w:val="18"/>
                <w:lang w:bidi="ar"/>
              </w:rPr>
              <w:t>1</w:t>
            </w:r>
          </w:p>
        </w:tc>
      </w:tr>
      <w:tr w14:paraId="7358E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87995DB">
            <w:pPr>
              <w:widowControl/>
              <w:adjustRightInd w:val="0"/>
              <w:snapToGrid w:val="0"/>
              <w:jc w:val="center"/>
              <w:textAlignment w:val="center"/>
              <w:rPr>
                <w:color w:val="auto"/>
                <w:sz w:val="18"/>
                <w:szCs w:val="18"/>
              </w:rPr>
            </w:pPr>
            <w:r>
              <w:rPr>
                <w:color w:val="auto"/>
                <w:kern w:val="0"/>
                <w:sz w:val="18"/>
                <w:szCs w:val="18"/>
                <w:lang w:bidi="ar"/>
              </w:rPr>
              <w:t>洗水机3</w:t>
            </w:r>
          </w:p>
        </w:tc>
        <w:tc>
          <w:tcPr>
            <w:tcW w:w="539" w:type="dxa"/>
            <w:vMerge w:val="continue"/>
            <w:shd w:val="clear" w:color="auto" w:fill="FFFFFF"/>
            <w:noWrap/>
            <w:vAlign w:val="center"/>
          </w:tcPr>
          <w:p w14:paraId="7B76D5C3">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8F38690">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517E0B5E">
            <w:pPr>
              <w:adjustRightInd w:val="0"/>
              <w:snapToGrid w:val="0"/>
              <w:jc w:val="center"/>
              <w:rPr>
                <w:color w:val="auto"/>
                <w:sz w:val="18"/>
                <w:szCs w:val="18"/>
              </w:rPr>
            </w:pPr>
          </w:p>
        </w:tc>
        <w:tc>
          <w:tcPr>
            <w:tcW w:w="875" w:type="dxa"/>
            <w:shd w:val="clear" w:color="auto" w:fill="FFFFFF"/>
            <w:noWrap/>
            <w:vAlign w:val="center"/>
          </w:tcPr>
          <w:p w14:paraId="6B86F2CE">
            <w:pPr>
              <w:widowControl/>
              <w:adjustRightInd w:val="0"/>
              <w:snapToGrid w:val="0"/>
              <w:jc w:val="center"/>
              <w:textAlignment w:val="center"/>
              <w:rPr>
                <w:color w:val="auto"/>
                <w:sz w:val="18"/>
                <w:szCs w:val="18"/>
              </w:rPr>
            </w:pPr>
            <w:r>
              <w:rPr>
                <w:color w:val="auto"/>
                <w:kern w:val="0"/>
                <w:sz w:val="18"/>
                <w:szCs w:val="18"/>
                <w:lang w:bidi="ar"/>
              </w:rPr>
              <w:t>125.1</w:t>
            </w:r>
          </w:p>
        </w:tc>
        <w:tc>
          <w:tcPr>
            <w:tcW w:w="802" w:type="dxa"/>
            <w:shd w:val="clear" w:color="auto" w:fill="FFFFFF"/>
            <w:noWrap/>
            <w:vAlign w:val="center"/>
          </w:tcPr>
          <w:p w14:paraId="331DCAFD">
            <w:pPr>
              <w:widowControl/>
              <w:adjustRightInd w:val="0"/>
              <w:snapToGrid w:val="0"/>
              <w:jc w:val="center"/>
              <w:textAlignment w:val="center"/>
              <w:rPr>
                <w:color w:val="auto"/>
                <w:sz w:val="18"/>
                <w:szCs w:val="18"/>
              </w:rPr>
            </w:pPr>
            <w:r>
              <w:rPr>
                <w:color w:val="auto"/>
                <w:kern w:val="0"/>
                <w:sz w:val="18"/>
                <w:szCs w:val="18"/>
                <w:lang w:bidi="ar"/>
              </w:rPr>
              <w:t>115.16</w:t>
            </w:r>
          </w:p>
        </w:tc>
        <w:tc>
          <w:tcPr>
            <w:tcW w:w="507" w:type="dxa"/>
            <w:shd w:val="clear" w:color="auto" w:fill="FFFFFF"/>
            <w:noWrap/>
            <w:vAlign w:val="center"/>
          </w:tcPr>
          <w:p w14:paraId="19011305">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594368C1">
            <w:pPr>
              <w:widowControl/>
              <w:adjustRightInd w:val="0"/>
              <w:snapToGrid w:val="0"/>
              <w:jc w:val="center"/>
              <w:textAlignment w:val="center"/>
              <w:rPr>
                <w:color w:val="auto"/>
                <w:sz w:val="18"/>
                <w:szCs w:val="18"/>
              </w:rPr>
            </w:pPr>
            <w:r>
              <w:rPr>
                <w:color w:val="auto"/>
                <w:kern w:val="0"/>
                <w:sz w:val="18"/>
                <w:szCs w:val="18"/>
                <w:lang w:bidi="ar"/>
              </w:rPr>
              <w:t>23.13</w:t>
            </w:r>
          </w:p>
        </w:tc>
        <w:tc>
          <w:tcPr>
            <w:tcW w:w="728" w:type="dxa"/>
            <w:shd w:val="clear" w:color="auto" w:fill="auto"/>
            <w:noWrap/>
            <w:vAlign w:val="center"/>
          </w:tcPr>
          <w:p w14:paraId="0A1687F6">
            <w:pPr>
              <w:widowControl/>
              <w:adjustRightInd w:val="0"/>
              <w:snapToGrid w:val="0"/>
              <w:jc w:val="center"/>
              <w:textAlignment w:val="center"/>
              <w:rPr>
                <w:color w:val="auto"/>
                <w:sz w:val="18"/>
                <w:szCs w:val="18"/>
              </w:rPr>
            </w:pPr>
            <w:r>
              <w:rPr>
                <w:color w:val="auto"/>
                <w:kern w:val="0"/>
                <w:sz w:val="18"/>
                <w:szCs w:val="18"/>
                <w:lang w:bidi="ar"/>
              </w:rPr>
              <w:t>24.75</w:t>
            </w:r>
          </w:p>
        </w:tc>
        <w:tc>
          <w:tcPr>
            <w:tcW w:w="728" w:type="dxa"/>
            <w:shd w:val="clear" w:color="auto" w:fill="FFFFFF"/>
            <w:noWrap/>
            <w:vAlign w:val="center"/>
          </w:tcPr>
          <w:p w14:paraId="1D6AA5A9">
            <w:pPr>
              <w:widowControl/>
              <w:adjustRightInd w:val="0"/>
              <w:snapToGrid w:val="0"/>
              <w:jc w:val="center"/>
              <w:textAlignment w:val="center"/>
              <w:rPr>
                <w:color w:val="auto"/>
                <w:sz w:val="18"/>
                <w:szCs w:val="18"/>
              </w:rPr>
            </w:pPr>
            <w:r>
              <w:rPr>
                <w:color w:val="auto"/>
                <w:kern w:val="0"/>
                <w:sz w:val="18"/>
                <w:szCs w:val="18"/>
                <w:lang w:bidi="ar"/>
              </w:rPr>
              <w:t>1.98</w:t>
            </w:r>
          </w:p>
        </w:tc>
        <w:tc>
          <w:tcPr>
            <w:tcW w:w="728" w:type="dxa"/>
            <w:shd w:val="clear" w:color="auto" w:fill="auto"/>
            <w:noWrap/>
            <w:vAlign w:val="center"/>
          </w:tcPr>
          <w:p w14:paraId="1F620E34">
            <w:pPr>
              <w:widowControl/>
              <w:adjustRightInd w:val="0"/>
              <w:snapToGrid w:val="0"/>
              <w:jc w:val="center"/>
              <w:textAlignment w:val="center"/>
              <w:rPr>
                <w:color w:val="auto"/>
                <w:sz w:val="18"/>
                <w:szCs w:val="18"/>
              </w:rPr>
            </w:pPr>
            <w:r>
              <w:rPr>
                <w:color w:val="auto"/>
                <w:kern w:val="0"/>
                <w:sz w:val="18"/>
                <w:szCs w:val="18"/>
                <w:lang w:bidi="ar"/>
              </w:rPr>
              <w:t>12.61</w:t>
            </w:r>
          </w:p>
        </w:tc>
        <w:tc>
          <w:tcPr>
            <w:tcW w:w="855" w:type="dxa"/>
            <w:shd w:val="clear" w:color="auto" w:fill="FFFFFF"/>
            <w:noWrap/>
            <w:vAlign w:val="center"/>
          </w:tcPr>
          <w:p w14:paraId="0FC79126">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76181161">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145FA762">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34A518DE">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3CB7D451">
            <w:pPr>
              <w:widowControl/>
              <w:adjustRightInd w:val="0"/>
              <w:snapToGrid w:val="0"/>
              <w:jc w:val="center"/>
              <w:textAlignment w:val="center"/>
              <w:rPr>
                <w:color w:val="auto"/>
                <w:sz w:val="18"/>
                <w:szCs w:val="18"/>
              </w:rPr>
            </w:pPr>
            <w:r>
              <w:rPr>
                <w:color w:val="auto"/>
                <w:kern w:val="0"/>
                <w:sz w:val="18"/>
                <w:szCs w:val="18"/>
                <w:lang w:bidi="ar"/>
              </w:rPr>
              <w:t>1</w:t>
            </w:r>
          </w:p>
        </w:tc>
      </w:tr>
      <w:tr w14:paraId="2F634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35CF3F31">
            <w:pPr>
              <w:widowControl/>
              <w:adjustRightInd w:val="0"/>
              <w:snapToGrid w:val="0"/>
              <w:jc w:val="center"/>
              <w:textAlignment w:val="center"/>
              <w:rPr>
                <w:color w:val="auto"/>
                <w:sz w:val="18"/>
                <w:szCs w:val="18"/>
              </w:rPr>
            </w:pPr>
            <w:r>
              <w:rPr>
                <w:color w:val="auto"/>
                <w:kern w:val="0"/>
                <w:sz w:val="18"/>
                <w:szCs w:val="18"/>
                <w:lang w:bidi="ar"/>
              </w:rPr>
              <w:t>洗水机4</w:t>
            </w:r>
          </w:p>
        </w:tc>
        <w:tc>
          <w:tcPr>
            <w:tcW w:w="539" w:type="dxa"/>
            <w:vMerge w:val="continue"/>
            <w:shd w:val="clear" w:color="auto" w:fill="FFFFFF"/>
            <w:noWrap/>
            <w:vAlign w:val="center"/>
          </w:tcPr>
          <w:p w14:paraId="6AB7FE29">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2F9E500D">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771BE70">
            <w:pPr>
              <w:adjustRightInd w:val="0"/>
              <w:snapToGrid w:val="0"/>
              <w:jc w:val="center"/>
              <w:rPr>
                <w:color w:val="auto"/>
                <w:sz w:val="18"/>
                <w:szCs w:val="18"/>
              </w:rPr>
            </w:pPr>
          </w:p>
        </w:tc>
        <w:tc>
          <w:tcPr>
            <w:tcW w:w="875" w:type="dxa"/>
            <w:shd w:val="clear" w:color="auto" w:fill="FFFFFF"/>
            <w:noWrap/>
            <w:vAlign w:val="center"/>
          </w:tcPr>
          <w:p w14:paraId="11A3C5FA">
            <w:pPr>
              <w:widowControl/>
              <w:adjustRightInd w:val="0"/>
              <w:snapToGrid w:val="0"/>
              <w:jc w:val="center"/>
              <w:textAlignment w:val="center"/>
              <w:rPr>
                <w:color w:val="auto"/>
                <w:sz w:val="18"/>
                <w:szCs w:val="18"/>
              </w:rPr>
            </w:pPr>
            <w:r>
              <w:rPr>
                <w:color w:val="auto"/>
                <w:kern w:val="0"/>
                <w:sz w:val="18"/>
                <w:szCs w:val="18"/>
                <w:lang w:bidi="ar"/>
              </w:rPr>
              <w:t>126.2</w:t>
            </w:r>
          </w:p>
        </w:tc>
        <w:tc>
          <w:tcPr>
            <w:tcW w:w="802" w:type="dxa"/>
            <w:shd w:val="clear" w:color="auto" w:fill="FFFFFF"/>
            <w:noWrap/>
            <w:vAlign w:val="center"/>
          </w:tcPr>
          <w:p w14:paraId="52EEC1E4">
            <w:pPr>
              <w:widowControl/>
              <w:adjustRightInd w:val="0"/>
              <w:snapToGrid w:val="0"/>
              <w:jc w:val="center"/>
              <w:textAlignment w:val="center"/>
              <w:rPr>
                <w:color w:val="auto"/>
                <w:sz w:val="18"/>
                <w:szCs w:val="18"/>
              </w:rPr>
            </w:pPr>
            <w:r>
              <w:rPr>
                <w:color w:val="auto"/>
                <w:kern w:val="0"/>
                <w:sz w:val="18"/>
                <w:szCs w:val="18"/>
                <w:lang w:bidi="ar"/>
              </w:rPr>
              <w:t>113.33</w:t>
            </w:r>
          </w:p>
        </w:tc>
        <w:tc>
          <w:tcPr>
            <w:tcW w:w="507" w:type="dxa"/>
            <w:shd w:val="clear" w:color="auto" w:fill="FFFFFF"/>
            <w:noWrap/>
            <w:vAlign w:val="center"/>
          </w:tcPr>
          <w:p w14:paraId="2C9118E7">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55751DEC">
            <w:pPr>
              <w:widowControl/>
              <w:adjustRightInd w:val="0"/>
              <w:snapToGrid w:val="0"/>
              <w:jc w:val="center"/>
              <w:textAlignment w:val="center"/>
              <w:rPr>
                <w:color w:val="auto"/>
                <w:sz w:val="18"/>
                <w:szCs w:val="18"/>
              </w:rPr>
            </w:pPr>
            <w:r>
              <w:rPr>
                <w:color w:val="auto"/>
                <w:kern w:val="0"/>
                <w:sz w:val="18"/>
                <w:szCs w:val="18"/>
                <w:lang w:bidi="ar"/>
              </w:rPr>
              <w:t>23.08</w:t>
            </w:r>
          </w:p>
        </w:tc>
        <w:tc>
          <w:tcPr>
            <w:tcW w:w="728" w:type="dxa"/>
            <w:shd w:val="clear" w:color="auto" w:fill="auto"/>
            <w:noWrap/>
            <w:vAlign w:val="center"/>
          </w:tcPr>
          <w:p w14:paraId="0909D5EE">
            <w:pPr>
              <w:widowControl/>
              <w:adjustRightInd w:val="0"/>
              <w:snapToGrid w:val="0"/>
              <w:jc w:val="center"/>
              <w:textAlignment w:val="center"/>
              <w:rPr>
                <w:color w:val="auto"/>
                <w:sz w:val="18"/>
                <w:szCs w:val="18"/>
              </w:rPr>
            </w:pPr>
            <w:r>
              <w:rPr>
                <w:color w:val="auto"/>
                <w:kern w:val="0"/>
                <w:sz w:val="18"/>
                <w:szCs w:val="18"/>
                <w:lang w:bidi="ar"/>
              </w:rPr>
              <w:t>26.89</w:t>
            </w:r>
          </w:p>
        </w:tc>
        <w:tc>
          <w:tcPr>
            <w:tcW w:w="728" w:type="dxa"/>
            <w:shd w:val="clear" w:color="auto" w:fill="FFFFFF"/>
            <w:noWrap/>
            <w:vAlign w:val="center"/>
          </w:tcPr>
          <w:p w14:paraId="5960D437">
            <w:pPr>
              <w:widowControl/>
              <w:adjustRightInd w:val="0"/>
              <w:snapToGrid w:val="0"/>
              <w:jc w:val="center"/>
              <w:textAlignment w:val="center"/>
              <w:rPr>
                <w:color w:val="auto"/>
                <w:sz w:val="18"/>
                <w:szCs w:val="18"/>
              </w:rPr>
            </w:pPr>
            <w:r>
              <w:rPr>
                <w:color w:val="auto"/>
                <w:kern w:val="0"/>
                <w:sz w:val="18"/>
                <w:szCs w:val="18"/>
                <w:lang w:bidi="ar"/>
              </w:rPr>
              <w:t>1.91</w:t>
            </w:r>
          </w:p>
        </w:tc>
        <w:tc>
          <w:tcPr>
            <w:tcW w:w="728" w:type="dxa"/>
            <w:shd w:val="clear" w:color="auto" w:fill="auto"/>
            <w:noWrap/>
            <w:vAlign w:val="center"/>
          </w:tcPr>
          <w:p w14:paraId="72BA2A21">
            <w:pPr>
              <w:widowControl/>
              <w:adjustRightInd w:val="0"/>
              <w:snapToGrid w:val="0"/>
              <w:jc w:val="center"/>
              <w:textAlignment w:val="center"/>
              <w:rPr>
                <w:color w:val="auto"/>
                <w:sz w:val="18"/>
                <w:szCs w:val="18"/>
              </w:rPr>
            </w:pPr>
            <w:r>
              <w:rPr>
                <w:color w:val="auto"/>
                <w:kern w:val="0"/>
                <w:sz w:val="18"/>
                <w:szCs w:val="18"/>
                <w:lang w:bidi="ar"/>
              </w:rPr>
              <w:t>10.48</w:t>
            </w:r>
          </w:p>
        </w:tc>
        <w:tc>
          <w:tcPr>
            <w:tcW w:w="855" w:type="dxa"/>
            <w:shd w:val="clear" w:color="auto" w:fill="FFFFFF"/>
            <w:noWrap/>
            <w:vAlign w:val="center"/>
          </w:tcPr>
          <w:p w14:paraId="6AEF2042">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72B56FF2">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35948D60">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F007C76">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70B37383">
            <w:pPr>
              <w:widowControl/>
              <w:adjustRightInd w:val="0"/>
              <w:snapToGrid w:val="0"/>
              <w:jc w:val="center"/>
              <w:textAlignment w:val="center"/>
              <w:rPr>
                <w:color w:val="auto"/>
                <w:sz w:val="18"/>
                <w:szCs w:val="18"/>
              </w:rPr>
            </w:pPr>
            <w:r>
              <w:rPr>
                <w:color w:val="auto"/>
                <w:kern w:val="0"/>
                <w:sz w:val="18"/>
                <w:szCs w:val="18"/>
                <w:lang w:bidi="ar"/>
              </w:rPr>
              <w:t>1</w:t>
            </w:r>
          </w:p>
        </w:tc>
      </w:tr>
      <w:tr w14:paraId="4BE8F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0FCFB280">
            <w:pPr>
              <w:widowControl/>
              <w:adjustRightInd w:val="0"/>
              <w:snapToGrid w:val="0"/>
              <w:jc w:val="center"/>
              <w:textAlignment w:val="center"/>
              <w:rPr>
                <w:color w:val="auto"/>
                <w:sz w:val="18"/>
                <w:szCs w:val="18"/>
              </w:rPr>
            </w:pPr>
            <w:r>
              <w:rPr>
                <w:color w:val="auto"/>
                <w:kern w:val="0"/>
                <w:sz w:val="18"/>
                <w:szCs w:val="18"/>
                <w:lang w:bidi="ar"/>
              </w:rPr>
              <w:t>洗水机5</w:t>
            </w:r>
          </w:p>
        </w:tc>
        <w:tc>
          <w:tcPr>
            <w:tcW w:w="539" w:type="dxa"/>
            <w:vMerge w:val="continue"/>
            <w:shd w:val="clear" w:color="auto" w:fill="FFFFFF"/>
            <w:noWrap/>
            <w:vAlign w:val="center"/>
          </w:tcPr>
          <w:p w14:paraId="2DFFA12F">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42D742E5">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572E1538">
            <w:pPr>
              <w:adjustRightInd w:val="0"/>
              <w:snapToGrid w:val="0"/>
              <w:jc w:val="center"/>
              <w:rPr>
                <w:color w:val="auto"/>
                <w:sz w:val="18"/>
                <w:szCs w:val="18"/>
              </w:rPr>
            </w:pPr>
          </w:p>
        </w:tc>
        <w:tc>
          <w:tcPr>
            <w:tcW w:w="875" w:type="dxa"/>
            <w:shd w:val="clear" w:color="auto" w:fill="FFFFFF"/>
            <w:noWrap/>
            <w:vAlign w:val="center"/>
          </w:tcPr>
          <w:p w14:paraId="1DF0F0DE">
            <w:pPr>
              <w:widowControl/>
              <w:adjustRightInd w:val="0"/>
              <w:snapToGrid w:val="0"/>
              <w:jc w:val="center"/>
              <w:textAlignment w:val="center"/>
              <w:rPr>
                <w:color w:val="auto"/>
                <w:sz w:val="18"/>
                <w:szCs w:val="18"/>
              </w:rPr>
            </w:pPr>
            <w:r>
              <w:rPr>
                <w:color w:val="auto"/>
                <w:kern w:val="0"/>
                <w:sz w:val="18"/>
                <w:szCs w:val="18"/>
                <w:lang w:bidi="ar"/>
              </w:rPr>
              <w:t>127.49</w:t>
            </w:r>
          </w:p>
        </w:tc>
        <w:tc>
          <w:tcPr>
            <w:tcW w:w="802" w:type="dxa"/>
            <w:shd w:val="clear" w:color="auto" w:fill="FFFFFF"/>
            <w:noWrap/>
            <w:vAlign w:val="center"/>
          </w:tcPr>
          <w:p w14:paraId="3F55413A">
            <w:pPr>
              <w:widowControl/>
              <w:adjustRightInd w:val="0"/>
              <w:snapToGrid w:val="0"/>
              <w:jc w:val="center"/>
              <w:textAlignment w:val="center"/>
              <w:rPr>
                <w:color w:val="auto"/>
                <w:sz w:val="18"/>
                <w:szCs w:val="18"/>
              </w:rPr>
            </w:pPr>
            <w:r>
              <w:rPr>
                <w:color w:val="auto"/>
                <w:kern w:val="0"/>
                <w:sz w:val="18"/>
                <w:szCs w:val="18"/>
                <w:lang w:bidi="ar"/>
              </w:rPr>
              <w:t>111.49</w:t>
            </w:r>
          </w:p>
        </w:tc>
        <w:tc>
          <w:tcPr>
            <w:tcW w:w="507" w:type="dxa"/>
            <w:shd w:val="clear" w:color="auto" w:fill="FFFFFF"/>
            <w:noWrap/>
            <w:vAlign w:val="center"/>
          </w:tcPr>
          <w:p w14:paraId="44B419F9">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4C553F5F">
            <w:pPr>
              <w:widowControl/>
              <w:adjustRightInd w:val="0"/>
              <w:snapToGrid w:val="0"/>
              <w:jc w:val="center"/>
              <w:textAlignment w:val="center"/>
              <w:rPr>
                <w:color w:val="auto"/>
                <w:sz w:val="18"/>
                <w:szCs w:val="18"/>
              </w:rPr>
            </w:pPr>
            <w:r>
              <w:rPr>
                <w:color w:val="auto"/>
                <w:kern w:val="0"/>
                <w:sz w:val="18"/>
                <w:szCs w:val="18"/>
                <w:lang w:bidi="ar"/>
              </w:rPr>
              <w:t>23.19</w:t>
            </w:r>
          </w:p>
        </w:tc>
        <w:tc>
          <w:tcPr>
            <w:tcW w:w="728" w:type="dxa"/>
            <w:shd w:val="clear" w:color="auto" w:fill="auto"/>
            <w:noWrap/>
            <w:vAlign w:val="center"/>
          </w:tcPr>
          <w:p w14:paraId="7D6CF826">
            <w:pPr>
              <w:widowControl/>
              <w:adjustRightInd w:val="0"/>
              <w:snapToGrid w:val="0"/>
              <w:jc w:val="center"/>
              <w:textAlignment w:val="center"/>
              <w:rPr>
                <w:color w:val="auto"/>
                <w:sz w:val="18"/>
                <w:szCs w:val="18"/>
              </w:rPr>
            </w:pPr>
            <w:r>
              <w:rPr>
                <w:color w:val="auto"/>
                <w:kern w:val="0"/>
                <w:sz w:val="18"/>
                <w:szCs w:val="18"/>
                <w:lang w:bidi="ar"/>
              </w:rPr>
              <w:t>29.12</w:t>
            </w:r>
          </w:p>
        </w:tc>
        <w:tc>
          <w:tcPr>
            <w:tcW w:w="728" w:type="dxa"/>
            <w:shd w:val="clear" w:color="auto" w:fill="FFFFFF"/>
            <w:noWrap/>
            <w:vAlign w:val="center"/>
          </w:tcPr>
          <w:p w14:paraId="5878C56F">
            <w:pPr>
              <w:widowControl/>
              <w:adjustRightInd w:val="0"/>
              <w:snapToGrid w:val="0"/>
              <w:jc w:val="center"/>
              <w:textAlignment w:val="center"/>
              <w:rPr>
                <w:color w:val="auto"/>
                <w:sz w:val="18"/>
                <w:szCs w:val="18"/>
              </w:rPr>
            </w:pPr>
            <w:r>
              <w:rPr>
                <w:color w:val="auto"/>
                <w:kern w:val="0"/>
                <w:sz w:val="18"/>
                <w:szCs w:val="18"/>
                <w:lang w:bidi="ar"/>
              </w:rPr>
              <w:t>1.67</w:t>
            </w:r>
          </w:p>
        </w:tc>
        <w:tc>
          <w:tcPr>
            <w:tcW w:w="728" w:type="dxa"/>
            <w:shd w:val="clear" w:color="auto" w:fill="auto"/>
            <w:noWrap/>
            <w:vAlign w:val="center"/>
          </w:tcPr>
          <w:p w14:paraId="2C3B2870">
            <w:pPr>
              <w:widowControl/>
              <w:adjustRightInd w:val="0"/>
              <w:snapToGrid w:val="0"/>
              <w:jc w:val="center"/>
              <w:textAlignment w:val="center"/>
              <w:rPr>
                <w:color w:val="auto"/>
                <w:sz w:val="18"/>
                <w:szCs w:val="18"/>
              </w:rPr>
            </w:pPr>
            <w:r>
              <w:rPr>
                <w:color w:val="auto"/>
                <w:kern w:val="0"/>
                <w:sz w:val="18"/>
                <w:szCs w:val="18"/>
                <w:lang w:bidi="ar"/>
              </w:rPr>
              <w:t>8.24</w:t>
            </w:r>
          </w:p>
        </w:tc>
        <w:tc>
          <w:tcPr>
            <w:tcW w:w="855" w:type="dxa"/>
            <w:shd w:val="clear" w:color="auto" w:fill="FFFFFF"/>
            <w:noWrap/>
            <w:vAlign w:val="center"/>
          </w:tcPr>
          <w:p w14:paraId="748B26DA">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195E750E">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7BD574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5CB0E2D">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29EB88B9">
            <w:pPr>
              <w:widowControl/>
              <w:adjustRightInd w:val="0"/>
              <w:snapToGrid w:val="0"/>
              <w:jc w:val="center"/>
              <w:textAlignment w:val="center"/>
              <w:rPr>
                <w:color w:val="auto"/>
                <w:sz w:val="18"/>
                <w:szCs w:val="18"/>
              </w:rPr>
            </w:pPr>
            <w:r>
              <w:rPr>
                <w:color w:val="auto"/>
                <w:kern w:val="0"/>
                <w:sz w:val="18"/>
                <w:szCs w:val="18"/>
                <w:lang w:bidi="ar"/>
              </w:rPr>
              <w:t>1</w:t>
            </w:r>
          </w:p>
        </w:tc>
      </w:tr>
      <w:tr w14:paraId="791B2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3C2EF3B">
            <w:pPr>
              <w:widowControl/>
              <w:adjustRightInd w:val="0"/>
              <w:snapToGrid w:val="0"/>
              <w:jc w:val="center"/>
              <w:textAlignment w:val="center"/>
              <w:rPr>
                <w:color w:val="auto"/>
                <w:sz w:val="18"/>
                <w:szCs w:val="18"/>
              </w:rPr>
            </w:pPr>
            <w:r>
              <w:rPr>
                <w:color w:val="auto"/>
                <w:kern w:val="0"/>
                <w:sz w:val="18"/>
                <w:szCs w:val="18"/>
                <w:lang w:bidi="ar"/>
              </w:rPr>
              <w:t>洗水机6</w:t>
            </w:r>
          </w:p>
        </w:tc>
        <w:tc>
          <w:tcPr>
            <w:tcW w:w="539" w:type="dxa"/>
            <w:vMerge w:val="continue"/>
            <w:shd w:val="clear" w:color="auto" w:fill="FFFFFF"/>
            <w:noWrap/>
            <w:vAlign w:val="center"/>
          </w:tcPr>
          <w:p w14:paraId="28607D28">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8AE2F64">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D5CCA38">
            <w:pPr>
              <w:adjustRightInd w:val="0"/>
              <w:snapToGrid w:val="0"/>
              <w:jc w:val="center"/>
              <w:rPr>
                <w:color w:val="auto"/>
                <w:sz w:val="18"/>
                <w:szCs w:val="18"/>
              </w:rPr>
            </w:pPr>
          </w:p>
        </w:tc>
        <w:tc>
          <w:tcPr>
            <w:tcW w:w="875" w:type="dxa"/>
            <w:shd w:val="clear" w:color="auto" w:fill="FFFFFF"/>
            <w:noWrap/>
            <w:vAlign w:val="center"/>
          </w:tcPr>
          <w:p w14:paraId="1BC6BDB5">
            <w:pPr>
              <w:widowControl/>
              <w:adjustRightInd w:val="0"/>
              <w:snapToGrid w:val="0"/>
              <w:jc w:val="center"/>
              <w:textAlignment w:val="center"/>
              <w:rPr>
                <w:color w:val="auto"/>
                <w:sz w:val="18"/>
                <w:szCs w:val="18"/>
              </w:rPr>
            </w:pPr>
            <w:r>
              <w:rPr>
                <w:color w:val="auto"/>
                <w:kern w:val="0"/>
                <w:sz w:val="18"/>
                <w:szCs w:val="18"/>
                <w:lang w:bidi="ar"/>
              </w:rPr>
              <w:t>128.41</w:t>
            </w:r>
          </w:p>
        </w:tc>
        <w:tc>
          <w:tcPr>
            <w:tcW w:w="802" w:type="dxa"/>
            <w:shd w:val="clear" w:color="auto" w:fill="FFFFFF"/>
            <w:noWrap/>
            <w:vAlign w:val="center"/>
          </w:tcPr>
          <w:p w14:paraId="326889DE">
            <w:pPr>
              <w:widowControl/>
              <w:adjustRightInd w:val="0"/>
              <w:snapToGrid w:val="0"/>
              <w:jc w:val="center"/>
              <w:textAlignment w:val="center"/>
              <w:rPr>
                <w:color w:val="auto"/>
                <w:sz w:val="18"/>
                <w:szCs w:val="18"/>
              </w:rPr>
            </w:pPr>
            <w:r>
              <w:rPr>
                <w:color w:val="auto"/>
                <w:kern w:val="0"/>
                <w:sz w:val="18"/>
                <w:szCs w:val="18"/>
                <w:lang w:bidi="ar"/>
              </w:rPr>
              <w:t>109.75</w:t>
            </w:r>
          </w:p>
        </w:tc>
        <w:tc>
          <w:tcPr>
            <w:tcW w:w="507" w:type="dxa"/>
            <w:shd w:val="clear" w:color="auto" w:fill="FFFFFF"/>
            <w:noWrap/>
            <w:vAlign w:val="center"/>
          </w:tcPr>
          <w:p w14:paraId="6F7DDD91">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4AA9EE4C">
            <w:pPr>
              <w:widowControl/>
              <w:adjustRightInd w:val="0"/>
              <w:snapToGrid w:val="0"/>
              <w:jc w:val="center"/>
              <w:textAlignment w:val="center"/>
              <w:rPr>
                <w:color w:val="auto"/>
                <w:sz w:val="18"/>
                <w:szCs w:val="18"/>
              </w:rPr>
            </w:pPr>
            <w:r>
              <w:rPr>
                <w:color w:val="auto"/>
                <w:kern w:val="0"/>
                <w:sz w:val="18"/>
                <w:szCs w:val="18"/>
                <w:lang w:bidi="ar"/>
              </w:rPr>
              <w:t>23.04</w:t>
            </w:r>
          </w:p>
        </w:tc>
        <w:tc>
          <w:tcPr>
            <w:tcW w:w="728" w:type="dxa"/>
            <w:shd w:val="clear" w:color="auto" w:fill="auto"/>
            <w:noWrap/>
            <w:vAlign w:val="center"/>
          </w:tcPr>
          <w:p w14:paraId="7427C5BA">
            <w:pPr>
              <w:widowControl/>
              <w:adjustRightInd w:val="0"/>
              <w:snapToGrid w:val="0"/>
              <w:jc w:val="center"/>
              <w:textAlignment w:val="center"/>
              <w:rPr>
                <w:color w:val="auto"/>
                <w:sz w:val="18"/>
                <w:szCs w:val="18"/>
              </w:rPr>
            </w:pPr>
            <w:r>
              <w:rPr>
                <w:color w:val="auto"/>
                <w:kern w:val="0"/>
                <w:sz w:val="18"/>
                <w:szCs w:val="18"/>
                <w:lang w:bidi="ar"/>
              </w:rPr>
              <w:t>31.09</w:t>
            </w:r>
          </w:p>
        </w:tc>
        <w:tc>
          <w:tcPr>
            <w:tcW w:w="728" w:type="dxa"/>
            <w:shd w:val="clear" w:color="auto" w:fill="FFFFFF"/>
            <w:noWrap/>
            <w:vAlign w:val="center"/>
          </w:tcPr>
          <w:p w14:paraId="34D974E5">
            <w:pPr>
              <w:widowControl/>
              <w:adjustRightInd w:val="0"/>
              <w:snapToGrid w:val="0"/>
              <w:jc w:val="center"/>
              <w:textAlignment w:val="center"/>
              <w:rPr>
                <w:color w:val="auto"/>
                <w:sz w:val="18"/>
                <w:szCs w:val="18"/>
              </w:rPr>
            </w:pPr>
            <w:r>
              <w:rPr>
                <w:color w:val="auto"/>
                <w:kern w:val="0"/>
                <w:sz w:val="18"/>
                <w:szCs w:val="18"/>
                <w:lang w:bidi="ar"/>
              </w:rPr>
              <w:t>1.72</w:t>
            </w:r>
          </w:p>
        </w:tc>
        <w:tc>
          <w:tcPr>
            <w:tcW w:w="728" w:type="dxa"/>
            <w:shd w:val="clear" w:color="auto" w:fill="auto"/>
            <w:noWrap/>
            <w:vAlign w:val="center"/>
          </w:tcPr>
          <w:p w14:paraId="156646A4">
            <w:pPr>
              <w:widowControl/>
              <w:adjustRightInd w:val="0"/>
              <w:snapToGrid w:val="0"/>
              <w:jc w:val="center"/>
              <w:textAlignment w:val="center"/>
              <w:rPr>
                <w:color w:val="auto"/>
                <w:sz w:val="18"/>
                <w:szCs w:val="18"/>
              </w:rPr>
            </w:pPr>
            <w:r>
              <w:rPr>
                <w:color w:val="auto"/>
                <w:kern w:val="0"/>
                <w:sz w:val="18"/>
                <w:szCs w:val="18"/>
                <w:lang w:bidi="ar"/>
              </w:rPr>
              <w:t>6.28</w:t>
            </w:r>
          </w:p>
        </w:tc>
        <w:tc>
          <w:tcPr>
            <w:tcW w:w="855" w:type="dxa"/>
            <w:shd w:val="clear" w:color="auto" w:fill="FFFFFF"/>
            <w:noWrap/>
            <w:vAlign w:val="center"/>
          </w:tcPr>
          <w:p w14:paraId="0FB0C611">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0BAB2E68">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11FF00C">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148D2E8">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61CFB9E3">
            <w:pPr>
              <w:widowControl/>
              <w:adjustRightInd w:val="0"/>
              <w:snapToGrid w:val="0"/>
              <w:jc w:val="center"/>
              <w:textAlignment w:val="center"/>
              <w:rPr>
                <w:color w:val="auto"/>
                <w:sz w:val="18"/>
                <w:szCs w:val="18"/>
              </w:rPr>
            </w:pPr>
            <w:r>
              <w:rPr>
                <w:color w:val="auto"/>
                <w:kern w:val="0"/>
                <w:sz w:val="18"/>
                <w:szCs w:val="18"/>
                <w:lang w:bidi="ar"/>
              </w:rPr>
              <w:t>1</w:t>
            </w:r>
          </w:p>
        </w:tc>
      </w:tr>
      <w:tr w14:paraId="1AD7CD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22DC8524">
            <w:pPr>
              <w:widowControl/>
              <w:adjustRightInd w:val="0"/>
              <w:snapToGrid w:val="0"/>
              <w:jc w:val="center"/>
              <w:textAlignment w:val="center"/>
              <w:rPr>
                <w:color w:val="auto"/>
                <w:sz w:val="18"/>
                <w:szCs w:val="18"/>
              </w:rPr>
            </w:pPr>
            <w:r>
              <w:rPr>
                <w:color w:val="auto"/>
                <w:kern w:val="0"/>
                <w:sz w:val="18"/>
                <w:szCs w:val="18"/>
                <w:lang w:bidi="ar"/>
              </w:rPr>
              <w:t>洗水机7</w:t>
            </w:r>
          </w:p>
        </w:tc>
        <w:tc>
          <w:tcPr>
            <w:tcW w:w="539" w:type="dxa"/>
            <w:vMerge w:val="continue"/>
            <w:shd w:val="clear" w:color="auto" w:fill="FFFFFF"/>
            <w:noWrap/>
            <w:vAlign w:val="center"/>
          </w:tcPr>
          <w:p w14:paraId="00EC7B64">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0B465F7B">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25C9B559">
            <w:pPr>
              <w:adjustRightInd w:val="0"/>
              <w:snapToGrid w:val="0"/>
              <w:jc w:val="center"/>
              <w:rPr>
                <w:color w:val="auto"/>
                <w:sz w:val="18"/>
                <w:szCs w:val="18"/>
              </w:rPr>
            </w:pPr>
          </w:p>
        </w:tc>
        <w:tc>
          <w:tcPr>
            <w:tcW w:w="875" w:type="dxa"/>
            <w:shd w:val="clear" w:color="auto" w:fill="FFFFFF"/>
            <w:noWrap/>
            <w:vAlign w:val="center"/>
          </w:tcPr>
          <w:p w14:paraId="463ED722">
            <w:pPr>
              <w:widowControl/>
              <w:adjustRightInd w:val="0"/>
              <w:snapToGrid w:val="0"/>
              <w:jc w:val="center"/>
              <w:textAlignment w:val="center"/>
              <w:rPr>
                <w:color w:val="auto"/>
                <w:sz w:val="18"/>
                <w:szCs w:val="18"/>
              </w:rPr>
            </w:pPr>
            <w:r>
              <w:rPr>
                <w:color w:val="auto"/>
                <w:kern w:val="0"/>
                <w:sz w:val="18"/>
                <w:szCs w:val="18"/>
                <w:lang w:bidi="ar"/>
              </w:rPr>
              <w:t>129.6</w:t>
            </w:r>
          </w:p>
        </w:tc>
        <w:tc>
          <w:tcPr>
            <w:tcW w:w="802" w:type="dxa"/>
            <w:shd w:val="clear" w:color="auto" w:fill="FFFFFF"/>
            <w:noWrap/>
            <w:vAlign w:val="center"/>
          </w:tcPr>
          <w:p w14:paraId="73D01398">
            <w:pPr>
              <w:widowControl/>
              <w:adjustRightInd w:val="0"/>
              <w:snapToGrid w:val="0"/>
              <w:jc w:val="center"/>
              <w:textAlignment w:val="center"/>
              <w:rPr>
                <w:color w:val="auto"/>
                <w:sz w:val="18"/>
                <w:szCs w:val="18"/>
              </w:rPr>
            </w:pPr>
            <w:r>
              <w:rPr>
                <w:color w:val="auto"/>
                <w:kern w:val="0"/>
                <w:sz w:val="18"/>
                <w:szCs w:val="18"/>
                <w:lang w:bidi="ar"/>
              </w:rPr>
              <w:t>108.09</w:t>
            </w:r>
          </w:p>
        </w:tc>
        <w:tc>
          <w:tcPr>
            <w:tcW w:w="507" w:type="dxa"/>
            <w:shd w:val="clear" w:color="auto" w:fill="FFFFFF"/>
            <w:noWrap/>
            <w:vAlign w:val="center"/>
          </w:tcPr>
          <w:p w14:paraId="108CA775">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7F00E314">
            <w:pPr>
              <w:widowControl/>
              <w:adjustRightInd w:val="0"/>
              <w:snapToGrid w:val="0"/>
              <w:jc w:val="center"/>
              <w:textAlignment w:val="center"/>
              <w:rPr>
                <w:color w:val="auto"/>
                <w:sz w:val="18"/>
                <w:szCs w:val="18"/>
              </w:rPr>
            </w:pPr>
            <w:r>
              <w:rPr>
                <w:color w:val="auto"/>
                <w:kern w:val="0"/>
                <w:sz w:val="18"/>
                <w:szCs w:val="18"/>
                <w:lang w:bidi="ar"/>
              </w:rPr>
              <w:t>23.17</w:t>
            </w:r>
          </w:p>
        </w:tc>
        <w:tc>
          <w:tcPr>
            <w:tcW w:w="728" w:type="dxa"/>
            <w:shd w:val="clear" w:color="auto" w:fill="auto"/>
            <w:noWrap/>
            <w:vAlign w:val="center"/>
          </w:tcPr>
          <w:p w14:paraId="60148394">
            <w:pPr>
              <w:widowControl/>
              <w:adjustRightInd w:val="0"/>
              <w:snapToGrid w:val="0"/>
              <w:jc w:val="center"/>
              <w:textAlignment w:val="center"/>
              <w:rPr>
                <w:color w:val="auto"/>
                <w:sz w:val="18"/>
                <w:szCs w:val="18"/>
              </w:rPr>
            </w:pPr>
            <w:r>
              <w:rPr>
                <w:color w:val="auto"/>
                <w:kern w:val="0"/>
                <w:sz w:val="18"/>
                <w:szCs w:val="18"/>
                <w:lang w:bidi="ar"/>
              </w:rPr>
              <w:t>33.12</w:t>
            </w:r>
          </w:p>
        </w:tc>
        <w:tc>
          <w:tcPr>
            <w:tcW w:w="728" w:type="dxa"/>
            <w:shd w:val="clear" w:color="auto" w:fill="FFFFFF"/>
            <w:noWrap/>
            <w:vAlign w:val="center"/>
          </w:tcPr>
          <w:p w14:paraId="0E08B4C9">
            <w:pPr>
              <w:widowControl/>
              <w:adjustRightInd w:val="0"/>
              <w:snapToGrid w:val="0"/>
              <w:jc w:val="center"/>
              <w:textAlignment w:val="center"/>
              <w:rPr>
                <w:color w:val="auto"/>
                <w:sz w:val="18"/>
                <w:szCs w:val="18"/>
              </w:rPr>
            </w:pPr>
            <w:r>
              <w:rPr>
                <w:color w:val="auto"/>
                <w:kern w:val="0"/>
                <w:sz w:val="18"/>
                <w:szCs w:val="18"/>
                <w:lang w:bidi="ar"/>
              </w:rPr>
              <w:t>1.48</w:t>
            </w:r>
          </w:p>
        </w:tc>
        <w:tc>
          <w:tcPr>
            <w:tcW w:w="728" w:type="dxa"/>
            <w:shd w:val="clear" w:color="auto" w:fill="auto"/>
            <w:noWrap/>
            <w:vAlign w:val="center"/>
          </w:tcPr>
          <w:p w14:paraId="7F0C4BB2">
            <w:pPr>
              <w:widowControl/>
              <w:adjustRightInd w:val="0"/>
              <w:snapToGrid w:val="0"/>
              <w:jc w:val="center"/>
              <w:textAlignment w:val="center"/>
              <w:rPr>
                <w:color w:val="auto"/>
                <w:sz w:val="18"/>
                <w:szCs w:val="18"/>
              </w:rPr>
            </w:pPr>
            <w:r>
              <w:rPr>
                <w:color w:val="auto"/>
                <w:kern w:val="0"/>
                <w:sz w:val="18"/>
                <w:szCs w:val="18"/>
                <w:lang w:bidi="ar"/>
              </w:rPr>
              <w:t>4.25</w:t>
            </w:r>
          </w:p>
        </w:tc>
        <w:tc>
          <w:tcPr>
            <w:tcW w:w="855" w:type="dxa"/>
            <w:shd w:val="clear" w:color="auto" w:fill="FFFFFF"/>
            <w:noWrap/>
            <w:vAlign w:val="center"/>
          </w:tcPr>
          <w:p w14:paraId="15C0F336">
            <w:pPr>
              <w:widowControl/>
              <w:adjustRightInd w:val="0"/>
              <w:snapToGrid w:val="0"/>
              <w:jc w:val="center"/>
              <w:textAlignment w:val="center"/>
              <w:rPr>
                <w:color w:val="auto"/>
                <w:sz w:val="18"/>
                <w:szCs w:val="18"/>
              </w:rPr>
            </w:pPr>
            <w:r>
              <w:rPr>
                <w:color w:val="auto"/>
                <w:kern w:val="0"/>
                <w:sz w:val="18"/>
                <w:szCs w:val="18"/>
                <w:lang w:bidi="ar"/>
              </w:rPr>
              <w:t>60.19</w:t>
            </w:r>
          </w:p>
        </w:tc>
        <w:tc>
          <w:tcPr>
            <w:tcW w:w="1116" w:type="dxa"/>
            <w:shd w:val="clear" w:color="auto" w:fill="FFFFFF"/>
            <w:noWrap/>
            <w:vAlign w:val="center"/>
          </w:tcPr>
          <w:p w14:paraId="263F28B9">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600A0D5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7CAE64B2">
            <w:pPr>
              <w:widowControl/>
              <w:adjustRightInd w:val="0"/>
              <w:snapToGrid w:val="0"/>
              <w:jc w:val="center"/>
              <w:textAlignment w:val="center"/>
              <w:rPr>
                <w:color w:val="auto"/>
                <w:sz w:val="18"/>
                <w:szCs w:val="18"/>
              </w:rPr>
            </w:pPr>
            <w:r>
              <w:rPr>
                <w:color w:val="auto"/>
                <w:kern w:val="0"/>
                <w:sz w:val="18"/>
                <w:szCs w:val="18"/>
                <w:lang w:bidi="ar"/>
              </w:rPr>
              <w:t>34.19</w:t>
            </w:r>
          </w:p>
        </w:tc>
        <w:tc>
          <w:tcPr>
            <w:tcW w:w="1011" w:type="dxa"/>
            <w:shd w:val="clear" w:color="auto" w:fill="FFFFFF"/>
            <w:noWrap/>
            <w:vAlign w:val="center"/>
          </w:tcPr>
          <w:p w14:paraId="4959F34E">
            <w:pPr>
              <w:widowControl/>
              <w:adjustRightInd w:val="0"/>
              <w:snapToGrid w:val="0"/>
              <w:jc w:val="center"/>
              <w:textAlignment w:val="center"/>
              <w:rPr>
                <w:color w:val="auto"/>
                <w:sz w:val="18"/>
                <w:szCs w:val="18"/>
              </w:rPr>
            </w:pPr>
            <w:r>
              <w:rPr>
                <w:color w:val="auto"/>
                <w:kern w:val="0"/>
                <w:sz w:val="18"/>
                <w:szCs w:val="18"/>
                <w:lang w:bidi="ar"/>
              </w:rPr>
              <w:t>1</w:t>
            </w:r>
          </w:p>
        </w:tc>
      </w:tr>
      <w:tr w14:paraId="75548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40202B5">
            <w:pPr>
              <w:widowControl/>
              <w:adjustRightInd w:val="0"/>
              <w:snapToGrid w:val="0"/>
              <w:jc w:val="center"/>
              <w:textAlignment w:val="center"/>
              <w:rPr>
                <w:color w:val="auto"/>
                <w:sz w:val="18"/>
                <w:szCs w:val="18"/>
              </w:rPr>
            </w:pPr>
            <w:r>
              <w:rPr>
                <w:color w:val="auto"/>
                <w:kern w:val="0"/>
                <w:sz w:val="18"/>
                <w:szCs w:val="18"/>
                <w:lang w:bidi="ar"/>
              </w:rPr>
              <w:t>烘干机1</w:t>
            </w:r>
          </w:p>
        </w:tc>
        <w:tc>
          <w:tcPr>
            <w:tcW w:w="539" w:type="dxa"/>
            <w:vMerge w:val="continue"/>
            <w:shd w:val="clear" w:color="auto" w:fill="FFFFFF"/>
            <w:noWrap/>
            <w:vAlign w:val="center"/>
          </w:tcPr>
          <w:p w14:paraId="3C2ECF04">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6AC8B08E">
            <w:pPr>
              <w:widowControl/>
              <w:adjustRightInd w:val="0"/>
              <w:snapToGrid w:val="0"/>
              <w:jc w:val="center"/>
              <w:textAlignment w:val="center"/>
              <w:rPr>
                <w:color w:val="auto"/>
                <w:sz w:val="18"/>
                <w:szCs w:val="18"/>
              </w:rPr>
            </w:pPr>
            <w:r>
              <w:rPr>
                <w:color w:val="auto"/>
                <w:kern w:val="0"/>
                <w:sz w:val="18"/>
                <w:szCs w:val="18"/>
                <w:lang w:bidi="ar"/>
              </w:rPr>
              <w:t>65</w:t>
            </w:r>
          </w:p>
        </w:tc>
        <w:tc>
          <w:tcPr>
            <w:tcW w:w="674" w:type="dxa"/>
            <w:vMerge w:val="continue"/>
            <w:shd w:val="clear" w:color="auto" w:fill="FFFFFF"/>
            <w:noWrap/>
            <w:vAlign w:val="center"/>
          </w:tcPr>
          <w:p w14:paraId="302A2B34">
            <w:pPr>
              <w:adjustRightInd w:val="0"/>
              <w:snapToGrid w:val="0"/>
              <w:jc w:val="center"/>
              <w:rPr>
                <w:color w:val="auto"/>
                <w:sz w:val="18"/>
                <w:szCs w:val="18"/>
              </w:rPr>
            </w:pPr>
          </w:p>
        </w:tc>
        <w:tc>
          <w:tcPr>
            <w:tcW w:w="875" w:type="dxa"/>
            <w:shd w:val="clear" w:color="auto" w:fill="FFFFFF"/>
            <w:noWrap/>
            <w:vAlign w:val="center"/>
          </w:tcPr>
          <w:p w14:paraId="5CC827DB">
            <w:pPr>
              <w:widowControl/>
              <w:adjustRightInd w:val="0"/>
              <w:snapToGrid w:val="0"/>
              <w:jc w:val="center"/>
              <w:textAlignment w:val="center"/>
              <w:rPr>
                <w:color w:val="auto"/>
                <w:sz w:val="18"/>
                <w:szCs w:val="18"/>
              </w:rPr>
            </w:pPr>
            <w:r>
              <w:rPr>
                <w:color w:val="auto"/>
                <w:kern w:val="0"/>
                <w:sz w:val="18"/>
                <w:szCs w:val="18"/>
                <w:lang w:bidi="ar"/>
              </w:rPr>
              <w:t>97.79</w:t>
            </w:r>
          </w:p>
        </w:tc>
        <w:tc>
          <w:tcPr>
            <w:tcW w:w="802" w:type="dxa"/>
            <w:shd w:val="clear" w:color="auto" w:fill="FFFFFF"/>
            <w:noWrap/>
            <w:vAlign w:val="center"/>
          </w:tcPr>
          <w:p w14:paraId="05ADDEB8">
            <w:pPr>
              <w:widowControl/>
              <w:adjustRightInd w:val="0"/>
              <w:snapToGrid w:val="0"/>
              <w:jc w:val="center"/>
              <w:textAlignment w:val="center"/>
              <w:rPr>
                <w:color w:val="auto"/>
                <w:sz w:val="18"/>
                <w:szCs w:val="18"/>
              </w:rPr>
            </w:pPr>
            <w:r>
              <w:rPr>
                <w:color w:val="auto"/>
                <w:kern w:val="0"/>
                <w:sz w:val="18"/>
                <w:szCs w:val="18"/>
                <w:lang w:bidi="ar"/>
              </w:rPr>
              <w:t>124.37</w:t>
            </w:r>
          </w:p>
        </w:tc>
        <w:tc>
          <w:tcPr>
            <w:tcW w:w="507" w:type="dxa"/>
            <w:shd w:val="clear" w:color="auto" w:fill="FFFFFF"/>
            <w:noWrap/>
            <w:vAlign w:val="center"/>
          </w:tcPr>
          <w:p w14:paraId="7A45EA5E">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673D1AD2">
            <w:pPr>
              <w:widowControl/>
              <w:adjustRightInd w:val="0"/>
              <w:snapToGrid w:val="0"/>
              <w:jc w:val="center"/>
              <w:textAlignment w:val="center"/>
              <w:rPr>
                <w:color w:val="auto"/>
                <w:sz w:val="18"/>
                <w:szCs w:val="18"/>
              </w:rPr>
            </w:pPr>
            <w:r>
              <w:rPr>
                <w:color w:val="auto"/>
                <w:kern w:val="0"/>
                <w:sz w:val="18"/>
                <w:szCs w:val="18"/>
                <w:lang w:bidi="ar"/>
              </w:rPr>
              <w:t>4.92</w:t>
            </w:r>
          </w:p>
        </w:tc>
        <w:tc>
          <w:tcPr>
            <w:tcW w:w="728" w:type="dxa"/>
            <w:shd w:val="clear" w:color="auto" w:fill="auto"/>
            <w:noWrap/>
            <w:vAlign w:val="center"/>
          </w:tcPr>
          <w:p w14:paraId="2E3AE21A">
            <w:pPr>
              <w:widowControl/>
              <w:adjustRightInd w:val="0"/>
              <w:snapToGrid w:val="0"/>
              <w:jc w:val="center"/>
              <w:textAlignment w:val="center"/>
              <w:rPr>
                <w:color w:val="auto"/>
                <w:sz w:val="18"/>
                <w:szCs w:val="18"/>
              </w:rPr>
            </w:pPr>
            <w:r>
              <w:rPr>
                <w:color w:val="auto"/>
                <w:kern w:val="0"/>
                <w:sz w:val="18"/>
                <w:szCs w:val="18"/>
                <w:lang w:bidi="ar"/>
              </w:rPr>
              <w:t>3.48</w:t>
            </w:r>
          </w:p>
        </w:tc>
        <w:tc>
          <w:tcPr>
            <w:tcW w:w="728" w:type="dxa"/>
            <w:shd w:val="clear" w:color="auto" w:fill="FFFFFF"/>
            <w:noWrap/>
            <w:vAlign w:val="center"/>
          </w:tcPr>
          <w:p w14:paraId="2400C3EF">
            <w:pPr>
              <w:widowControl/>
              <w:adjustRightInd w:val="0"/>
              <w:snapToGrid w:val="0"/>
              <w:jc w:val="center"/>
              <w:textAlignment w:val="center"/>
              <w:rPr>
                <w:color w:val="auto"/>
                <w:sz w:val="18"/>
                <w:szCs w:val="18"/>
              </w:rPr>
            </w:pPr>
            <w:r>
              <w:rPr>
                <w:color w:val="auto"/>
                <w:kern w:val="0"/>
                <w:sz w:val="18"/>
                <w:szCs w:val="18"/>
                <w:lang w:bidi="ar"/>
              </w:rPr>
              <w:t>21.37</w:t>
            </w:r>
          </w:p>
        </w:tc>
        <w:tc>
          <w:tcPr>
            <w:tcW w:w="728" w:type="dxa"/>
            <w:shd w:val="clear" w:color="auto" w:fill="auto"/>
            <w:noWrap/>
            <w:vAlign w:val="center"/>
          </w:tcPr>
          <w:p w14:paraId="4C695C0C">
            <w:pPr>
              <w:widowControl/>
              <w:adjustRightInd w:val="0"/>
              <w:snapToGrid w:val="0"/>
              <w:jc w:val="center"/>
              <w:textAlignment w:val="center"/>
              <w:rPr>
                <w:color w:val="auto"/>
                <w:sz w:val="18"/>
                <w:szCs w:val="18"/>
              </w:rPr>
            </w:pPr>
            <w:r>
              <w:rPr>
                <w:color w:val="auto"/>
                <w:kern w:val="0"/>
                <w:sz w:val="18"/>
                <w:szCs w:val="18"/>
                <w:lang w:bidi="ar"/>
              </w:rPr>
              <w:t>33.95</w:t>
            </w:r>
          </w:p>
        </w:tc>
        <w:tc>
          <w:tcPr>
            <w:tcW w:w="855" w:type="dxa"/>
            <w:shd w:val="clear" w:color="auto" w:fill="FFFFFF"/>
            <w:noWrap/>
            <w:vAlign w:val="center"/>
          </w:tcPr>
          <w:p w14:paraId="00FD295B">
            <w:pPr>
              <w:widowControl/>
              <w:adjustRightInd w:val="0"/>
              <w:snapToGrid w:val="0"/>
              <w:jc w:val="center"/>
              <w:textAlignment w:val="center"/>
              <w:rPr>
                <w:color w:val="auto"/>
                <w:sz w:val="18"/>
                <w:szCs w:val="18"/>
              </w:rPr>
            </w:pPr>
            <w:r>
              <w:rPr>
                <w:color w:val="auto"/>
                <w:kern w:val="0"/>
                <w:sz w:val="18"/>
                <w:szCs w:val="18"/>
                <w:lang w:bidi="ar"/>
              </w:rPr>
              <w:t>55.32</w:t>
            </w:r>
          </w:p>
        </w:tc>
        <w:tc>
          <w:tcPr>
            <w:tcW w:w="1116" w:type="dxa"/>
            <w:shd w:val="clear" w:color="auto" w:fill="FFFFFF"/>
            <w:noWrap/>
            <w:vAlign w:val="center"/>
          </w:tcPr>
          <w:p w14:paraId="0B28383E">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21024E23">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707C48C0">
            <w:pPr>
              <w:widowControl/>
              <w:adjustRightInd w:val="0"/>
              <w:snapToGrid w:val="0"/>
              <w:jc w:val="center"/>
              <w:textAlignment w:val="center"/>
              <w:rPr>
                <w:color w:val="auto"/>
                <w:sz w:val="18"/>
                <w:szCs w:val="18"/>
              </w:rPr>
            </w:pPr>
            <w:r>
              <w:rPr>
                <w:color w:val="auto"/>
                <w:kern w:val="0"/>
                <w:sz w:val="18"/>
                <w:szCs w:val="18"/>
                <w:lang w:bidi="ar"/>
              </w:rPr>
              <w:t>29.32</w:t>
            </w:r>
          </w:p>
        </w:tc>
        <w:tc>
          <w:tcPr>
            <w:tcW w:w="1011" w:type="dxa"/>
            <w:shd w:val="clear" w:color="auto" w:fill="FFFFFF"/>
            <w:noWrap/>
            <w:vAlign w:val="center"/>
          </w:tcPr>
          <w:p w14:paraId="6AFFE080">
            <w:pPr>
              <w:widowControl/>
              <w:adjustRightInd w:val="0"/>
              <w:snapToGrid w:val="0"/>
              <w:jc w:val="center"/>
              <w:textAlignment w:val="center"/>
              <w:rPr>
                <w:color w:val="auto"/>
                <w:sz w:val="18"/>
                <w:szCs w:val="18"/>
              </w:rPr>
            </w:pPr>
            <w:r>
              <w:rPr>
                <w:color w:val="auto"/>
                <w:kern w:val="0"/>
                <w:sz w:val="18"/>
                <w:szCs w:val="18"/>
                <w:lang w:bidi="ar"/>
              </w:rPr>
              <w:t>1</w:t>
            </w:r>
          </w:p>
        </w:tc>
      </w:tr>
      <w:tr w14:paraId="4C97D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621B617">
            <w:pPr>
              <w:widowControl/>
              <w:adjustRightInd w:val="0"/>
              <w:snapToGrid w:val="0"/>
              <w:jc w:val="center"/>
              <w:textAlignment w:val="center"/>
              <w:rPr>
                <w:color w:val="auto"/>
                <w:sz w:val="18"/>
                <w:szCs w:val="18"/>
              </w:rPr>
            </w:pPr>
            <w:r>
              <w:rPr>
                <w:color w:val="auto"/>
                <w:kern w:val="0"/>
                <w:sz w:val="18"/>
                <w:szCs w:val="18"/>
                <w:lang w:bidi="ar"/>
              </w:rPr>
              <w:t>烘干机2</w:t>
            </w:r>
          </w:p>
        </w:tc>
        <w:tc>
          <w:tcPr>
            <w:tcW w:w="539" w:type="dxa"/>
            <w:vMerge w:val="continue"/>
            <w:shd w:val="clear" w:color="auto" w:fill="FFFFFF"/>
            <w:noWrap/>
            <w:vAlign w:val="center"/>
          </w:tcPr>
          <w:p w14:paraId="165359DD">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6AB2E08">
            <w:pPr>
              <w:widowControl/>
              <w:adjustRightInd w:val="0"/>
              <w:snapToGrid w:val="0"/>
              <w:jc w:val="center"/>
              <w:textAlignment w:val="center"/>
              <w:rPr>
                <w:color w:val="auto"/>
                <w:sz w:val="18"/>
                <w:szCs w:val="18"/>
              </w:rPr>
            </w:pPr>
            <w:r>
              <w:rPr>
                <w:color w:val="auto"/>
                <w:kern w:val="0"/>
                <w:sz w:val="18"/>
                <w:szCs w:val="18"/>
                <w:lang w:bidi="ar"/>
              </w:rPr>
              <w:t>65</w:t>
            </w:r>
          </w:p>
        </w:tc>
        <w:tc>
          <w:tcPr>
            <w:tcW w:w="674" w:type="dxa"/>
            <w:vMerge w:val="continue"/>
            <w:shd w:val="clear" w:color="auto" w:fill="FFFFFF"/>
            <w:noWrap/>
            <w:vAlign w:val="center"/>
          </w:tcPr>
          <w:p w14:paraId="4011ABF8">
            <w:pPr>
              <w:adjustRightInd w:val="0"/>
              <w:snapToGrid w:val="0"/>
              <w:jc w:val="center"/>
              <w:rPr>
                <w:color w:val="auto"/>
                <w:sz w:val="18"/>
                <w:szCs w:val="18"/>
              </w:rPr>
            </w:pPr>
          </w:p>
        </w:tc>
        <w:tc>
          <w:tcPr>
            <w:tcW w:w="875" w:type="dxa"/>
            <w:shd w:val="clear" w:color="auto" w:fill="FFFFFF"/>
            <w:noWrap/>
            <w:vAlign w:val="center"/>
          </w:tcPr>
          <w:p w14:paraId="00FF1261">
            <w:pPr>
              <w:widowControl/>
              <w:adjustRightInd w:val="0"/>
              <w:snapToGrid w:val="0"/>
              <w:jc w:val="center"/>
              <w:textAlignment w:val="center"/>
              <w:rPr>
                <w:color w:val="auto"/>
                <w:sz w:val="18"/>
                <w:szCs w:val="18"/>
              </w:rPr>
            </w:pPr>
            <w:r>
              <w:rPr>
                <w:color w:val="auto"/>
                <w:kern w:val="0"/>
                <w:sz w:val="18"/>
                <w:szCs w:val="18"/>
                <w:lang w:bidi="ar"/>
              </w:rPr>
              <w:t>99.82</w:t>
            </w:r>
          </w:p>
        </w:tc>
        <w:tc>
          <w:tcPr>
            <w:tcW w:w="802" w:type="dxa"/>
            <w:shd w:val="clear" w:color="auto" w:fill="FFFFFF"/>
            <w:noWrap/>
            <w:vAlign w:val="center"/>
          </w:tcPr>
          <w:p w14:paraId="5470B913">
            <w:pPr>
              <w:widowControl/>
              <w:adjustRightInd w:val="0"/>
              <w:snapToGrid w:val="0"/>
              <w:jc w:val="center"/>
              <w:textAlignment w:val="center"/>
              <w:rPr>
                <w:color w:val="auto"/>
                <w:sz w:val="18"/>
                <w:szCs w:val="18"/>
              </w:rPr>
            </w:pPr>
            <w:r>
              <w:rPr>
                <w:color w:val="auto"/>
                <w:kern w:val="0"/>
                <w:sz w:val="18"/>
                <w:szCs w:val="18"/>
                <w:lang w:bidi="ar"/>
              </w:rPr>
              <w:t>125.2</w:t>
            </w:r>
          </w:p>
        </w:tc>
        <w:tc>
          <w:tcPr>
            <w:tcW w:w="507" w:type="dxa"/>
            <w:shd w:val="clear" w:color="auto" w:fill="FFFFFF"/>
            <w:noWrap/>
            <w:vAlign w:val="center"/>
          </w:tcPr>
          <w:p w14:paraId="037903B2">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548F70EB">
            <w:pPr>
              <w:widowControl/>
              <w:adjustRightInd w:val="0"/>
              <w:snapToGrid w:val="0"/>
              <w:jc w:val="center"/>
              <w:textAlignment w:val="center"/>
              <w:rPr>
                <w:color w:val="auto"/>
                <w:sz w:val="18"/>
                <w:szCs w:val="18"/>
              </w:rPr>
            </w:pPr>
            <w:r>
              <w:rPr>
                <w:color w:val="auto"/>
                <w:kern w:val="0"/>
                <w:sz w:val="18"/>
                <w:szCs w:val="18"/>
                <w:lang w:bidi="ar"/>
              </w:rPr>
              <w:t>7.08</w:t>
            </w:r>
          </w:p>
        </w:tc>
        <w:tc>
          <w:tcPr>
            <w:tcW w:w="728" w:type="dxa"/>
            <w:shd w:val="clear" w:color="auto" w:fill="auto"/>
            <w:noWrap/>
            <w:vAlign w:val="center"/>
          </w:tcPr>
          <w:p w14:paraId="1DEBDC7D">
            <w:pPr>
              <w:widowControl/>
              <w:adjustRightInd w:val="0"/>
              <w:snapToGrid w:val="0"/>
              <w:jc w:val="center"/>
              <w:textAlignment w:val="center"/>
              <w:rPr>
                <w:color w:val="auto"/>
                <w:sz w:val="18"/>
                <w:szCs w:val="18"/>
              </w:rPr>
            </w:pPr>
            <w:r>
              <w:rPr>
                <w:color w:val="auto"/>
                <w:kern w:val="0"/>
                <w:sz w:val="18"/>
                <w:szCs w:val="18"/>
                <w:lang w:bidi="ar"/>
              </w:rPr>
              <w:t>3.73</w:t>
            </w:r>
          </w:p>
        </w:tc>
        <w:tc>
          <w:tcPr>
            <w:tcW w:w="728" w:type="dxa"/>
            <w:shd w:val="clear" w:color="auto" w:fill="FFFFFF"/>
            <w:noWrap/>
            <w:vAlign w:val="center"/>
          </w:tcPr>
          <w:p w14:paraId="7C765736">
            <w:pPr>
              <w:widowControl/>
              <w:adjustRightInd w:val="0"/>
              <w:snapToGrid w:val="0"/>
              <w:jc w:val="center"/>
              <w:textAlignment w:val="center"/>
              <w:rPr>
                <w:color w:val="auto"/>
                <w:sz w:val="18"/>
                <w:szCs w:val="18"/>
              </w:rPr>
            </w:pPr>
            <w:r>
              <w:rPr>
                <w:color w:val="auto"/>
                <w:kern w:val="0"/>
                <w:sz w:val="18"/>
                <w:szCs w:val="18"/>
                <w:lang w:bidi="ar"/>
              </w:rPr>
              <w:t>19.19</w:t>
            </w:r>
          </w:p>
        </w:tc>
        <w:tc>
          <w:tcPr>
            <w:tcW w:w="728" w:type="dxa"/>
            <w:shd w:val="clear" w:color="auto" w:fill="auto"/>
            <w:noWrap/>
            <w:vAlign w:val="center"/>
          </w:tcPr>
          <w:p w14:paraId="62FCAE79">
            <w:pPr>
              <w:widowControl/>
              <w:adjustRightInd w:val="0"/>
              <w:snapToGrid w:val="0"/>
              <w:jc w:val="center"/>
              <w:textAlignment w:val="center"/>
              <w:rPr>
                <w:color w:val="auto"/>
                <w:sz w:val="18"/>
                <w:szCs w:val="18"/>
              </w:rPr>
            </w:pPr>
            <w:r>
              <w:rPr>
                <w:color w:val="auto"/>
                <w:kern w:val="0"/>
                <w:sz w:val="18"/>
                <w:szCs w:val="18"/>
                <w:lang w:bidi="ar"/>
              </w:rPr>
              <w:t>33.69</w:t>
            </w:r>
          </w:p>
        </w:tc>
        <w:tc>
          <w:tcPr>
            <w:tcW w:w="855" w:type="dxa"/>
            <w:shd w:val="clear" w:color="auto" w:fill="FFFFFF"/>
            <w:noWrap/>
            <w:vAlign w:val="center"/>
          </w:tcPr>
          <w:p w14:paraId="12BE3B8A">
            <w:pPr>
              <w:widowControl/>
              <w:adjustRightInd w:val="0"/>
              <w:snapToGrid w:val="0"/>
              <w:jc w:val="center"/>
              <w:textAlignment w:val="center"/>
              <w:rPr>
                <w:color w:val="auto"/>
                <w:sz w:val="18"/>
                <w:szCs w:val="18"/>
              </w:rPr>
            </w:pPr>
            <w:r>
              <w:rPr>
                <w:color w:val="auto"/>
                <w:kern w:val="0"/>
                <w:sz w:val="18"/>
                <w:szCs w:val="18"/>
                <w:lang w:bidi="ar"/>
              </w:rPr>
              <w:t>55.25</w:t>
            </w:r>
          </w:p>
        </w:tc>
        <w:tc>
          <w:tcPr>
            <w:tcW w:w="1116" w:type="dxa"/>
            <w:shd w:val="clear" w:color="auto" w:fill="FFFFFF"/>
            <w:noWrap/>
            <w:vAlign w:val="center"/>
          </w:tcPr>
          <w:p w14:paraId="26FEDFF9">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1AE307D6">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2B04EF2">
            <w:pPr>
              <w:widowControl/>
              <w:adjustRightInd w:val="0"/>
              <w:snapToGrid w:val="0"/>
              <w:jc w:val="center"/>
              <w:textAlignment w:val="center"/>
              <w:rPr>
                <w:color w:val="auto"/>
                <w:sz w:val="18"/>
                <w:szCs w:val="18"/>
              </w:rPr>
            </w:pPr>
            <w:r>
              <w:rPr>
                <w:color w:val="auto"/>
                <w:kern w:val="0"/>
                <w:sz w:val="18"/>
                <w:szCs w:val="18"/>
                <w:lang w:bidi="ar"/>
              </w:rPr>
              <w:t>29.25</w:t>
            </w:r>
          </w:p>
        </w:tc>
        <w:tc>
          <w:tcPr>
            <w:tcW w:w="1011" w:type="dxa"/>
            <w:shd w:val="clear" w:color="auto" w:fill="FFFFFF"/>
            <w:noWrap/>
            <w:vAlign w:val="center"/>
          </w:tcPr>
          <w:p w14:paraId="10D16838">
            <w:pPr>
              <w:widowControl/>
              <w:adjustRightInd w:val="0"/>
              <w:snapToGrid w:val="0"/>
              <w:jc w:val="center"/>
              <w:textAlignment w:val="center"/>
              <w:rPr>
                <w:color w:val="auto"/>
                <w:sz w:val="18"/>
                <w:szCs w:val="18"/>
              </w:rPr>
            </w:pPr>
            <w:r>
              <w:rPr>
                <w:color w:val="auto"/>
                <w:kern w:val="0"/>
                <w:sz w:val="18"/>
                <w:szCs w:val="18"/>
                <w:lang w:bidi="ar"/>
              </w:rPr>
              <w:t>1</w:t>
            </w:r>
          </w:p>
        </w:tc>
      </w:tr>
      <w:tr w14:paraId="24AB7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7861393E">
            <w:pPr>
              <w:widowControl/>
              <w:adjustRightInd w:val="0"/>
              <w:snapToGrid w:val="0"/>
              <w:jc w:val="center"/>
              <w:textAlignment w:val="center"/>
              <w:rPr>
                <w:color w:val="auto"/>
                <w:sz w:val="18"/>
                <w:szCs w:val="18"/>
              </w:rPr>
            </w:pPr>
            <w:r>
              <w:rPr>
                <w:color w:val="auto"/>
                <w:kern w:val="0"/>
                <w:sz w:val="18"/>
                <w:szCs w:val="18"/>
                <w:lang w:bidi="ar"/>
              </w:rPr>
              <w:t>烘干机3</w:t>
            </w:r>
          </w:p>
        </w:tc>
        <w:tc>
          <w:tcPr>
            <w:tcW w:w="539" w:type="dxa"/>
            <w:vMerge w:val="continue"/>
            <w:shd w:val="clear" w:color="auto" w:fill="FFFFFF"/>
            <w:noWrap/>
            <w:vAlign w:val="center"/>
          </w:tcPr>
          <w:p w14:paraId="44DE0725">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4C4E797">
            <w:pPr>
              <w:widowControl/>
              <w:adjustRightInd w:val="0"/>
              <w:snapToGrid w:val="0"/>
              <w:jc w:val="center"/>
              <w:textAlignment w:val="center"/>
              <w:rPr>
                <w:color w:val="auto"/>
                <w:sz w:val="18"/>
                <w:szCs w:val="18"/>
              </w:rPr>
            </w:pPr>
            <w:r>
              <w:rPr>
                <w:color w:val="auto"/>
                <w:kern w:val="0"/>
                <w:sz w:val="18"/>
                <w:szCs w:val="18"/>
                <w:lang w:bidi="ar"/>
              </w:rPr>
              <w:t>65</w:t>
            </w:r>
          </w:p>
        </w:tc>
        <w:tc>
          <w:tcPr>
            <w:tcW w:w="674" w:type="dxa"/>
            <w:vMerge w:val="continue"/>
            <w:shd w:val="clear" w:color="auto" w:fill="FFFFFF"/>
            <w:noWrap/>
            <w:vAlign w:val="center"/>
          </w:tcPr>
          <w:p w14:paraId="60F55AD4">
            <w:pPr>
              <w:adjustRightInd w:val="0"/>
              <w:snapToGrid w:val="0"/>
              <w:jc w:val="center"/>
              <w:rPr>
                <w:color w:val="auto"/>
                <w:sz w:val="18"/>
                <w:szCs w:val="18"/>
              </w:rPr>
            </w:pPr>
          </w:p>
        </w:tc>
        <w:tc>
          <w:tcPr>
            <w:tcW w:w="875" w:type="dxa"/>
            <w:shd w:val="clear" w:color="auto" w:fill="FFFFFF"/>
            <w:noWrap/>
            <w:vAlign w:val="center"/>
          </w:tcPr>
          <w:p w14:paraId="3FAA6217">
            <w:pPr>
              <w:widowControl/>
              <w:adjustRightInd w:val="0"/>
              <w:snapToGrid w:val="0"/>
              <w:jc w:val="center"/>
              <w:textAlignment w:val="center"/>
              <w:rPr>
                <w:color w:val="auto"/>
                <w:sz w:val="18"/>
                <w:szCs w:val="18"/>
              </w:rPr>
            </w:pPr>
            <w:r>
              <w:rPr>
                <w:color w:val="auto"/>
                <w:kern w:val="0"/>
                <w:sz w:val="18"/>
                <w:szCs w:val="18"/>
                <w:lang w:bidi="ar"/>
              </w:rPr>
              <w:t>101.85</w:t>
            </w:r>
          </w:p>
        </w:tc>
        <w:tc>
          <w:tcPr>
            <w:tcW w:w="802" w:type="dxa"/>
            <w:shd w:val="clear" w:color="auto" w:fill="FFFFFF"/>
            <w:noWrap/>
            <w:vAlign w:val="center"/>
          </w:tcPr>
          <w:p w14:paraId="0681D57D">
            <w:pPr>
              <w:widowControl/>
              <w:adjustRightInd w:val="0"/>
              <w:snapToGrid w:val="0"/>
              <w:jc w:val="center"/>
              <w:textAlignment w:val="center"/>
              <w:rPr>
                <w:color w:val="auto"/>
                <w:sz w:val="18"/>
                <w:szCs w:val="18"/>
              </w:rPr>
            </w:pPr>
            <w:r>
              <w:rPr>
                <w:color w:val="auto"/>
                <w:kern w:val="0"/>
                <w:sz w:val="18"/>
                <w:szCs w:val="18"/>
                <w:lang w:bidi="ar"/>
              </w:rPr>
              <w:t>126.13</w:t>
            </w:r>
          </w:p>
        </w:tc>
        <w:tc>
          <w:tcPr>
            <w:tcW w:w="507" w:type="dxa"/>
            <w:shd w:val="clear" w:color="auto" w:fill="FFFFFF"/>
            <w:noWrap/>
            <w:vAlign w:val="center"/>
          </w:tcPr>
          <w:p w14:paraId="3DE7DAAD">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02BCF685">
            <w:pPr>
              <w:widowControl/>
              <w:adjustRightInd w:val="0"/>
              <w:snapToGrid w:val="0"/>
              <w:jc w:val="center"/>
              <w:textAlignment w:val="center"/>
              <w:rPr>
                <w:color w:val="auto"/>
                <w:sz w:val="18"/>
                <w:szCs w:val="18"/>
              </w:rPr>
            </w:pPr>
            <w:r>
              <w:rPr>
                <w:color w:val="auto"/>
                <w:kern w:val="0"/>
                <w:sz w:val="18"/>
                <w:szCs w:val="18"/>
                <w:lang w:bidi="ar"/>
              </w:rPr>
              <w:t>9.30</w:t>
            </w:r>
          </w:p>
        </w:tc>
        <w:tc>
          <w:tcPr>
            <w:tcW w:w="728" w:type="dxa"/>
            <w:shd w:val="clear" w:color="auto" w:fill="auto"/>
            <w:noWrap/>
            <w:vAlign w:val="center"/>
          </w:tcPr>
          <w:p w14:paraId="2649ED5D">
            <w:pPr>
              <w:widowControl/>
              <w:adjustRightInd w:val="0"/>
              <w:snapToGrid w:val="0"/>
              <w:jc w:val="center"/>
              <w:textAlignment w:val="center"/>
              <w:rPr>
                <w:color w:val="auto"/>
                <w:sz w:val="18"/>
                <w:szCs w:val="18"/>
              </w:rPr>
            </w:pPr>
            <w:r>
              <w:rPr>
                <w:color w:val="auto"/>
                <w:kern w:val="0"/>
                <w:sz w:val="18"/>
                <w:szCs w:val="18"/>
                <w:lang w:bidi="ar"/>
              </w:rPr>
              <w:t>3.90</w:t>
            </w:r>
          </w:p>
        </w:tc>
        <w:tc>
          <w:tcPr>
            <w:tcW w:w="728" w:type="dxa"/>
            <w:shd w:val="clear" w:color="auto" w:fill="FFFFFF"/>
            <w:noWrap/>
            <w:vAlign w:val="center"/>
          </w:tcPr>
          <w:p w14:paraId="7D23C03B">
            <w:pPr>
              <w:widowControl/>
              <w:adjustRightInd w:val="0"/>
              <w:snapToGrid w:val="0"/>
              <w:jc w:val="center"/>
              <w:textAlignment w:val="center"/>
              <w:rPr>
                <w:color w:val="auto"/>
                <w:sz w:val="18"/>
                <w:szCs w:val="18"/>
              </w:rPr>
            </w:pPr>
            <w:r>
              <w:rPr>
                <w:color w:val="auto"/>
                <w:kern w:val="0"/>
                <w:sz w:val="18"/>
                <w:szCs w:val="18"/>
                <w:lang w:bidi="ar"/>
              </w:rPr>
              <w:t>16.97</w:t>
            </w:r>
          </w:p>
        </w:tc>
        <w:tc>
          <w:tcPr>
            <w:tcW w:w="728" w:type="dxa"/>
            <w:shd w:val="clear" w:color="auto" w:fill="auto"/>
            <w:noWrap/>
            <w:vAlign w:val="center"/>
          </w:tcPr>
          <w:p w14:paraId="5F929829">
            <w:pPr>
              <w:widowControl/>
              <w:adjustRightInd w:val="0"/>
              <w:snapToGrid w:val="0"/>
              <w:jc w:val="center"/>
              <w:textAlignment w:val="center"/>
              <w:rPr>
                <w:color w:val="auto"/>
                <w:sz w:val="18"/>
                <w:szCs w:val="18"/>
              </w:rPr>
            </w:pPr>
            <w:r>
              <w:rPr>
                <w:color w:val="auto"/>
                <w:kern w:val="0"/>
                <w:sz w:val="18"/>
                <w:szCs w:val="18"/>
                <w:lang w:bidi="ar"/>
              </w:rPr>
              <w:t>33.51</w:t>
            </w:r>
          </w:p>
        </w:tc>
        <w:tc>
          <w:tcPr>
            <w:tcW w:w="855" w:type="dxa"/>
            <w:shd w:val="clear" w:color="auto" w:fill="FFFFFF"/>
            <w:noWrap/>
            <w:vAlign w:val="center"/>
          </w:tcPr>
          <w:p w14:paraId="15E43922">
            <w:pPr>
              <w:widowControl/>
              <w:adjustRightInd w:val="0"/>
              <w:snapToGrid w:val="0"/>
              <w:jc w:val="center"/>
              <w:textAlignment w:val="center"/>
              <w:rPr>
                <w:color w:val="auto"/>
                <w:sz w:val="18"/>
                <w:szCs w:val="18"/>
              </w:rPr>
            </w:pPr>
            <w:r>
              <w:rPr>
                <w:color w:val="auto"/>
                <w:kern w:val="0"/>
                <w:sz w:val="18"/>
                <w:szCs w:val="18"/>
                <w:lang w:bidi="ar"/>
              </w:rPr>
              <w:t>55.23</w:t>
            </w:r>
          </w:p>
        </w:tc>
        <w:tc>
          <w:tcPr>
            <w:tcW w:w="1116" w:type="dxa"/>
            <w:shd w:val="clear" w:color="auto" w:fill="FFFFFF"/>
            <w:noWrap/>
            <w:vAlign w:val="center"/>
          </w:tcPr>
          <w:p w14:paraId="6F7097D4">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D7D8EFC">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64E333D5">
            <w:pPr>
              <w:widowControl/>
              <w:adjustRightInd w:val="0"/>
              <w:snapToGrid w:val="0"/>
              <w:jc w:val="center"/>
              <w:textAlignment w:val="center"/>
              <w:rPr>
                <w:color w:val="auto"/>
                <w:sz w:val="18"/>
                <w:szCs w:val="18"/>
              </w:rPr>
            </w:pPr>
            <w:r>
              <w:rPr>
                <w:color w:val="auto"/>
                <w:kern w:val="0"/>
                <w:sz w:val="18"/>
                <w:szCs w:val="18"/>
                <w:lang w:bidi="ar"/>
              </w:rPr>
              <w:t>29.23</w:t>
            </w:r>
          </w:p>
        </w:tc>
        <w:tc>
          <w:tcPr>
            <w:tcW w:w="1011" w:type="dxa"/>
            <w:shd w:val="clear" w:color="auto" w:fill="FFFFFF"/>
            <w:noWrap/>
            <w:vAlign w:val="center"/>
          </w:tcPr>
          <w:p w14:paraId="7B486DDC">
            <w:pPr>
              <w:widowControl/>
              <w:adjustRightInd w:val="0"/>
              <w:snapToGrid w:val="0"/>
              <w:jc w:val="center"/>
              <w:textAlignment w:val="center"/>
              <w:rPr>
                <w:color w:val="auto"/>
                <w:sz w:val="18"/>
                <w:szCs w:val="18"/>
              </w:rPr>
            </w:pPr>
            <w:r>
              <w:rPr>
                <w:color w:val="auto"/>
                <w:kern w:val="0"/>
                <w:sz w:val="18"/>
                <w:szCs w:val="18"/>
                <w:lang w:bidi="ar"/>
              </w:rPr>
              <w:t>1</w:t>
            </w:r>
          </w:p>
        </w:tc>
      </w:tr>
      <w:tr w14:paraId="68BEA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12575D3">
            <w:pPr>
              <w:widowControl/>
              <w:adjustRightInd w:val="0"/>
              <w:snapToGrid w:val="0"/>
              <w:jc w:val="center"/>
              <w:textAlignment w:val="center"/>
              <w:rPr>
                <w:color w:val="auto"/>
                <w:sz w:val="18"/>
                <w:szCs w:val="18"/>
              </w:rPr>
            </w:pPr>
            <w:r>
              <w:rPr>
                <w:color w:val="auto"/>
                <w:kern w:val="0"/>
                <w:sz w:val="18"/>
                <w:szCs w:val="18"/>
                <w:lang w:bidi="ar"/>
              </w:rPr>
              <w:t>烘干机4</w:t>
            </w:r>
          </w:p>
        </w:tc>
        <w:tc>
          <w:tcPr>
            <w:tcW w:w="539" w:type="dxa"/>
            <w:vMerge w:val="continue"/>
            <w:shd w:val="clear" w:color="auto" w:fill="FFFFFF"/>
            <w:noWrap/>
            <w:vAlign w:val="center"/>
          </w:tcPr>
          <w:p w14:paraId="7526039B">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4E6536FC">
            <w:pPr>
              <w:widowControl/>
              <w:adjustRightInd w:val="0"/>
              <w:snapToGrid w:val="0"/>
              <w:jc w:val="center"/>
              <w:textAlignment w:val="center"/>
              <w:rPr>
                <w:color w:val="auto"/>
                <w:sz w:val="18"/>
                <w:szCs w:val="18"/>
              </w:rPr>
            </w:pPr>
            <w:r>
              <w:rPr>
                <w:color w:val="auto"/>
                <w:kern w:val="0"/>
                <w:sz w:val="18"/>
                <w:szCs w:val="18"/>
                <w:lang w:bidi="ar"/>
              </w:rPr>
              <w:t>65</w:t>
            </w:r>
          </w:p>
        </w:tc>
        <w:tc>
          <w:tcPr>
            <w:tcW w:w="674" w:type="dxa"/>
            <w:vMerge w:val="continue"/>
            <w:shd w:val="clear" w:color="auto" w:fill="FFFFFF"/>
            <w:noWrap/>
            <w:vAlign w:val="center"/>
          </w:tcPr>
          <w:p w14:paraId="1BFB4E1F">
            <w:pPr>
              <w:adjustRightInd w:val="0"/>
              <w:snapToGrid w:val="0"/>
              <w:jc w:val="center"/>
              <w:rPr>
                <w:color w:val="auto"/>
                <w:sz w:val="18"/>
                <w:szCs w:val="18"/>
              </w:rPr>
            </w:pPr>
          </w:p>
        </w:tc>
        <w:tc>
          <w:tcPr>
            <w:tcW w:w="875" w:type="dxa"/>
            <w:shd w:val="clear" w:color="auto" w:fill="FFFFFF"/>
            <w:noWrap/>
            <w:vAlign w:val="center"/>
          </w:tcPr>
          <w:p w14:paraId="12F0B64F">
            <w:pPr>
              <w:widowControl/>
              <w:adjustRightInd w:val="0"/>
              <w:snapToGrid w:val="0"/>
              <w:jc w:val="center"/>
              <w:textAlignment w:val="center"/>
              <w:rPr>
                <w:color w:val="auto"/>
                <w:sz w:val="18"/>
                <w:szCs w:val="18"/>
              </w:rPr>
            </w:pPr>
            <w:r>
              <w:rPr>
                <w:color w:val="auto"/>
                <w:kern w:val="0"/>
                <w:sz w:val="18"/>
                <w:szCs w:val="18"/>
                <w:lang w:bidi="ar"/>
              </w:rPr>
              <w:t>103.79</w:t>
            </w:r>
          </w:p>
        </w:tc>
        <w:tc>
          <w:tcPr>
            <w:tcW w:w="802" w:type="dxa"/>
            <w:shd w:val="clear" w:color="auto" w:fill="FFFFFF"/>
            <w:noWrap/>
            <w:vAlign w:val="center"/>
          </w:tcPr>
          <w:p w14:paraId="378EAD45">
            <w:pPr>
              <w:widowControl/>
              <w:adjustRightInd w:val="0"/>
              <w:snapToGrid w:val="0"/>
              <w:jc w:val="center"/>
              <w:textAlignment w:val="center"/>
              <w:rPr>
                <w:color w:val="auto"/>
                <w:sz w:val="18"/>
                <w:szCs w:val="18"/>
              </w:rPr>
            </w:pPr>
            <w:r>
              <w:rPr>
                <w:color w:val="auto"/>
                <w:kern w:val="0"/>
                <w:sz w:val="18"/>
                <w:szCs w:val="18"/>
                <w:lang w:bidi="ar"/>
              </w:rPr>
              <w:t>126.96</w:t>
            </w:r>
          </w:p>
        </w:tc>
        <w:tc>
          <w:tcPr>
            <w:tcW w:w="507" w:type="dxa"/>
            <w:shd w:val="clear" w:color="auto" w:fill="FFFFFF"/>
            <w:noWrap/>
            <w:vAlign w:val="center"/>
          </w:tcPr>
          <w:p w14:paraId="779A0F39">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6C46F1C5">
            <w:pPr>
              <w:widowControl/>
              <w:adjustRightInd w:val="0"/>
              <w:snapToGrid w:val="0"/>
              <w:jc w:val="center"/>
              <w:textAlignment w:val="center"/>
              <w:rPr>
                <w:color w:val="auto"/>
                <w:sz w:val="18"/>
                <w:szCs w:val="18"/>
              </w:rPr>
            </w:pPr>
            <w:r>
              <w:rPr>
                <w:color w:val="auto"/>
                <w:kern w:val="0"/>
                <w:sz w:val="18"/>
                <w:szCs w:val="18"/>
                <w:lang w:bidi="ar"/>
              </w:rPr>
              <w:t>11.38</w:t>
            </w:r>
          </w:p>
        </w:tc>
        <w:tc>
          <w:tcPr>
            <w:tcW w:w="728" w:type="dxa"/>
            <w:shd w:val="clear" w:color="auto" w:fill="auto"/>
            <w:noWrap/>
            <w:vAlign w:val="center"/>
          </w:tcPr>
          <w:p w14:paraId="78B5FA57">
            <w:pPr>
              <w:widowControl/>
              <w:adjustRightInd w:val="0"/>
              <w:snapToGrid w:val="0"/>
              <w:jc w:val="center"/>
              <w:textAlignment w:val="center"/>
              <w:rPr>
                <w:color w:val="auto"/>
                <w:sz w:val="18"/>
                <w:szCs w:val="18"/>
              </w:rPr>
            </w:pPr>
            <w:r>
              <w:rPr>
                <w:color w:val="auto"/>
                <w:kern w:val="0"/>
                <w:sz w:val="18"/>
                <w:szCs w:val="18"/>
                <w:lang w:bidi="ar"/>
              </w:rPr>
              <w:t>4.11</w:t>
            </w:r>
          </w:p>
        </w:tc>
        <w:tc>
          <w:tcPr>
            <w:tcW w:w="728" w:type="dxa"/>
            <w:shd w:val="clear" w:color="auto" w:fill="FFFFFF"/>
            <w:noWrap/>
            <w:vAlign w:val="center"/>
          </w:tcPr>
          <w:p w14:paraId="7851CB78">
            <w:pPr>
              <w:widowControl/>
              <w:adjustRightInd w:val="0"/>
              <w:snapToGrid w:val="0"/>
              <w:jc w:val="center"/>
              <w:textAlignment w:val="center"/>
              <w:rPr>
                <w:color w:val="auto"/>
                <w:sz w:val="18"/>
                <w:szCs w:val="18"/>
              </w:rPr>
            </w:pPr>
            <w:r>
              <w:rPr>
                <w:color w:val="auto"/>
                <w:kern w:val="0"/>
                <w:sz w:val="18"/>
                <w:szCs w:val="18"/>
                <w:lang w:bidi="ar"/>
              </w:rPr>
              <w:t>14.87</w:t>
            </w:r>
          </w:p>
        </w:tc>
        <w:tc>
          <w:tcPr>
            <w:tcW w:w="728" w:type="dxa"/>
            <w:shd w:val="clear" w:color="auto" w:fill="auto"/>
            <w:noWrap/>
            <w:vAlign w:val="center"/>
          </w:tcPr>
          <w:p w14:paraId="74F7C223">
            <w:pPr>
              <w:widowControl/>
              <w:adjustRightInd w:val="0"/>
              <w:snapToGrid w:val="0"/>
              <w:jc w:val="center"/>
              <w:textAlignment w:val="center"/>
              <w:rPr>
                <w:color w:val="auto"/>
                <w:sz w:val="18"/>
                <w:szCs w:val="18"/>
              </w:rPr>
            </w:pPr>
            <w:r>
              <w:rPr>
                <w:color w:val="auto"/>
                <w:kern w:val="0"/>
                <w:sz w:val="18"/>
                <w:szCs w:val="18"/>
                <w:lang w:bidi="ar"/>
              </w:rPr>
              <w:t>33.29</w:t>
            </w:r>
          </w:p>
        </w:tc>
        <w:tc>
          <w:tcPr>
            <w:tcW w:w="855" w:type="dxa"/>
            <w:shd w:val="clear" w:color="auto" w:fill="FFFFFF"/>
            <w:noWrap/>
            <w:vAlign w:val="center"/>
          </w:tcPr>
          <w:p w14:paraId="5FDFA92E">
            <w:pPr>
              <w:widowControl/>
              <w:adjustRightInd w:val="0"/>
              <w:snapToGrid w:val="0"/>
              <w:jc w:val="center"/>
              <w:textAlignment w:val="center"/>
              <w:rPr>
                <w:color w:val="auto"/>
                <w:sz w:val="18"/>
                <w:szCs w:val="18"/>
              </w:rPr>
            </w:pPr>
            <w:r>
              <w:rPr>
                <w:color w:val="auto"/>
                <w:kern w:val="0"/>
                <w:sz w:val="18"/>
                <w:szCs w:val="18"/>
                <w:lang w:bidi="ar"/>
              </w:rPr>
              <w:t>55.21</w:t>
            </w:r>
          </w:p>
        </w:tc>
        <w:tc>
          <w:tcPr>
            <w:tcW w:w="1116" w:type="dxa"/>
            <w:shd w:val="clear" w:color="auto" w:fill="FFFFFF"/>
            <w:noWrap/>
            <w:vAlign w:val="center"/>
          </w:tcPr>
          <w:p w14:paraId="226A3C47">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60973F37">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25610F80">
            <w:pPr>
              <w:widowControl/>
              <w:adjustRightInd w:val="0"/>
              <w:snapToGrid w:val="0"/>
              <w:jc w:val="center"/>
              <w:textAlignment w:val="center"/>
              <w:rPr>
                <w:color w:val="auto"/>
                <w:sz w:val="18"/>
                <w:szCs w:val="18"/>
              </w:rPr>
            </w:pPr>
            <w:r>
              <w:rPr>
                <w:color w:val="auto"/>
                <w:kern w:val="0"/>
                <w:sz w:val="18"/>
                <w:szCs w:val="18"/>
                <w:lang w:bidi="ar"/>
              </w:rPr>
              <w:t>29.21</w:t>
            </w:r>
          </w:p>
        </w:tc>
        <w:tc>
          <w:tcPr>
            <w:tcW w:w="1011" w:type="dxa"/>
            <w:shd w:val="clear" w:color="auto" w:fill="FFFFFF"/>
            <w:noWrap/>
            <w:vAlign w:val="center"/>
          </w:tcPr>
          <w:p w14:paraId="179C7845">
            <w:pPr>
              <w:widowControl/>
              <w:adjustRightInd w:val="0"/>
              <w:snapToGrid w:val="0"/>
              <w:jc w:val="center"/>
              <w:textAlignment w:val="center"/>
              <w:rPr>
                <w:color w:val="auto"/>
                <w:sz w:val="18"/>
                <w:szCs w:val="18"/>
              </w:rPr>
            </w:pPr>
            <w:r>
              <w:rPr>
                <w:color w:val="auto"/>
                <w:kern w:val="0"/>
                <w:sz w:val="18"/>
                <w:szCs w:val="18"/>
                <w:lang w:bidi="ar"/>
              </w:rPr>
              <w:t>1</w:t>
            </w:r>
          </w:p>
        </w:tc>
      </w:tr>
      <w:tr w14:paraId="1B607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7662A9AA">
            <w:pPr>
              <w:widowControl/>
              <w:adjustRightInd w:val="0"/>
              <w:snapToGrid w:val="0"/>
              <w:jc w:val="center"/>
              <w:textAlignment w:val="center"/>
              <w:rPr>
                <w:color w:val="auto"/>
                <w:sz w:val="18"/>
                <w:szCs w:val="18"/>
              </w:rPr>
            </w:pPr>
            <w:r>
              <w:rPr>
                <w:color w:val="auto"/>
                <w:kern w:val="0"/>
                <w:sz w:val="18"/>
                <w:szCs w:val="18"/>
                <w:lang w:bidi="ar"/>
              </w:rPr>
              <w:t>烘干机5</w:t>
            </w:r>
          </w:p>
        </w:tc>
        <w:tc>
          <w:tcPr>
            <w:tcW w:w="539" w:type="dxa"/>
            <w:vMerge w:val="continue"/>
            <w:shd w:val="clear" w:color="auto" w:fill="FFFFFF"/>
            <w:noWrap/>
            <w:vAlign w:val="center"/>
          </w:tcPr>
          <w:p w14:paraId="4213C3FC">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0B5283AD">
            <w:pPr>
              <w:widowControl/>
              <w:adjustRightInd w:val="0"/>
              <w:snapToGrid w:val="0"/>
              <w:jc w:val="center"/>
              <w:textAlignment w:val="center"/>
              <w:rPr>
                <w:color w:val="auto"/>
                <w:sz w:val="18"/>
                <w:szCs w:val="18"/>
              </w:rPr>
            </w:pPr>
            <w:r>
              <w:rPr>
                <w:color w:val="auto"/>
                <w:kern w:val="0"/>
                <w:sz w:val="18"/>
                <w:szCs w:val="18"/>
                <w:lang w:bidi="ar"/>
              </w:rPr>
              <w:t>65</w:t>
            </w:r>
          </w:p>
        </w:tc>
        <w:tc>
          <w:tcPr>
            <w:tcW w:w="674" w:type="dxa"/>
            <w:vMerge w:val="continue"/>
            <w:shd w:val="clear" w:color="auto" w:fill="FFFFFF"/>
            <w:noWrap/>
            <w:vAlign w:val="center"/>
          </w:tcPr>
          <w:p w14:paraId="77923140">
            <w:pPr>
              <w:adjustRightInd w:val="0"/>
              <w:snapToGrid w:val="0"/>
              <w:jc w:val="center"/>
              <w:rPr>
                <w:color w:val="auto"/>
                <w:sz w:val="18"/>
                <w:szCs w:val="18"/>
              </w:rPr>
            </w:pPr>
          </w:p>
        </w:tc>
        <w:tc>
          <w:tcPr>
            <w:tcW w:w="875" w:type="dxa"/>
            <w:shd w:val="clear" w:color="auto" w:fill="FFFFFF"/>
            <w:noWrap/>
            <w:vAlign w:val="center"/>
          </w:tcPr>
          <w:p w14:paraId="3E78674D">
            <w:pPr>
              <w:widowControl/>
              <w:adjustRightInd w:val="0"/>
              <w:snapToGrid w:val="0"/>
              <w:jc w:val="center"/>
              <w:textAlignment w:val="center"/>
              <w:rPr>
                <w:color w:val="auto"/>
                <w:sz w:val="18"/>
                <w:szCs w:val="18"/>
              </w:rPr>
            </w:pPr>
            <w:r>
              <w:rPr>
                <w:color w:val="auto"/>
                <w:kern w:val="0"/>
                <w:sz w:val="18"/>
                <w:szCs w:val="18"/>
                <w:lang w:bidi="ar"/>
              </w:rPr>
              <w:t>106.01</w:t>
            </w:r>
          </w:p>
        </w:tc>
        <w:tc>
          <w:tcPr>
            <w:tcW w:w="802" w:type="dxa"/>
            <w:shd w:val="clear" w:color="auto" w:fill="FFFFFF"/>
            <w:noWrap/>
            <w:vAlign w:val="center"/>
          </w:tcPr>
          <w:p w14:paraId="2C1FC2F9">
            <w:pPr>
              <w:widowControl/>
              <w:adjustRightInd w:val="0"/>
              <w:snapToGrid w:val="0"/>
              <w:jc w:val="center"/>
              <w:textAlignment w:val="center"/>
              <w:rPr>
                <w:color w:val="auto"/>
                <w:sz w:val="18"/>
                <w:szCs w:val="18"/>
              </w:rPr>
            </w:pPr>
            <w:r>
              <w:rPr>
                <w:color w:val="auto"/>
                <w:kern w:val="0"/>
                <w:sz w:val="18"/>
                <w:szCs w:val="18"/>
                <w:lang w:bidi="ar"/>
              </w:rPr>
              <w:t>127.79</w:t>
            </w:r>
          </w:p>
        </w:tc>
        <w:tc>
          <w:tcPr>
            <w:tcW w:w="507" w:type="dxa"/>
            <w:shd w:val="clear" w:color="auto" w:fill="FFFFFF"/>
            <w:noWrap/>
            <w:vAlign w:val="center"/>
          </w:tcPr>
          <w:p w14:paraId="5987A7AB">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44382376">
            <w:pPr>
              <w:widowControl/>
              <w:adjustRightInd w:val="0"/>
              <w:snapToGrid w:val="0"/>
              <w:jc w:val="center"/>
              <w:textAlignment w:val="center"/>
              <w:rPr>
                <w:color w:val="auto"/>
                <w:sz w:val="18"/>
                <w:szCs w:val="18"/>
              </w:rPr>
            </w:pPr>
            <w:r>
              <w:rPr>
                <w:color w:val="auto"/>
                <w:kern w:val="0"/>
                <w:sz w:val="18"/>
                <w:szCs w:val="18"/>
                <w:lang w:bidi="ar"/>
              </w:rPr>
              <w:t>13.70</w:t>
            </w:r>
          </w:p>
        </w:tc>
        <w:tc>
          <w:tcPr>
            <w:tcW w:w="728" w:type="dxa"/>
            <w:shd w:val="clear" w:color="auto" w:fill="auto"/>
            <w:noWrap/>
            <w:vAlign w:val="center"/>
          </w:tcPr>
          <w:p w14:paraId="38B545A0">
            <w:pPr>
              <w:widowControl/>
              <w:adjustRightInd w:val="0"/>
              <w:snapToGrid w:val="0"/>
              <w:jc w:val="center"/>
              <w:textAlignment w:val="center"/>
              <w:rPr>
                <w:color w:val="auto"/>
                <w:sz w:val="18"/>
                <w:szCs w:val="18"/>
              </w:rPr>
            </w:pPr>
            <w:r>
              <w:rPr>
                <w:color w:val="auto"/>
                <w:kern w:val="0"/>
                <w:sz w:val="18"/>
                <w:szCs w:val="18"/>
                <w:lang w:bidi="ar"/>
              </w:rPr>
              <w:t>4.46</w:t>
            </w:r>
          </w:p>
        </w:tc>
        <w:tc>
          <w:tcPr>
            <w:tcW w:w="728" w:type="dxa"/>
            <w:shd w:val="clear" w:color="auto" w:fill="FFFFFF"/>
            <w:noWrap/>
            <w:vAlign w:val="center"/>
          </w:tcPr>
          <w:p w14:paraId="1D3CEA36">
            <w:pPr>
              <w:widowControl/>
              <w:adjustRightInd w:val="0"/>
              <w:snapToGrid w:val="0"/>
              <w:jc w:val="center"/>
              <w:textAlignment w:val="center"/>
              <w:rPr>
                <w:color w:val="auto"/>
                <w:sz w:val="18"/>
                <w:szCs w:val="18"/>
              </w:rPr>
            </w:pPr>
            <w:r>
              <w:rPr>
                <w:color w:val="auto"/>
                <w:kern w:val="0"/>
                <w:sz w:val="18"/>
                <w:szCs w:val="18"/>
                <w:lang w:bidi="ar"/>
              </w:rPr>
              <w:t>12.52</w:t>
            </w:r>
          </w:p>
        </w:tc>
        <w:tc>
          <w:tcPr>
            <w:tcW w:w="728" w:type="dxa"/>
            <w:shd w:val="clear" w:color="auto" w:fill="auto"/>
            <w:noWrap/>
            <w:vAlign w:val="center"/>
          </w:tcPr>
          <w:p w14:paraId="44F1E059">
            <w:pPr>
              <w:widowControl/>
              <w:adjustRightInd w:val="0"/>
              <w:snapToGrid w:val="0"/>
              <w:jc w:val="center"/>
              <w:textAlignment w:val="center"/>
              <w:rPr>
                <w:color w:val="auto"/>
                <w:sz w:val="18"/>
                <w:szCs w:val="18"/>
              </w:rPr>
            </w:pPr>
            <w:r>
              <w:rPr>
                <w:color w:val="auto"/>
                <w:kern w:val="0"/>
                <w:sz w:val="18"/>
                <w:szCs w:val="18"/>
                <w:lang w:bidi="ar"/>
              </w:rPr>
              <w:t>32.94</w:t>
            </w:r>
          </w:p>
        </w:tc>
        <w:tc>
          <w:tcPr>
            <w:tcW w:w="855" w:type="dxa"/>
            <w:shd w:val="clear" w:color="auto" w:fill="FFFFFF"/>
            <w:noWrap/>
            <w:vAlign w:val="center"/>
          </w:tcPr>
          <w:p w14:paraId="0E38A228">
            <w:pPr>
              <w:widowControl/>
              <w:adjustRightInd w:val="0"/>
              <w:snapToGrid w:val="0"/>
              <w:jc w:val="center"/>
              <w:textAlignment w:val="center"/>
              <w:rPr>
                <w:color w:val="auto"/>
                <w:sz w:val="18"/>
                <w:szCs w:val="18"/>
              </w:rPr>
            </w:pPr>
            <w:r>
              <w:rPr>
                <w:color w:val="auto"/>
                <w:kern w:val="0"/>
                <w:sz w:val="18"/>
                <w:szCs w:val="18"/>
                <w:lang w:bidi="ar"/>
              </w:rPr>
              <w:t>55.21</w:t>
            </w:r>
          </w:p>
        </w:tc>
        <w:tc>
          <w:tcPr>
            <w:tcW w:w="1116" w:type="dxa"/>
            <w:shd w:val="clear" w:color="auto" w:fill="FFFFFF"/>
            <w:noWrap/>
            <w:vAlign w:val="center"/>
          </w:tcPr>
          <w:p w14:paraId="2DB19A9F">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1185812F">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49B99D20">
            <w:pPr>
              <w:widowControl/>
              <w:adjustRightInd w:val="0"/>
              <w:snapToGrid w:val="0"/>
              <w:jc w:val="center"/>
              <w:textAlignment w:val="center"/>
              <w:rPr>
                <w:color w:val="auto"/>
                <w:sz w:val="18"/>
                <w:szCs w:val="18"/>
              </w:rPr>
            </w:pPr>
            <w:r>
              <w:rPr>
                <w:color w:val="auto"/>
                <w:kern w:val="0"/>
                <w:sz w:val="18"/>
                <w:szCs w:val="18"/>
                <w:lang w:bidi="ar"/>
              </w:rPr>
              <w:t>29.21</w:t>
            </w:r>
          </w:p>
        </w:tc>
        <w:tc>
          <w:tcPr>
            <w:tcW w:w="1011" w:type="dxa"/>
            <w:shd w:val="clear" w:color="auto" w:fill="FFFFFF"/>
            <w:noWrap/>
            <w:vAlign w:val="center"/>
          </w:tcPr>
          <w:p w14:paraId="70CD9F2D">
            <w:pPr>
              <w:widowControl/>
              <w:adjustRightInd w:val="0"/>
              <w:snapToGrid w:val="0"/>
              <w:jc w:val="center"/>
              <w:textAlignment w:val="center"/>
              <w:rPr>
                <w:color w:val="auto"/>
                <w:sz w:val="18"/>
                <w:szCs w:val="18"/>
              </w:rPr>
            </w:pPr>
            <w:r>
              <w:rPr>
                <w:color w:val="auto"/>
                <w:kern w:val="0"/>
                <w:sz w:val="18"/>
                <w:szCs w:val="18"/>
                <w:lang w:bidi="ar"/>
              </w:rPr>
              <w:t>1</w:t>
            </w:r>
          </w:p>
        </w:tc>
      </w:tr>
      <w:tr w14:paraId="2E749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5ECD01C3">
            <w:pPr>
              <w:widowControl/>
              <w:adjustRightInd w:val="0"/>
              <w:snapToGrid w:val="0"/>
              <w:jc w:val="center"/>
              <w:textAlignment w:val="center"/>
              <w:rPr>
                <w:color w:val="auto"/>
                <w:sz w:val="18"/>
                <w:szCs w:val="18"/>
              </w:rPr>
            </w:pPr>
            <w:r>
              <w:rPr>
                <w:color w:val="auto"/>
                <w:kern w:val="0"/>
                <w:sz w:val="18"/>
                <w:szCs w:val="18"/>
                <w:lang w:bidi="ar"/>
              </w:rPr>
              <w:t>烘干机6</w:t>
            </w:r>
          </w:p>
        </w:tc>
        <w:tc>
          <w:tcPr>
            <w:tcW w:w="539" w:type="dxa"/>
            <w:vMerge w:val="continue"/>
            <w:shd w:val="clear" w:color="auto" w:fill="FFFFFF"/>
            <w:noWrap/>
            <w:vAlign w:val="center"/>
          </w:tcPr>
          <w:p w14:paraId="79C9724C">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4032D35B">
            <w:pPr>
              <w:widowControl/>
              <w:adjustRightInd w:val="0"/>
              <w:snapToGrid w:val="0"/>
              <w:jc w:val="center"/>
              <w:textAlignment w:val="center"/>
              <w:rPr>
                <w:color w:val="auto"/>
                <w:sz w:val="18"/>
                <w:szCs w:val="18"/>
              </w:rPr>
            </w:pPr>
            <w:r>
              <w:rPr>
                <w:color w:val="auto"/>
                <w:kern w:val="0"/>
                <w:sz w:val="18"/>
                <w:szCs w:val="18"/>
                <w:lang w:bidi="ar"/>
              </w:rPr>
              <w:t>65</w:t>
            </w:r>
          </w:p>
        </w:tc>
        <w:tc>
          <w:tcPr>
            <w:tcW w:w="674" w:type="dxa"/>
            <w:vMerge w:val="continue"/>
            <w:shd w:val="clear" w:color="auto" w:fill="FFFFFF"/>
            <w:noWrap/>
            <w:vAlign w:val="center"/>
          </w:tcPr>
          <w:p w14:paraId="78E32CBC">
            <w:pPr>
              <w:adjustRightInd w:val="0"/>
              <w:snapToGrid w:val="0"/>
              <w:jc w:val="center"/>
              <w:rPr>
                <w:color w:val="auto"/>
                <w:sz w:val="18"/>
                <w:szCs w:val="18"/>
              </w:rPr>
            </w:pPr>
          </w:p>
        </w:tc>
        <w:tc>
          <w:tcPr>
            <w:tcW w:w="875" w:type="dxa"/>
            <w:shd w:val="clear" w:color="auto" w:fill="FFFFFF"/>
            <w:noWrap/>
            <w:vAlign w:val="center"/>
          </w:tcPr>
          <w:p w14:paraId="3E3830F7">
            <w:pPr>
              <w:widowControl/>
              <w:adjustRightInd w:val="0"/>
              <w:snapToGrid w:val="0"/>
              <w:jc w:val="center"/>
              <w:textAlignment w:val="center"/>
              <w:rPr>
                <w:color w:val="auto"/>
                <w:sz w:val="18"/>
                <w:szCs w:val="18"/>
              </w:rPr>
            </w:pPr>
            <w:r>
              <w:rPr>
                <w:color w:val="auto"/>
                <w:kern w:val="0"/>
                <w:sz w:val="18"/>
                <w:szCs w:val="18"/>
                <w:lang w:bidi="ar"/>
              </w:rPr>
              <w:t>108.41</w:t>
            </w:r>
          </w:p>
        </w:tc>
        <w:tc>
          <w:tcPr>
            <w:tcW w:w="802" w:type="dxa"/>
            <w:shd w:val="clear" w:color="auto" w:fill="FFFFFF"/>
            <w:noWrap/>
            <w:vAlign w:val="center"/>
          </w:tcPr>
          <w:p w14:paraId="0CBB5990">
            <w:pPr>
              <w:widowControl/>
              <w:adjustRightInd w:val="0"/>
              <w:snapToGrid w:val="0"/>
              <w:jc w:val="center"/>
              <w:textAlignment w:val="center"/>
              <w:rPr>
                <w:color w:val="auto"/>
                <w:sz w:val="18"/>
                <w:szCs w:val="18"/>
              </w:rPr>
            </w:pPr>
            <w:r>
              <w:rPr>
                <w:color w:val="auto"/>
                <w:kern w:val="0"/>
                <w:sz w:val="18"/>
                <w:szCs w:val="18"/>
                <w:lang w:bidi="ar"/>
              </w:rPr>
              <w:t>128.71</w:t>
            </w:r>
          </w:p>
        </w:tc>
        <w:tc>
          <w:tcPr>
            <w:tcW w:w="507" w:type="dxa"/>
            <w:shd w:val="clear" w:color="auto" w:fill="FFFFFF"/>
            <w:noWrap/>
            <w:vAlign w:val="center"/>
          </w:tcPr>
          <w:p w14:paraId="0A679706">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43196D03">
            <w:pPr>
              <w:widowControl/>
              <w:adjustRightInd w:val="0"/>
              <w:snapToGrid w:val="0"/>
              <w:jc w:val="center"/>
              <w:textAlignment w:val="center"/>
              <w:rPr>
                <w:color w:val="auto"/>
                <w:sz w:val="18"/>
                <w:szCs w:val="18"/>
              </w:rPr>
            </w:pPr>
            <w:r>
              <w:rPr>
                <w:color w:val="auto"/>
                <w:kern w:val="0"/>
                <w:sz w:val="18"/>
                <w:szCs w:val="18"/>
                <w:lang w:bidi="ar"/>
              </w:rPr>
              <w:t>16.22</w:t>
            </w:r>
          </w:p>
        </w:tc>
        <w:tc>
          <w:tcPr>
            <w:tcW w:w="728" w:type="dxa"/>
            <w:shd w:val="clear" w:color="auto" w:fill="auto"/>
            <w:noWrap/>
            <w:vAlign w:val="center"/>
          </w:tcPr>
          <w:p w14:paraId="4177EFE5">
            <w:pPr>
              <w:widowControl/>
              <w:adjustRightInd w:val="0"/>
              <w:snapToGrid w:val="0"/>
              <w:jc w:val="center"/>
              <w:textAlignment w:val="center"/>
              <w:rPr>
                <w:color w:val="auto"/>
                <w:sz w:val="18"/>
                <w:szCs w:val="18"/>
              </w:rPr>
            </w:pPr>
            <w:r>
              <w:rPr>
                <w:color w:val="auto"/>
                <w:kern w:val="0"/>
                <w:sz w:val="18"/>
                <w:szCs w:val="18"/>
                <w:lang w:bidi="ar"/>
              </w:rPr>
              <w:t>4.82</w:t>
            </w:r>
          </w:p>
        </w:tc>
        <w:tc>
          <w:tcPr>
            <w:tcW w:w="728" w:type="dxa"/>
            <w:shd w:val="clear" w:color="auto" w:fill="FFFFFF"/>
            <w:noWrap/>
            <w:vAlign w:val="center"/>
          </w:tcPr>
          <w:p w14:paraId="313AFBEF">
            <w:pPr>
              <w:widowControl/>
              <w:adjustRightInd w:val="0"/>
              <w:snapToGrid w:val="0"/>
              <w:jc w:val="center"/>
              <w:textAlignment w:val="center"/>
              <w:rPr>
                <w:color w:val="auto"/>
                <w:sz w:val="18"/>
                <w:szCs w:val="18"/>
              </w:rPr>
            </w:pPr>
            <w:r>
              <w:rPr>
                <w:color w:val="auto"/>
                <w:kern w:val="0"/>
                <w:sz w:val="18"/>
                <w:szCs w:val="18"/>
                <w:lang w:bidi="ar"/>
              </w:rPr>
              <w:t>9.98</w:t>
            </w:r>
          </w:p>
        </w:tc>
        <w:tc>
          <w:tcPr>
            <w:tcW w:w="728" w:type="dxa"/>
            <w:shd w:val="clear" w:color="auto" w:fill="auto"/>
            <w:noWrap/>
            <w:vAlign w:val="center"/>
          </w:tcPr>
          <w:p w14:paraId="3EDFCE33">
            <w:pPr>
              <w:widowControl/>
              <w:adjustRightInd w:val="0"/>
              <w:snapToGrid w:val="0"/>
              <w:jc w:val="center"/>
              <w:textAlignment w:val="center"/>
              <w:rPr>
                <w:color w:val="auto"/>
                <w:sz w:val="18"/>
                <w:szCs w:val="18"/>
              </w:rPr>
            </w:pPr>
            <w:r>
              <w:rPr>
                <w:color w:val="auto"/>
                <w:kern w:val="0"/>
                <w:sz w:val="18"/>
                <w:szCs w:val="18"/>
                <w:lang w:bidi="ar"/>
              </w:rPr>
              <w:t>32.57</w:t>
            </w:r>
          </w:p>
        </w:tc>
        <w:tc>
          <w:tcPr>
            <w:tcW w:w="855" w:type="dxa"/>
            <w:shd w:val="clear" w:color="auto" w:fill="FFFFFF"/>
            <w:noWrap/>
            <w:vAlign w:val="center"/>
          </w:tcPr>
          <w:p w14:paraId="2AF65438">
            <w:pPr>
              <w:widowControl/>
              <w:adjustRightInd w:val="0"/>
              <w:snapToGrid w:val="0"/>
              <w:jc w:val="center"/>
              <w:textAlignment w:val="center"/>
              <w:rPr>
                <w:color w:val="auto"/>
                <w:sz w:val="18"/>
                <w:szCs w:val="18"/>
              </w:rPr>
            </w:pPr>
            <w:r>
              <w:rPr>
                <w:color w:val="auto"/>
                <w:kern w:val="0"/>
                <w:sz w:val="18"/>
                <w:szCs w:val="18"/>
                <w:lang w:bidi="ar"/>
              </w:rPr>
              <w:t>55.20</w:t>
            </w:r>
          </w:p>
        </w:tc>
        <w:tc>
          <w:tcPr>
            <w:tcW w:w="1116" w:type="dxa"/>
            <w:shd w:val="clear" w:color="auto" w:fill="FFFFFF"/>
            <w:noWrap/>
            <w:vAlign w:val="center"/>
          </w:tcPr>
          <w:p w14:paraId="4709AC14">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91B5CE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9C7B109">
            <w:pPr>
              <w:widowControl/>
              <w:adjustRightInd w:val="0"/>
              <w:snapToGrid w:val="0"/>
              <w:jc w:val="center"/>
              <w:textAlignment w:val="center"/>
              <w:rPr>
                <w:color w:val="auto"/>
                <w:sz w:val="18"/>
                <w:szCs w:val="18"/>
              </w:rPr>
            </w:pPr>
            <w:r>
              <w:rPr>
                <w:color w:val="auto"/>
                <w:kern w:val="0"/>
                <w:sz w:val="18"/>
                <w:szCs w:val="18"/>
                <w:lang w:bidi="ar"/>
              </w:rPr>
              <w:t>29.20</w:t>
            </w:r>
          </w:p>
        </w:tc>
        <w:tc>
          <w:tcPr>
            <w:tcW w:w="1011" w:type="dxa"/>
            <w:shd w:val="clear" w:color="auto" w:fill="FFFFFF"/>
            <w:noWrap/>
            <w:vAlign w:val="center"/>
          </w:tcPr>
          <w:p w14:paraId="4CDF52B4">
            <w:pPr>
              <w:widowControl/>
              <w:adjustRightInd w:val="0"/>
              <w:snapToGrid w:val="0"/>
              <w:jc w:val="center"/>
              <w:textAlignment w:val="center"/>
              <w:rPr>
                <w:color w:val="auto"/>
                <w:sz w:val="18"/>
                <w:szCs w:val="18"/>
              </w:rPr>
            </w:pPr>
            <w:r>
              <w:rPr>
                <w:color w:val="auto"/>
                <w:kern w:val="0"/>
                <w:sz w:val="18"/>
                <w:szCs w:val="18"/>
                <w:lang w:bidi="ar"/>
              </w:rPr>
              <w:t>1</w:t>
            </w:r>
          </w:p>
        </w:tc>
      </w:tr>
      <w:tr w14:paraId="72635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91A251E">
            <w:pPr>
              <w:widowControl/>
              <w:adjustRightInd w:val="0"/>
              <w:snapToGrid w:val="0"/>
              <w:jc w:val="center"/>
              <w:textAlignment w:val="center"/>
              <w:rPr>
                <w:color w:val="auto"/>
                <w:sz w:val="18"/>
                <w:szCs w:val="18"/>
              </w:rPr>
            </w:pPr>
            <w:r>
              <w:rPr>
                <w:color w:val="auto"/>
                <w:kern w:val="0"/>
                <w:sz w:val="18"/>
                <w:szCs w:val="18"/>
                <w:lang w:bidi="ar"/>
              </w:rPr>
              <w:t>捆扎机</w:t>
            </w:r>
          </w:p>
        </w:tc>
        <w:tc>
          <w:tcPr>
            <w:tcW w:w="539" w:type="dxa"/>
            <w:vMerge w:val="continue"/>
            <w:shd w:val="clear" w:color="auto" w:fill="FFFFFF"/>
            <w:noWrap/>
            <w:vAlign w:val="center"/>
          </w:tcPr>
          <w:p w14:paraId="0B0EC146">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501957F2">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774FBD9F">
            <w:pPr>
              <w:adjustRightInd w:val="0"/>
              <w:snapToGrid w:val="0"/>
              <w:jc w:val="center"/>
              <w:rPr>
                <w:color w:val="auto"/>
                <w:sz w:val="18"/>
                <w:szCs w:val="18"/>
              </w:rPr>
            </w:pPr>
          </w:p>
        </w:tc>
        <w:tc>
          <w:tcPr>
            <w:tcW w:w="875" w:type="dxa"/>
            <w:shd w:val="clear" w:color="auto" w:fill="FFFFFF"/>
            <w:noWrap/>
            <w:vAlign w:val="center"/>
          </w:tcPr>
          <w:p w14:paraId="492A6D61">
            <w:pPr>
              <w:widowControl/>
              <w:adjustRightInd w:val="0"/>
              <w:snapToGrid w:val="0"/>
              <w:jc w:val="center"/>
              <w:textAlignment w:val="center"/>
              <w:rPr>
                <w:color w:val="auto"/>
                <w:sz w:val="18"/>
                <w:szCs w:val="18"/>
              </w:rPr>
            </w:pPr>
            <w:r>
              <w:rPr>
                <w:color w:val="auto"/>
                <w:kern w:val="0"/>
                <w:sz w:val="18"/>
                <w:szCs w:val="18"/>
                <w:lang w:bidi="ar"/>
              </w:rPr>
              <w:t>112.01</w:t>
            </w:r>
          </w:p>
        </w:tc>
        <w:tc>
          <w:tcPr>
            <w:tcW w:w="802" w:type="dxa"/>
            <w:shd w:val="clear" w:color="auto" w:fill="FFFFFF"/>
            <w:noWrap/>
            <w:vAlign w:val="center"/>
          </w:tcPr>
          <w:p w14:paraId="7BB2FC60">
            <w:pPr>
              <w:widowControl/>
              <w:adjustRightInd w:val="0"/>
              <w:snapToGrid w:val="0"/>
              <w:jc w:val="center"/>
              <w:textAlignment w:val="center"/>
              <w:rPr>
                <w:color w:val="auto"/>
                <w:sz w:val="18"/>
                <w:szCs w:val="18"/>
              </w:rPr>
            </w:pPr>
            <w:r>
              <w:rPr>
                <w:color w:val="auto"/>
                <w:kern w:val="0"/>
                <w:sz w:val="18"/>
                <w:szCs w:val="18"/>
                <w:lang w:bidi="ar"/>
              </w:rPr>
              <w:t>104.61</w:t>
            </w:r>
          </w:p>
        </w:tc>
        <w:tc>
          <w:tcPr>
            <w:tcW w:w="507" w:type="dxa"/>
            <w:shd w:val="clear" w:color="auto" w:fill="FFFFFF"/>
            <w:noWrap/>
            <w:vAlign w:val="center"/>
          </w:tcPr>
          <w:p w14:paraId="1C88DC6C">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497CE44A">
            <w:pPr>
              <w:widowControl/>
              <w:adjustRightInd w:val="0"/>
              <w:snapToGrid w:val="0"/>
              <w:jc w:val="center"/>
              <w:textAlignment w:val="center"/>
              <w:rPr>
                <w:color w:val="auto"/>
                <w:sz w:val="18"/>
                <w:szCs w:val="18"/>
              </w:rPr>
            </w:pPr>
            <w:r>
              <w:rPr>
                <w:color w:val="auto"/>
                <w:kern w:val="0"/>
                <w:sz w:val="18"/>
                <w:szCs w:val="18"/>
                <w:lang w:bidi="ar"/>
              </w:rPr>
              <w:t>6.43</w:t>
            </w:r>
          </w:p>
        </w:tc>
        <w:tc>
          <w:tcPr>
            <w:tcW w:w="728" w:type="dxa"/>
            <w:shd w:val="clear" w:color="auto" w:fill="auto"/>
            <w:noWrap/>
            <w:vAlign w:val="center"/>
          </w:tcPr>
          <w:p w14:paraId="574EC88B">
            <w:pPr>
              <w:widowControl/>
              <w:adjustRightInd w:val="0"/>
              <w:snapToGrid w:val="0"/>
              <w:jc w:val="center"/>
              <w:textAlignment w:val="center"/>
              <w:rPr>
                <w:color w:val="auto"/>
                <w:sz w:val="18"/>
                <w:szCs w:val="18"/>
              </w:rPr>
            </w:pPr>
            <w:r>
              <w:rPr>
                <w:color w:val="auto"/>
                <w:kern w:val="0"/>
                <w:sz w:val="18"/>
                <w:szCs w:val="18"/>
                <w:lang w:bidi="ar"/>
              </w:rPr>
              <w:t>27.65</w:t>
            </w:r>
          </w:p>
        </w:tc>
        <w:tc>
          <w:tcPr>
            <w:tcW w:w="728" w:type="dxa"/>
            <w:shd w:val="clear" w:color="auto" w:fill="FFFFFF"/>
            <w:noWrap/>
            <w:vAlign w:val="center"/>
          </w:tcPr>
          <w:p w14:paraId="0470584A">
            <w:pPr>
              <w:widowControl/>
              <w:adjustRightInd w:val="0"/>
              <w:snapToGrid w:val="0"/>
              <w:jc w:val="center"/>
              <w:textAlignment w:val="center"/>
              <w:rPr>
                <w:color w:val="auto"/>
                <w:sz w:val="18"/>
                <w:szCs w:val="18"/>
              </w:rPr>
            </w:pPr>
            <w:r>
              <w:rPr>
                <w:color w:val="auto"/>
                <w:kern w:val="0"/>
                <w:sz w:val="18"/>
                <w:szCs w:val="18"/>
                <w:lang w:bidi="ar"/>
              </w:rPr>
              <w:t>18.55</w:t>
            </w:r>
          </w:p>
        </w:tc>
        <w:tc>
          <w:tcPr>
            <w:tcW w:w="728" w:type="dxa"/>
            <w:shd w:val="clear" w:color="auto" w:fill="auto"/>
            <w:noWrap/>
            <w:vAlign w:val="center"/>
          </w:tcPr>
          <w:p w14:paraId="64F7AF8D">
            <w:pPr>
              <w:widowControl/>
              <w:adjustRightInd w:val="0"/>
              <w:snapToGrid w:val="0"/>
              <w:jc w:val="center"/>
              <w:textAlignment w:val="center"/>
              <w:rPr>
                <w:color w:val="auto"/>
                <w:sz w:val="18"/>
                <w:szCs w:val="18"/>
              </w:rPr>
            </w:pPr>
            <w:r>
              <w:rPr>
                <w:color w:val="auto"/>
                <w:kern w:val="0"/>
                <w:sz w:val="18"/>
                <w:szCs w:val="18"/>
                <w:lang w:bidi="ar"/>
              </w:rPr>
              <w:t>9.77</w:t>
            </w:r>
          </w:p>
        </w:tc>
        <w:tc>
          <w:tcPr>
            <w:tcW w:w="855" w:type="dxa"/>
            <w:shd w:val="clear" w:color="auto" w:fill="FFFFFF"/>
            <w:noWrap/>
            <w:vAlign w:val="center"/>
          </w:tcPr>
          <w:p w14:paraId="0D16958F">
            <w:pPr>
              <w:widowControl/>
              <w:adjustRightInd w:val="0"/>
              <w:snapToGrid w:val="0"/>
              <w:jc w:val="center"/>
              <w:textAlignment w:val="center"/>
              <w:rPr>
                <w:color w:val="auto"/>
                <w:sz w:val="18"/>
                <w:szCs w:val="18"/>
              </w:rPr>
            </w:pPr>
            <w:r>
              <w:rPr>
                <w:color w:val="auto"/>
                <w:kern w:val="0"/>
                <w:sz w:val="18"/>
                <w:szCs w:val="18"/>
                <w:lang w:bidi="ar"/>
              </w:rPr>
              <w:t>60.27</w:t>
            </w:r>
          </w:p>
        </w:tc>
        <w:tc>
          <w:tcPr>
            <w:tcW w:w="1116" w:type="dxa"/>
            <w:shd w:val="clear" w:color="auto" w:fill="FFFFFF"/>
            <w:noWrap/>
            <w:vAlign w:val="center"/>
          </w:tcPr>
          <w:p w14:paraId="3674408D">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24DD4481">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5799D630">
            <w:pPr>
              <w:widowControl/>
              <w:adjustRightInd w:val="0"/>
              <w:snapToGrid w:val="0"/>
              <w:jc w:val="center"/>
              <w:textAlignment w:val="center"/>
              <w:rPr>
                <w:color w:val="auto"/>
                <w:sz w:val="18"/>
                <w:szCs w:val="18"/>
              </w:rPr>
            </w:pPr>
            <w:r>
              <w:rPr>
                <w:color w:val="auto"/>
                <w:kern w:val="0"/>
                <w:sz w:val="18"/>
                <w:szCs w:val="18"/>
                <w:lang w:bidi="ar"/>
              </w:rPr>
              <w:t>34.27</w:t>
            </w:r>
          </w:p>
        </w:tc>
        <w:tc>
          <w:tcPr>
            <w:tcW w:w="1011" w:type="dxa"/>
            <w:shd w:val="clear" w:color="auto" w:fill="FFFFFF"/>
            <w:noWrap/>
            <w:vAlign w:val="center"/>
          </w:tcPr>
          <w:p w14:paraId="43BADAA9">
            <w:pPr>
              <w:widowControl/>
              <w:adjustRightInd w:val="0"/>
              <w:snapToGrid w:val="0"/>
              <w:jc w:val="center"/>
              <w:textAlignment w:val="center"/>
              <w:rPr>
                <w:color w:val="auto"/>
                <w:sz w:val="18"/>
                <w:szCs w:val="18"/>
              </w:rPr>
            </w:pPr>
            <w:r>
              <w:rPr>
                <w:color w:val="auto"/>
                <w:kern w:val="0"/>
                <w:sz w:val="18"/>
                <w:szCs w:val="18"/>
                <w:lang w:bidi="ar"/>
              </w:rPr>
              <w:t>1</w:t>
            </w:r>
          </w:p>
        </w:tc>
      </w:tr>
      <w:tr w14:paraId="1A5C2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8DEF740">
            <w:pPr>
              <w:widowControl/>
              <w:adjustRightInd w:val="0"/>
              <w:snapToGrid w:val="0"/>
              <w:jc w:val="center"/>
              <w:textAlignment w:val="center"/>
              <w:rPr>
                <w:color w:val="auto"/>
                <w:sz w:val="18"/>
                <w:szCs w:val="18"/>
              </w:rPr>
            </w:pPr>
            <w:r>
              <w:rPr>
                <w:color w:val="auto"/>
                <w:kern w:val="0"/>
                <w:sz w:val="18"/>
                <w:szCs w:val="18"/>
                <w:lang w:bidi="ar"/>
              </w:rPr>
              <w:t>贯穿式烘干机</w:t>
            </w:r>
          </w:p>
        </w:tc>
        <w:tc>
          <w:tcPr>
            <w:tcW w:w="539" w:type="dxa"/>
            <w:vMerge w:val="continue"/>
            <w:shd w:val="clear" w:color="auto" w:fill="FFFFFF"/>
            <w:noWrap/>
            <w:vAlign w:val="center"/>
          </w:tcPr>
          <w:p w14:paraId="4CC0511A">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08F44025">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1D4D7BEC">
            <w:pPr>
              <w:adjustRightInd w:val="0"/>
              <w:snapToGrid w:val="0"/>
              <w:jc w:val="center"/>
              <w:rPr>
                <w:color w:val="auto"/>
                <w:sz w:val="18"/>
                <w:szCs w:val="18"/>
              </w:rPr>
            </w:pPr>
          </w:p>
        </w:tc>
        <w:tc>
          <w:tcPr>
            <w:tcW w:w="875" w:type="dxa"/>
            <w:shd w:val="clear" w:color="auto" w:fill="FFFFFF"/>
            <w:noWrap/>
            <w:vAlign w:val="center"/>
          </w:tcPr>
          <w:p w14:paraId="4097D437">
            <w:pPr>
              <w:widowControl/>
              <w:adjustRightInd w:val="0"/>
              <w:snapToGrid w:val="0"/>
              <w:jc w:val="center"/>
              <w:textAlignment w:val="center"/>
              <w:rPr>
                <w:color w:val="auto"/>
                <w:sz w:val="18"/>
                <w:szCs w:val="18"/>
              </w:rPr>
            </w:pPr>
            <w:r>
              <w:rPr>
                <w:color w:val="auto"/>
                <w:kern w:val="0"/>
                <w:sz w:val="18"/>
                <w:szCs w:val="18"/>
                <w:lang w:bidi="ar"/>
              </w:rPr>
              <w:t>116.44</w:t>
            </w:r>
          </w:p>
        </w:tc>
        <w:tc>
          <w:tcPr>
            <w:tcW w:w="802" w:type="dxa"/>
            <w:shd w:val="clear" w:color="auto" w:fill="FFFFFF"/>
            <w:noWrap/>
            <w:vAlign w:val="center"/>
          </w:tcPr>
          <w:p w14:paraId="1BB526C3">
            <w:pPr>
              <w:widowControl/>
              <w:adjustRightInd w:val="0"/>
              <w:snapToGrid w:val="0"/>
              <w:jc w:val="center"/>
              <w:textAlignment w:val="center"/>
              <w:rPr>
                <w:color w:val="auto"/>
                <w:sz w:val="18"/>
                <w:szCs w:val="18"/>
              </w:rPr>
            </w:pPr>
            <w:r>
              <w:rPr>
                <w:color w:val="auto"/>
                <w:kern w:val="0"/>
                <w:sz w:val="18"/>
                <w:szCs w:val="18"/>
                <w:lang w:bidi="ar"/>
              </w:rPr>
              <w:t>124.19</w:t>
            </w:r>
          </w:p>
        </w:tc>
        <w:tc>
          <w:tcPr>
            <w:tcW w:w="507" w:type="dxa"/>
            <w:shd w:val="clear" w:color="auto" w:fill="FFFFFF"/>
            <w:noWrap/>
            <w:vAlign w:val="center"/>
          </w:tcPr>
          <w:p w14:paraId="0F9CC615">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0C67D2CC">
            <w:pPr>
              <w:widowControl/>
              <w:adjustRightInd w:val="0"/>
              <w:snapToGrid w:val="0"/>
              <w:jc w:val="center"/>
              <w:textAlignment w:val="center"/>
              <w:rPr>
                <w:color w:val="auto"/>
                <w:sz w:val="18"/>
                <w:szCs w:val="18"/>
              </w:rPr>
            </w:pPr>
            <w:r>
              <w:rPr>
                <w:color w:val="auto"/>
                <w:kern w:val="0"/>
                <w:sz w:val="18"/>
                <w:szCs w:val="18"/>
                <w:lang w:bidi="ar"/>
              </w:rPr>
              <w:t>20.61</w:t>
            </w:r>
          </w:p>
        </w:tc>
        <w:tc>
          <w:tcPr>
            <w:tcW w:w="728" w:type="dxa"/>
            <w:shd w:val="clear" w:color="auto" w:fill="auto"/>
            <w:noWrap/>
            <w:vAlign w:val="center"/>
          </w:tcPr>
          <w:p w14:paraId="060E944F">
            <w:pPr>
              <w:widowControl/>
              <w:adjustRightInd w:val="0"/>
              <w:snapToGrid w:val="0"/>
              <w:jc w:val="center"/>
              <w:textAlignment w:val="center"/>
              <w:rPr>
                <w:color w:val="auto"/>
                <w:sz w:val="18"/>
                <w:szCs w:val="18"/>
              </w:rPr>
            </w:pPr>
            <w:r>
              <w:rPr>
                <w:color w:val="auto"/>
                <w:kern w:val="0"/>
                <w:sz w:val="18"/>
                <w:szCs w:val="18"/>
                <w:lang w:bidi="ar"/>
              </w:rPr>
              <w:t>12.66</w:t>
            </w:r>
          </w:p>
        </w:tc>
        <w:tc>
          <w:tcPr>
            <w:tcW w:w="728" w:type="dxa"/>
            <w:shd w:val="clear" w:color="auto" w:fill="FFFFFF"/>
            <w:noWrap/>
            <w:vAlign w:val="center"/>
          </w:tcPr>
          <w:p w14:paraId="785C5703">
            <w:pPr>
              <w:widowControl/>
              <w:adjustRightInd w:val="0"/>
              <w:snapToGrid w:val="0"/>
              <w:jc w:val="center"/>
              <w:textAlignment w:val="center"/>
              <w:rPr>
                <w:color w:val="auto"/>
                <w:sz w:val="18"/>
                <w:szCs w:val="18"/>
              </w:rPr>
            </w:pPr>
            <w:r>
              <w:rPr>
                <w:color w:val="auto"/>
                <w:kern w:val="0"/>
                <w:sz w:val="18"/>
                <w:szCs w:val="18"/>
                <w:lang w:bidi="ar"/>
              </w:rPr>
              <w:t>5.16</w:t>
            </w:r>
          </w:p>
        </w:tc>
        <w:tc>
          <w:tcPr>
            <w:tcW w:w="728" w:type="dxa"/>
            <w:shd w:val="clear" w:color="auto" w:fill="auto"/>
            <w:noWrap/>
            <w:vAlign w:val="center"/>
          </w:tcPr>
          <w:p w14:paraId="098316C3">
            <w:pPr>
              <w:widowControl/>
              <w:adjustRightInd w:val="0"/>
              <w:snapToGrid w:val="0"/>
              <w:jc w:val="center"/>
              <w:textAlignment w:val="center"/>
              <w:rPr>
                <w:color w:val="auto"/>
                <w:sz w:val="18"/>
                <w:szCs w:val="18"/>
              </w:rPr>
            </w:pPr>
            <w:r>
              <w:rPr>
                <w:color w:val="auto"/>
                <w:kern w:val="0"/>
                <w:sz w:val="18"/>
                <w:szCs w:val="18"/>
                <w:lang w:bidi="ar"/>
              </w:rPr>
              <w:t>24.72</w:t>
            </w:r>
          </w:p>
        </w:tc>
        <w:tc>
          <w:tcPr>
            <w:tcW w:w="855" w:type="dxa"/>
            <w:shd w:val="clear" w:color="auto" w:fill="FFFFFF"/>
            <w:noWrap/>
            <w:vAlign w:val="center"/>
          </w:tcPr>
          <w:p w14:paraId="050CF64F">
            <w:pPr>
              <w:widowControl/>
              <w:adjustRightInd w:val="0"/>
              <w:snapToGrid w:val="0"/>
              <w:jc w:val="center"/>
              <w:textAlignment w:val="center"/>
              <w:rPr>
                <w:color w:val="auto"/>
                <w:sz w:val="18"/>
                <w:szCs w:val="18"/>
              </w:rPr>
            </w:pPr>
            <w:r>
              <w:rPr>
                <w:color w:val="auto"/>
                <w:kern w:val="0"/>
                <w:sz w:val="18"/>
                <w:szCs w:val="18"/>
                <w:lang w:bidi="ar"/>
              </w:rPr>
              <w:t>60.20</w:t>
            </w:r>
          </w:p>
        </w:tc>
        <w:tc>
          <w:tcPr>
            <w:tcW w:w="1116" w:type="dxa"/>
            <w:shd w:val="clear" w:color="auto" w:fill="FFFFFF"/>
            <w:noWrap/>
            <w:vAlign w:val="center"/>
          </w:tcPr>
          <w:p w14:paraId="5D51E267">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296781FB">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02F237A1">
            <w:pPr>
              <w:widowControl/>
              <w:adjustRightInd w:val="0"/>
              <w:snapToGrid w:val="0"/>
              <w:jc w:val="center"/>
              <w:textAlignment w:val="center"/>
              <w:rPr>
                <w:color w:val="auto"/>
                <w:sz w:val="18"/>
                <w:szCs w:val="18"/>
              </w:rPr>
            </w:pPr>
            <w:r>
              <w:rPr>
                <w:color w:val="auto"/>
                <w:kern w:val="0"/>
                <w:sz w:val="18"/>
                <w:szCs w:val="18"/>
                <w:lang w:bidi="ar"/>
              </w:rPr>
              <w:t>34.20</w:t>
            </w:r>
          </w:p>
        </w:tc>
        <w:tc>
          <w:tcPr>
            <w:tcW w:w="1011" w:type="dxa"/>
            <w:shd w:val="clear" w:color="auto" w:fill="FFFFFF"/>
            <w:noWrap/>
            <w:vAlign w:val="center"/>
          </w:tcPr>
          <w:p w14:paraId="214CCCDE">
            <w:pPr>
              <w:widowControl/>
              <w:adjustRightInd w:val="0"/>
              <w:snapToGrid w:val="0"/>
              <w:jc w:val="center"/>
              <w:textAlignment w:val="center"/>
              <w:rPr>
                <w:color w:val="auto"/>
                <w:sz w:val="18"/>
                <w:szCs w:val="18"/>
              </w:rPr>
            </w:pPr>
            <w:r>
              <w:rPr>
                <w:color w:val="auto"/>
                <w:kern w:val="0"/>
                <w:sz w:val="18"/>
                <w:szCs w:val="18"/>
                <w:lang w:bidi="ar"/>
              </w:rPr>
              <w:t>1</w:t>
            </w:r>
          </w:p>
        </w:tc>
      </w:tr>
      <w:tr w14:paraId="4FC4A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5D84E9DF">
            <w:pPr>
              <w:widowControl/>
              <w:adjustRightInd w:val="0"/>
              <w:snapToGrid w:val="0"/>
              <w:jc w:val="center"/>
              <w:textAlignment w:val="center"/>
              <w:rPr>
                <w:color w:val="auto"/>
                <w:sz w:val="18"/>
                <w:szCs w:val="18"/>
              </w:rPr>
            </w:pPr>
            <w:r>
              <w:rPr>
                <w:color w:val="auto"/>
                <w:kern w:val="0"/>
                <w:sz w:val="18"/>
                <w:szCs w:val="18"/>
                <w:lang w:bidi="ar"/>
              </w:rPr>
              <w:t>贯穿式烘干机2</w:t>
            </w:r>
          </w:p>
        </w:tc>
        <w:tc>
          <w:tcPr>
            <w:tcW w:w="539" w:type="dxa"/>
            <w:vMerge w:val="continue"/>
            <w:shd w:val="clear" w:color="auto" w:fill="FFFFFF"/>
            <w:noWrap/>
            <w:vAlign w:val="center"/>
          </w:tcPr>
          <w:p w14:paraId="4F0CF10B">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3E881574">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05ABD08C">
            <w:pPr>
              <w:adjustRightInd w:val="0"/>
              <w:snapToGrid w:val="0"/>
              <w:jc w:val="center"/>
              <w:rPr>
                <w:color w:val="auto"/>
                <w:sz w:val="18"/>
                <w:szCs w:val="18"/>
              </w:rPr>
            </w:pPr>
          </w:p>
        </w:tc>
        <w:tc>
          <w:tcPr>
            <w:tcW w:w="875" w:type="dxa"/>
            <w:shd w:val="clear" w:color="auto" w:fill="FFFFFF"/>
            <w:noWrap/>
            <w:vAlign w:val="center"/>
          </w:tcPr>
          <w:p w14:paraId="2B6C3053">
            <w:pPr>
              <w:widowControl/>
              <w:adjustRightInd w:val="0"/>
              <w:snapToGrid w:val="0"/>
              <w:jc w:val="center"/>
              <w:textAlignment w:val="center"/>
              <w:rPr>
                <w:color w:val="auto"/>
                <w:sz w:val="18"/>
                <w:szCs w:val="18"/>
              </w:rPr>
            </w:pPr>
            <w:r>
              <w:rPr>
                <w:color w:val="auto"/>
                <w:kern w:val="0"/>
                <w:sz w:val="18"/>
                <w:szCs w:val="18"/>
                <w:lang w:bidi="ar"/>
              </w:rPr>
              <w:t>115.06</w:t>
            </w:r>
          </w:p>
        </w:tc>
        <w:tc>
          <w:tcPr>
            <w:tcW w:w="802" w:type="dxa"/>
            <w:shd w:val="clear" w:color="auto" w:fill="FFFFFF"/>
            <w:noWrap/>
            <w:vAlign w:val="center"/>
          </w:tcPr>
          <w:p w14:paraId="7086B318">
            <w:pPr>
              <w:widowControl/>
              <w:adjustRightInd w:val="0"/>
              <w:snapToGrid w:val="0"/>
              <w:jc w:val="center"/>
              <w:textAlignment w:val="center"/>
              <w:rPr>
                <w:color w:val="auto"/>
                <w:sz w:val="18"/>
                <w:szCs w:val="18"/>
              </w:rPr>
            </w:pPr>
            <w:r>
              <w:rPr>
                <w:color w:val="auto"/>
                <w:kern w:val="0"/>
                <w:sz w:val="18"/>
                <w:szCs w:val="18"/>
                <w:lang w:bidi="ar"/>
              </w:rPr>
              <w:t>126.31</w:t>
            </w:r>
          </w:p>
        </w:tc>
        <w:tc>
          <w:tcPr>
            <w:tcW w:w="507" w:type="dxa"/>
            <w:shd w:val="clear" w:color="auto" w:fill="FFFFFF"/>
            <w:noWrap/>
            <w:vAlign w:val="center"/>
          </w:tcPr>
          <w:p w14:paraId="7A91A2D7">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40210D83">
            <w:pPr>
              <w:widowControl/>
              <w:adjustRightInd w:val="0"/>
              <w:snapToGrid w:val="0"/>
              <w:jc w:val="center"/>
              <w:textAlignment w:val="center"/>
              <w:rPr>
                <w:color w:val="auto"/>
                <w:sz w:val="18"/>
                <w:szCs w:val="18"/>
              </w:rPr>
            </w:pPr>
            <w:r>
              <w:rPr>
                <w:color w:val="auto"/>
                <w:kern w:val="0"/>
                <w:sz w:val="18"/>
                <w:szCs w:val="18"/>
                <w:lang w:bidi="ar"/>
              </w:rPr>
              <w:t>20.57</w:t>
            </w:r>
          </w:p>
        </w:tc>
        <w:tc>
          <w:tcPr>
            <w:tcW w:w="728" w:type="dxa"/>
            <w:shd w:val="clear" w:color="auto" w:fill="auto"/>
            <w:noWrap/>
            <w:vAlign w:val="center"/>
          </w:tcPr>
          <w:p w14:paraId="4F103AB9">
            <w:pPr>
              <w:widowControl/>
              <w:adjustRightInd w:val="0"/>
              <w:snapToGrid w:val="0"/>
              <w:jc w:val="center"/>
              <w:textAlignment w:val="center"/>
              <w:rPr>
                <w:color w:val="auto"/>
                <w:sz w:val="18"/>
                <w:szCs w:val="18"/>
              </w:rPr>
            </w:pPr>
            <w:r>
              <w:rPr>
                <w:color w:val="auto"/>
                <w:kern w:val="0"/>
                <w:sz w:val="18"/>
                <w:szCs w:val="18"/>
                <w:lang w:bidi="ar"/>
              </w:rPr>
              <w:t>10.14</w:t>
            </w:r>
          </w:p>
        </w:tc>
        <w:tc>
          <w:tcPr>
            <w:tcW w:w="728" w:type="dxa"/>
            <w:shd w:val="clear" w:color="auto" w:fill="FFFFFF"/>
            <w:noWrap/>
            <w:vAlign w:val="center"/>
          </w:tcPr>
          <w:p w14:paraId="3CA9A6C5">
            <w:pPr>
              <w:widowControl/>
              <w:adjustRightInd w:val="0"/>
              <w:snapToGrid w:val="0"/>
              <w:jc w:val="center"/>
              <w:textAlignment w:val="center"/>
              <w:rPr>
                <w:color w:val="auto"/>
                <w:sz w:val="18"/>
                <w:szCs w:val="18"/>
              </w:rPr>
            </w:pPr>
            <w:r>
              <w:rPr>
                <w:color w:val="auto"/>
                <w:kern w:val="0"/>
                <w:sz w:val="18"/>
                <w:szCs w:val="18"/>
                <w:lang w:bidi="ar"/>
              </w:rPr>
              <w:t>5.33</w:t>
            </w:r>
          </w:p>
        </w:tc>
        <w:tc>
          <w:tcPr>
            <w:tcW w:w="728" w:type="dxa"/>
            <w:shd w:val="clear" w:color="auto" w:fill="auto"/>
            <w:noWrap/>
            <w:vAlign w:val="center"/>
          </w:tcPr>
          <w:p w14:paraId="536FAC0E">
            <w:pPr>
              <w:widowControl/>
              <w:adjustRightInd w:val="0"/>
              <w:snapToGrid w:val="0"/>
              <w:jc w:val="center"/>
              <w:textAlignment w:val="center"/>
              <w:rPr>
                <w:color w:val="auto"/>
                <w:sz w:val="18"/>
                <w:szCs w:val="18"/>
              </w:rPr>
            </w:pPr>
            <w:r>
              <w:rPr>
                <w:color w:val="auto"/>
                <w:kern w:val="0"/>
                <w:sz w:val="18"/>
                <w:szCs w:val="18"/>
                <w:lang w:bidi="ar"/>
              </w:rPr>
              <w:t>27.24</w:t>
            </w:r>
          </w:p>
        </w:tc>
        <w:tc>
          <w:tcPr>
            <w:tcW w:w="855" w:type="dxa"/>
            <w:shd w:val="clear" w:color="auto" w:fill="FFFFFF"/>
            <w:noWrap/>
            <w:vAlign w:val="center"/>
          </w:tcPr>
          <w:p w14:paraId="7E2882C7">
            <w:pPr>
              <w:widowControl/>
              <w:adjustRightInd w:val="0"/>
              <w:snapToGrid w:val="0"/>
              <w:jc w:val="center"/>
              <w:textAlignment w:val="center"/>
              <w:rPr>
                <w:color w:val="auto"/>
                <w:sz w:val="18"/>
                <w:szCs w:val="18"/>
              </w:rPr>
            </w:pPr>
            <w:r>
              <w:rPr>
                <w:color w:val="auto"/>
                <w:kern w:val="0"/>
                <w:sz w:val="18"/>
                <w:szCs w:val="18"/>
                <w:lang w:bidi="ar"/>
              </w:rPr>
              <w:t>60.20</w:t>
            </w:r>
          </w:p>
        </w:tc>
        <w:tc>
          <w:tcPr>
            <w:tcW w:w="1116" w:type="dxa"/>
            <w:shd w:val="clear" w:color="auto" w:fill="FFFFFF"/>
            <w:noWrap/>
            <w:vAlign w:val="center"/>
          </w:tcPr>
          <w:p w14:paraId="732E097F">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482F3B0E">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56F973E8">
            <w:pPr>
              <w:widowControl/>
              <w:adjustRightInd w:val="0"/>
              <w:snapToGrid w:val="0"/>
              <w:jc w:val="center"/>
              <w:textAlignment w:val="center"/>
              <w:rPr>
                <w:color w:val="auto"/>
                <w:sz w:val="18"/>
                <w:szCs w:val="18"/>
              </w:rPr>
            </w:pPr>
            <w:r>
              <w:rPr>
                <w:color w:val="auto"/>
                <w:kern w:val="0"/>
                <w:sz w:val="18"/>
                <w:szCs w:val="18"/>
                <w:lang w:bidi="ar"/>
              </w:rPr>
              <w:t>34.20</w:t>
            </w:r>
          </w:p>
        </w:tc>
        <w:tc>
          <w:tcPr>
            <w:tcW w:w="1011" w:type="dxa"/>
            <w:shd w:val="clear" w:color="auto" w:fill="FFFFFF"/>
            <w:noWrap/>
            <w:vAlign w:val="center"/>
          </w:tcPr>
          <w:p w14:paraId="3AE073BB">
            <w:pPr>
              <w:widowControl/>
              <w:adjustRightInd w:val="0"/>
              <w:snapToGrid w:val="0"/>
              <w:jc w:val="center"/>
              <w:textAlignment w:val="center"/>
              <w:rPr>
                <w:color w:val="auto"/>
                <w:sz w:val="18"/>
                <w:szCs w:val="18"/>
              </w:rPr>
            </w:pPr>
            <w:r>
              <w:rPr>
                <w:color w:val="auto"/>
                <w:kern w:val="0"/>
                <w:sz w:val="18"/>
                <w:szCs w:val="18"/>
                <w:lang w:bidi="ar"/>
              </w:rPr>
              <w:t>1</w:t>
            </w:r>
          </w:p>
        </w:tc>
      </w:tr>
      <w:tr w14:paraId="6468D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476F7DE5">
            <w:pPr>
              <w:widowControl/>
              <w:adjustRightInd w:val="0"/>
              <w:snapToGrid w:val="0"/>
              <w:jc w:val="center"/>
              <w:textAlignment w:val="center"/>
              <w:rPr>
                <w:color w:val="auto"/>
                <w:sz w:val="18"/>
                <w:szCs w:val="18"/>
              </w:rPr>
            </w:pPr>
            <w:r>
              <w:rPr>
                <w:color w:val="auto"/>
                <w:kern w:val="0"/>
                <w:sz w:val="18"/>
                <w:szCs w:val="18"/>
                <w:lang w:bidi="ar"/>
              </w:rPr>
              <w:t>贯穿式烘干机3</w:t>
            </w:r>
          </w:p>
        </w:tc>
        <w:tc>
          <w:tcPr>
            <w:tcW w:w="539" w:type="dxa"/>
            <w:vMerge w:val="continue"/>
            <w:shd w:val="clear" w:color="auto" w:fill="FFFFFF"/>
            <w:noWrap/>
            <w:vAlign w:val="center"/>
          </w:tcPr>
          <w:p w14:paraId="1B3D84BF">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221A62F6">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9534D75">
            <w:pPr>
              <w:adjustRightInd w:val="0"/>
              <w:snapToGrid w:val="0"/>
              <w:jc w:val="center"/>
              <w:rPr>
                <w:color w:val="auto"/>
                <w:sz w:val="18"/>
                <w:szCs w:val="18"/>
              </w:rPr>
            </w:pPr>
          </w:p>
        </w:tc>
        <w:tc>
          <w:tcPr>
            <w:tcW w:w="875" w:type="dxa"/>
            <w:shd w:val="clear" w:color="auto" w:fill="FFFFFF"/>
            <w:noWrap/>
            <w:vAlign w:val="center"/>
          </w:tcPr>
          <w:p w14:paraId="3BCF7665">
            <w:pPr>
              <w:widowControl/>
              <w:adjustRightInd w:val="0"/>
              <w:snapToGrid w:val="0"/>
              <w:jc w:val="center"/>
              <w:textAlignment w:val="center"/>
              <w:rPr>
                <w:color w:val="auto"/>
                <w:sz w:val="18"/>
                <w:szCs w:val="18"/>
              </w:rPr>
            </w:pPr>
            <w:r>
              <w:rPr>
                <w:color w:val="auto"/>
                <w:kern w:val="0"/>
                <w:sz w:val="18"/>
                <w:szCs w:val="18"/>
                <w:lang w:bidi="ar"/>
              </w:rPr>
              <w:t>113.4</w:t>
            </w:r>
          </w:p>
        </w:tc>
        <w:tc>
          <w:tcPr>
            <w:tcW w:w="802" w:type="dxa"/>
            <w:shd w:val="clear" w:color="auto" w:fill="FFFFFF"/>
            <w:noWrap/>
            <w:vAlign w:val="center"/>
          </w:tcPr>
          <w:p w14:paraId="20FDC1F5">
            <w:pPr>
              <w:widowControl/>
              <w:adjustRightInd w:val="0"/>
              <w:snapToGrid w:val="0"/>
              <w:jc w:val="center"/>
              <w:textAlignment w:val="center"/>
              <w:rPr>
                <w:color w:val="auto"/>
                <w:sz w:val="18"/>
                <w:szCs w:val="18"/>
              </w:rPr>
            </w:pPr>
            <w:r>
              <w:rPr>
                <w:color w:val="auto"/>
                <w:kern w:val="0"/>
                <w:sz w:val="18"/>
                <w:szCs w:val="18"/>
                <w:lang w:bidi="ar"/>
              </w:rPr>
              <w:t>129.17</w:t>
            </w:r>
          </w:p>
        </w:tc>
        <w:tc>
          <w:tcPr>
            <w:tcW w:w="507" w:type="dxa"/>
            <w:shd w:val="clear" w:color="auto" w:fill="FFFFFF"/>
            <w:noWrap/>
            <w:vAlign w:val="center"/>
          </w:tcPr>
          <w:p w14:paraId="42068F7F">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10BBDD85">
            <w:pPr>
              <w:widowControl/>
              <w:adjustRightInd w:val="0"/>
              <w:snapToGrid w:val="0"/>
              <w:jc w:val="center"/>
              <w:textAlignment w:val="center"/>
              <w:rPr>
                <w:color w:val="auto"/>
                <w:sz w:val="18"/>
                <w:szCs w:val="18"/>
              </w:rPr>
            </w:pPr>
            <w:r>
              <w:rPr>
                <w:color w:val="auto"/>
                <w:kern w:val="0"/>
                <w:sz w:val="18"/>
                <w:szCs w:val="18"/>
                <w:lang w:bidi="ar"/>
              </w:rPr>
              <w:t>20.69</w:t>
            </w:r>
          </w:p>
        </w:tc>
        <w:tc>
          <w:tcPr>
            <w:tcW w:w="728" w:type="dxa"/>
            <w:shd w:val="clear" w:color="auto" w:fill="auto"/>
            <w:noWrap/>
            <w:vAlign w:val="center"/>
          </w:tcPr>
          <w:p w14:paraId="122DFDC1">
            <w:pPr>
              <w:widowControl/>
              <w:adjustRightInd w:val="0"/>
              <w:snapToGrid w:val="0"/>
              <w:jc w:val="center"/>
              <w:textAlignment w:val="center"/>
              <w:rPr>
                <w:color w:val="auto"/>
                <w:sz w:val="18"/>
                <w:szCs w:val="18"/>
              </w:rPr>
            </w:pPr>
            <w:r>
              <w:rPr>
                <w:color w:val="auto"/>
                <w:kern w:val="0"/>
                <w:sz w:val="18"/>
                <w:szCs w:val="18"/>
                <w:lang w:bidi="ar"/>
              </w:rPr>
              <w:t>6.83</w:t>
            </w:r>
          </w:p>
        </w:tc>
        <w:tc>
          <w:tcPr>
            <w:tcW w:w="728" w:type="dxa"/>
            <w:shd w:val="clear" w:color="auto" w:fill="FFFFFF"/>
            <w:noWrap/>
            <w:vAlign w:val="center"/>
          </w:tcPr>
          <w:p w14:paraId="096C7EB4">
            <w:pPr>
              <w:widowControl/>
              <w:adjustRightInd w:val="0"/>
              <w:snapToGrid w:val="0"/>
              <w:jc w:val="center"/>
              <w:textAlignment w:val="center"/>
              <w:rPr>
                <w:color w:val="auto"/>
                <w:sz w:val="18"/>
                <w:szCs w:val="18"/>
              </w:rPr>
            </w:pPr>
            <w:r>
              <w:rPr>
                <w:color w:val="auto"/>
                <w:kern w:val="0"/>
                <w:sz w:val="18"/>
                <w:szCs w:val="18"/>
                <w:lang w:bidi="ar"/>
              </w:rPr>
              <w:t>5.39</w:t>
            </w:r>
          </w:p>
        </w:tc>
        <w:tc>
          <w:tcPr>
            <w:tcW w:w="728" w:type="dxa"/>
            <w:shd w:val="clear" w:color="auto" w:fill="auto"/>
            <w:noWrap/>
            <w:vAlign w:val="center"/>
          </w:tcPr>
          <w:p w14:paraId="22456B9A">
            <w:pPr>
              <w:widowControl/>
              <w:adjustRightInd w:val="0"/>
              <w:snapToGrid w:val="0"/>
              <w:jc w:val="center"/>
              <w:textAlignment w:val="center"/>
              <w:rPr>
                <w:color w:val="auto"/>
                <w:sz w:val="18"/>
                <w:szCs w:val="18"/>
              </w:rPr>
            </w:pPr>
            <w:r>
              <w:rPr>
                <w:color w:val="auto"/>
                <w:kern w:val="0"/>
                <w:sz w:val="18"/>
                <w:szCs w:val="18"/>
                <w:lang w:bidi="ar"/>
              </w:rPr>
              <w:t>30.55</w:t>
            </w:r>
          </w:p>
        </w:tc>
        <w:tc>
          <w:tcPr>
            <w:tcW w:w="855" w:type="dxa"/>
            <w:shd w:val="clear" w:color="auto" w:fill="FFFFFF"/>
            <w:noWrap/>
            <w:vAlign w:val="center"/>
          </w:tcPr>
          <w:p w14:paraId="5C3DACDD">
            <w:pPr>
              <w:widowControl/>
              <w:adjustRightInd w:val="0"/>
              <w:snapToGrid w:val="0"/>
              <w:jc w:val="center"/>
              <w:textAlignment w:val="center"/>
              <w:rPr>
                <w:color w:val="auto"/>
                <w:sz w:val="18"/>
                <w:szCs w:val="18"/>
              </w:rPr>
            </w:pPr>
            <w:r>
              <w:rPr>
                <w:color w:val="auto"/>
                <w:kern w:val="0"/>
                <w:sz w:val="18"/>
                <w:szCs w:val="18"/>
                <w:lang w:bidi="ar"/>
              </w:rPr>
              <w:t>60.20</w:t>
            </w:r>
          </w:p>
        </w:tc>
        <w:tc>
          <w:tcPr>
            <w:tcW w:w="1116" w:type="dxa"/>
            <w:shd w:val="clear" w:color="auto" w:fill="FFFFFF"/>
            <w:noWrap/>
            <w:vAlign w:val="center"/>
          </w:tcPr>
          <w:p w14:paraId="451D83C9">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18558645">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240CCD26">
            <w:pPr>
              <w:widowControl/>
              <w:adjustRightInd w:val="0"/>
              <w:snapToGrid w:val="0"/>
              <w:jc w:val="center"/>
              <w:textAlignment w:val="center"/>
              <w:rPr>
                <w:color w:val="auto"/>
                <w:sz w:val="18"/>
                <w:szCs w:val="18"/>
              </w:rPr>
            </w:pPr>
            <w:r>
              <w:rPr>
                <w:color w:val="auto"/>
                <w:kern w:val="0"/>
                <w:sz w:val="18"/>
                <w:szCs w:val="18"/>
                <w:lang w:bidi="ar"/>
              </w:rPr>
              <w:t>34.20</w:t>
            </w:r>
          </w:p>
        </w:tc>
        <w:tc>
          <w:tcPr>
            <w:tcW w:w="1011" w:type="dxa"/>
            <w:shd w:val="clear" w:color="auto" w:fill="FFFFFF"/>
            <w:noWrap/>
            <w:vAlign w:val="center"/>
          </w:tcPr>
          <w:p w14:paraId="1A26FA9B">
            <w:pPr>
              <w:widowControl/>
              <w:adjustRightInd w:val="0"/>
              <w:snapToGrid w:val="0"/>
              <w:jc w:val="center"/>
              <w:textAlignment w:val="center"/>
              <w:rPr>
                <w:color w:val="auto"/>
                <w:sz w:val="18"/>
                <w:szCs w:val="18"/>
              </w:rPr>
            </w:pPr>
            <w:r>
              <w:rPr>
                <w:color w:val="auto"/>
                <w:kern w:val="0"/>
                <w:sz w:val="18"/>
                <w:szCs w:val="18"/>
                <w:lang w:bidi="ar"/>
              </w:rPr>
              <w:t>1</w:t>
            </w:r>
          </w:p>
        </w:tc>
      </w:tr>
      <w:tr w14:paraId="4AB30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24249614">
            <w:pPr>
              <w:widowControl/>
              <w:adjustRightInd w:val="0"/>
              <w:snapToGrid w:val="0"/>
              <w:jc w:val="center"/>
              <w:textAlignment w:val="center"/>
              <w:rPr>
                <w:color w:val="auto"/>
                <w:sz w:val="18"/>
                <w:szCs w:val="18"/>
              </w:rPr>
            </w:pPr>
            <w:r>
              <w:rPr>
                <w:color w:val="auto"/>
                <w:kern w:val="0"/>
                <w:sz w:val="18"/>
                <w:szCs w:val="18"/>
                <w:lang w:bidi="ar"/>
              </w:rPr>
              <w:t>贯穿式烘干机4</w:t>
            </w:r>
          </w:p>
        </w:tc>
        <w:tc>
          <w:tcPr>
            <w:tcW w:w="539" w:type="dxa"/>
            <w:vMerge w:val="continue"/>
            <w:shd w:val="clear" w:color="auto" w:fill="FFFFFF"/>
            <w:noWrap/>
            <w:vAlign w:val="center"/>
          </w:tcPr>
          <w:p w14:paraId="2A9E3FA7">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3FCC0F6">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6283684B">
            <w:pPr>
              <w:adjustRightInd w:val="0"/>
              <w:snapToGrid w:val="0"/>
              <w:jc w:val="center"/>
              <w:rPr>
                <w:color w:val="auto"/>
                <w:sz w:val="18"/>
                <w:szCs w:val="18"/>
              </w:rPr>
            </w:pPr>
          </w:p>
        </w:tc>
        <w:tc>
          <w:tcPr>
            <w:tcW w:w="875" w:type="dxa"/>
            <w:shd w:val="clear" w:color="auto" w:fill="FFFFFF"/>
            <w:noWrap/>
            <w:vAlign w:val="center"/>
          </w:tcPr>
          <w:p w14:paraId="6644F7A9">
            <w:pPr>
              <w:widowControl/>
              <w:adjustRightInd w:val="0"/>
              <w:snapToGrid w:val="0"/>
              <w:jc w:val="center"/>
              <w:textAlignment w:val="center"/>
              <w:rPr>
                <w:color w:val="auto"/>
                <w:sz w:val="18"/>
                <w:szCs w:val="18"/>
              </w:rPr>
            </w:pPr>
            <w:r>
              <w:rPr>
                <w:color w:val="auto"/>
                <w:kern w:val="0"/>
                <w:sz w:val="18"/>
                <w:szCs w:val="18"/>
                <w:lang w:bidi="ar"/>
              </w:rPr>
              <w:t>117.46</w:t>
            </w:r>
          </w:p>
        </w:tc>
        <w:tc>
          <w:tcPr>
            <w:tcW w:w="802" w:type="dxa"/>
            <w:shd w:val="clear" w:color="auto" w:fill="FFFFFF"/>
            <w:noWrap/>
            <w:vAlign w:val="center"/>
          </w:tcPr>
          <w:p w14:paraId="7EDDF63E">
            <w:pPr>
              <w:widowControl/>
              <w:adjustRightInd w:val="0"/>
              <w:snapToGrid w:val="0"/>
              <w:jc w:val="center"/>
              <w:textAlignment w:val="center"/>
              <w:rPr>
                <w:color w:val="auto"/>
                <w:sz w:val="18"/>
                <w:szCs w:val="18"/>
              </w:rPr>
            </w:pPr>
            <w:r>
              <w:rPr>
                <w:color w:val="auto"/>
                <w:kern w:val="0"/>
                <w:sz w:val="18"/>
                <w:szCs w:val="18"/>
                <w:lang w:bidi="ar"/>
              </w:rPr>
              <w:t>121.88</w:t>
            </w:r>
          </w:p>
        </w:tc>
        <w:tc>
          <w:tcPr>
            <w:tcW w:w="507" w:type="dxa"/>
            <w:shd w:val="clear" w:color="auto" w:fill="FFFFFF"/>
            <w:noWrap/>
            <w:vAlign w:val="center"/>
          </w:tcPr>
          <w:p w14:paraId="243C9F49">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44B7899D">
            <w:pPr>
              <w:widowControl/>
              <w:adjustRightInd w:val="0"/>
              <w:snapToGrid w:val="0"/>
              <w:jc w:val="center"/>
              <w:textAlignment w:val="center"/>
              <w:rPr>
                <w:color w:val="auto"/>
                <w:sz w:val="18"/>
                <w:szCs w:val="18"/>
              </w:rPr>
            </w:pPr>
            <w:r>
              <w:rPr>
                <w:color w:val="auto"/>
                <w:kern w:val="0"/>
                <w:sz w:val="18"/>
                <w:szCs w:val="18"/>
                <w:lang w:bidi="ar"/>
              </w:rPr>
              <w:t>20.24</w:t>
            </w:r>
          </w:p>
        </w:tc>
        <w:tc>
          <w:tcPr>
            <w:tcW w:w="728" w:type="dxa"/>
            <w:shd w:val="clear" w:color="auto" w:fill="auto"/>
            <w:noWrap/>
            <w:vAlign w:val="center"/>
          </w:tcPr>
          <w:p w14:paraId="50271A8F">
            <w:pPr>
              <w:widowControl/>
              <w:adjustRightInd w:val="0"/>
              <w:snapToGrid w:val="0"/>
              <w:jc w:val="center"/>
              <w:textAlignment w:val="center"/>
              <w:rPr>
                <w:color w:val="auto"/>
                <w:sz w:val="18"/>
                <w:szCs w:val="18"/>
              </w:rPr>
            </w:pPr>
            <w:r>
              <w:rPr>
                <w:color w:val="auto"/>
                <w:kern w:val="0"/>
                <w:sz w:val="18"/>
                <w:szCs w:val="18"/>
                <w:lang w:bidi="ar"/>
              </w:rPr>
              <w:t>15.17</w:t>
            </w:r>
          </w:p>
        </w:tc>
        <w:tc>
          <w:tcPr>
            <w:tcW w:w="728" w:type="dxa"/>
            <w:shd w:val="clear" w:color="auto" w:fill="FFFFFF"/>
            <w:noWrap/>
            <w:vAlign w:val="center"/>
          </w:tcPr>
          <w:p w14:paraId="0732C794">
            <w:pPr>
              <w:widowControl/>
              <w:adjustRightInd w:val="0"/>
              <w:snapToGrid w:val="0"/>
              <w:jc w:val="center"/>
              <w:textAlignment w:val="center"/>
              <w:rPr>
                <w:color w:val="auto"/>
                <w:sz w:val="18"/>
                <w:szCs w:val="18"/>
              </w:rPr>
            </w:pPr>
            <w:r>
              <w:rPr>
                <w:color w:val="auto"/>
                <w:kern w:val="0"/>
                <w:sz w:val="18"/>
                <w:szCs w:val="18"/>
                <w:lang w:bidi="ar"/>
              </w:rPr>
              <w:t>5.39</w:t>
            </w:r>
          </w:p>
        </w:tc>
        <w:tc>
          <w:tcPr>
            <w:tcW w:w="728" w:type="dxa"/>
            <w:shd w:val="clear" w:color="auto" w:fill="auto"/>
            <w:noWrap/>
            <w:vAlign w:val="center"/>
          </w:tcPr>
          <w:p w14:paraId="421F3442">
            <w:pPr>
              <w:widowControl/>
              <w:adjustRightInd w:val="0"/>
              <w:snapToGrid w:val="0"/>
              <w:jc w:val="center"/>
              <w:textAlignment w:val="center"/>
              <w:rPr>
                <w:color w:val="auto"/>
                <w:sz w:val="18"/>
                <w:szCs w:val="18"/>
              </w:rPr>
            </w:pPr>
            <w:r>
              <w:rPr>
                <w:color w:val="auto"/>
                <w:kern w:val="0"/>
                <w:sz w:val="18"/>
                <w:szCs w:val="18"/>
                <w:lang w:bidi="ar"/>
              </w:rPr>
              <w:t>22.20</w:t>
            </w:r>
          </w:p>
        </w:tc>
        <w:tc>
          <w:tcPr>
            <w:tcW w:w="855" w:type="dxa"/>
            <w:shd w:val="clear" w:color="auto" w:fill="FFFFFF"/>
            <w:noWrap/>
            <w:vAlign w:val="center"/>
          </w:tcPr>
          <w:p w14:paraId="4224AA5C">
            <w:pPr>
              <w:widowControl/>
              <w:adjustRightInd w:val="0"/>
              <w:snapToGrid w:val="0"/>
              <w:jc w:val="center"/>
              <w:textAlignment w:val="center"/>
              <w:rPr>
                <w:color w:val="auto"/>
                <w:sz w:val="18"/>
                <w:szCs w:val="18"/>
              </w:rPr>
            </w:pPr>
            <w:r>
              <w:rPr>
                <w:color w:val="auto"/>
                <w:kern w:val="0"/>
                <w:sz w:val="18"/>
                <w:szCs w:val="18"/>
                <w:lang w:bidi="ar"/>
              </w:rPr>
              <w:t>60.20</w:t>
            </w:r>
          </w:p>
        </w:tc>
        <w:tc>
          <w:tcPr>
            <w:tcW w:w="1116" w:type="dxa"/>
            <w:shd w:val="clear" w:color="auto" w:fill="FFFFFF"/>
            <w:noWrap/>
            <w:vAlign w:val="center"/>
          </w:tcPr>
          <w:p w14:paraId="13A851DC">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3B590E82">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628E63CC">
            <w:pPr>
              <w:widowControl/>
              <w:adjustRightInd w:val="0"/>
              <w:snapToGrid w:val="0"/>
              <w:jc w:val="center"/>
              <w:textAlignment w:val="center"/>
              <w:rPr>
                <w:color w:val="auto"/>
                <w:sz w:val="18"/>
                <w:szCs w:val="18"/>
              </w:rPr>
            </w:pPr>
            <w:r>
              <w:rPr>
                <w:color w:val="auto"/>
                <w:kern w:val="0"/>
                <w:sz w:val="18"/>
                <w:szCs w:val="18"/>
                <w:lang w:bidi="ar"/>
              </w:rPr>
              <w:t>34.20</w:t>
            </w:r>
          </w:p>
        </w:tc>
        <w:tc>
          <w:tcPr>
            <w:tcW w:w="1011" w:type="dxa"/>
            <w:shd w:val="clear" w:color="auto" w:fill="FFFFFF"/>
            <w:noWrap/>
            <w:vAlign w:val="center"/>
          </w:tcPr>
          <w:p w14:paraId="0B976965">
            <w:pPr>
              <w:widowControl/>
              <w:adjustRightInd w:val="0"/>
              <w:snapToGrid w:val="0"/>
              <w:jc w:val="center"/>
              <w:textAlignment w:val="center"/>
              <w:rPr>
                <w:color w:val="auto"/>
                <w:sz w:val="18"/>
                <w:szCs w:val="18"/>
              </w:rPr>
            </w:pPr>
            <w:r>
              <w:rPr>
                <w:color w:val="auto"/>
                <w:kern w:val="0"/>
                <w:sz w:val="18"/>
                <w:szCs w:val="18"/>
                <w:lang w:bidi="ar"/>
              </w:rPr>
              <w:t>1</w:t>
            </w:r>
          </w:p>
        </w:tc>
      </w:tr>
      <w:tr w14:paraId="5BBA1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51B33743">
            <w:pPr>
              <w:widowControl/>
              <w:adjustRightInd w:val="0"/>
              <w:snapToGrid w:val="0"/>
              <w:jc w:val="center"/>
              <w:textAlignment w:val="center"/>
              <w:rPr>
                <w:color w:val="auto"/>
                <w:sz w:val="18"/>
                <w:szCs w:val="18"/>
              </w:rPr>
            </w:pPr>
            <w:r>
              <w:rPr>
                <w:color w:val="auto"/>
                <w:kern w:val="0"/>
                <w:sz w:val="18"/>
                <w:szCs w:val="18"/>
                <w:lang w:bidi="ar"/>
              </w:rPr>
              <w:t>贯穿式烘干机5</w:t>
            </w:r>
          </w:p>
        </w:tc>
        <w:tc>
          <w:tcPr>
            <w:tcW w:w="539" w:type="dxa"/>
            <w:vMerge w:val="continue"/>
            <w:shd w:val="clear" w:color="auto" w:fill="FFFFFF"/>
            <w:noWrap/>
            <w:vAlign w:val="center"/>
          </w:tcPr>
          <w:p w14:paraId="635BF3C8">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59A435D1">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0BB17DED">
            <w:pPr>
              <w:adjustRightInd w:val="0"/>
              <w:snapToGrid w:val="0"/>
              <w:jc w:val="center"/>
              <w:rPr>
                <w:color w:val="auto"/>
                <w:sz w:val="18"/>
                <w:szCs w:val="18"/>
              </w:rPr>
            </w:pPr>
          </w:p>
        </w:tc>
        <w:tc>
          <w:tcPr>
            <w:tcW w:w="875" w:type="dxa"/>
            <w:shd w:val="clear" w:color="auto" w:fill="FFFFFF"/>
            <w:noWrap/>
            <w:vAlign w:val="center"/>
          </w:tcPr>
          <w:p w14:paraId="3338AF43">
            <w:pPr>
              <w:widowControl/>
              <w:adjustRightInd w:val="0"/>
              <w:snapToGrid w:val="0"/>
              <w:jc w:val="center"/>
              <w:textAlignment w:val="center"/>
              <w:rPr>
                <w:color w:val="auto"/>
                <w:sz w:val="18"/>
                <w:szCs w:val="18"/>
              </w:rPr>
            </w:pPr>
            <w:r>
              <w:rPr>
                <w:color w:val="auto"/>
                <w:kern w:val="0"/>
                <w:sz w:val="18"/>
                <w:szCs w:val="18"/>
                <w:lang w:bidi="ar"/>
              </w:rPr>
              <w:t>119.03</w:t>
            </w:r>
          </w:p>
        </w:tc>
        <w:tc>
          <w:tcPr>
            <w:tcW w:w="802" w:type="dxa"/>
            <w:shd w:val="clear" w:color="auto" w:fill="FFFFFF"/>
            <w:noWrap/>
            <w:vAlign w:val="center"/>
          </w:tcPr>
          <w:p w14:paraId="20A85FBB">
            <w:pPr>
              <w:widowControl/>
              <w:adjustRightInd w:val="0"/>
              <w:snapToGrid w:val="0"/>
              <w:jc w:val="center"/>
              <w:textAlignment w:val="center"/>
              <w:rPr>
                <w:color w:val="auto"/>
                <w:sz w:val="18"/>
                <w:szCs w:val="18"/>
              </w:rPr>
            </w:pPr>
            <w:r>
              <w:rPr>
                <w:color w:val="auto"/>
                <w:kern w:val="0"/>
                <w:sz w:val="18"/>
                <w:szCs w:val="18"/>
                <w:lang w:bidi="ar"/>
              </w:rPr>
              <w:t>119.29</w:t>
            </w:r>
          </w:p>
        </w:tc>
        <w:tc>
          <w:tcPr>
            <w:tcW w:w="507" w:type="dxa"/>
            <w:shd w:val="clear" w:color="auto" w:fill="FFFFFF"/>
            <w:noWrap/>
            <w:vAlign w:val="center"/>
          </w:tcPr>
          <w:p w14:paraId="766D39DC">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57519E36">
            <w:pPr>
              <w:widowControl/>
              <w:adjustRightInd w:val="0"/>
              <w:snapToGrid w:val="0"/>
              <w:jc w:val="center"/>
              <w:textAlignment w:val="center"/>
              <w:rPr>
                <w:color w:val="auto"/>
                <w:sz w:val="18"/>
                <w:szCs w:val="18"/>
              </w:rPr>
            </w:pPr>
            <w:r>
              <w:rPr>
                <w:color w:val="auto"/>
                <w:kern w:val="0"/>
                <w:sz w:val="18"/>
                <w:szCs w:val="18"/>
                <w:lang w:bidi="ar"/>
              </w:rPr>
              <w:t>20.19</w:t>
            </w:r>
          </w:p>
        </w:tc>
        <w:tc>
          <w:tcPr>
            <w:tcW w:w="728" w:type="dxa"/>
            <w:shd w:val="clear" w:color="auto" w:fill="auto"/>
            <w:noWrap/>
            <w:vAlign w:val="center"/>
          </w:tcPr>
          <w:p w14:paraId="712F7008">
            <w:pPr>
              <w:widowControl/>
              <w:adjustRightInd w:val="0"/>
              <w:snapToGrid w:val="0"/>
              <w:jc w:val="center"/>
              <w:textAlignment w:val="center"/>
              <w:rPr>
                <w:color w:val="auto"/>
                <w:sz w:val="18"/>
                <w:szCs w:val="18"/>
              </w:rPr>
            </w:pPr>
            <w:r>
              <w:rPr>
                <w:color w:val="auto"/>
                <w:kern w:val="0"/>
                <w:sz w:val="18"/>
                <w:szCs w:val="18"/>
                <w:lang w:bidi="ar"/>
              </w:rPr>
              <w:t>18.20</w:t>
            </w:r>
          </w:p>
        </w:tc>
        <w:tc>
          <w:tcPr>
            <w:tcW w:w="728" w:type="dxa"/>
            <w:shd w:val="clear" w:color="auto" w:fill="FFFFFF"/>
            <w:noWrap/>
            <w:vAlign w:val="center"/>
          </w:tcPr>
          <w:p w14:paraId="43E9CAC2">
            <w:pPr>
              <w:widowControl/>
              <w:adjustRightInd w:val="0"/>
              <w:snapToGrid w:val="0"/>
              <w:jc w:val="center"/>
              <w:textAlignment w:val="center"/>
              <w:rPr>
                <w:color w:val="auto"/>
                <w:sz w:val="18"/>
                <w:szCs w:val="18"/>
              </w:rPr>
            </w:pPr>
            <w:r>
              <w:rPr>
                <w:color w:val="auto"/>
                <w:kern w:val="0"/>
                <w:sz w:val="18"/>
                <w:szCs w:val="18"/>
                <w:lang w:bidi="ar"/>
              </w:rPr>
              <w:t>5.28</w:t>
            </w:r>
          </w:p>
        </w:tc>
        <w:tc>
          <w:tcPr>
            <w:tcW w:w="728" w:type="dxa"/>
            <w:shd w:val="clear" w:color="auto" w:fill="auto"/>
            <w:noWrap/>
            <w:vAlign w:val="center"/>
          </w:tcPr>
          <w:p w14:paraId="7B144505">
            <w:pPr>
              <w:widowControl/>
              <w:adjustRightInd w:val="0"/>
              <w:snapToGrid w:val="0"/>
              <w:jc w:val="center"/>
              <w:textAlignment w:val="center"/>
              <w:rPr>
                <w:color w:val="auto"/>
                <w:sz w:val="18"/>
                <w:szCs w:val="18"/>
              </w:rPr>
            </w:pPr>
            <w:r>
              <w:rPr>
                <w:color w:val="auto"/>
                <w:kern w:val="0"/>
                <w:sz w:val="18"/>
                <w:szCs w:val="18"/>
                <w:lang w:bidi="ar"/>
              </w:rPr>
              <w:t>19.18</w:t>
            </w:r>
          </w:p>
        </w:tc>
        <w:tc>
          <w:tcPr>
            <w:tcW w:w="855" w:type="dxa"/>
            <w:shd w:val="clear" w:color="auto" w:fill="FFFFFF"/>
            <w:noWrap/>
            <w:vAlign w:val="center"/>
          </w:tcPr>
          <w:p w14:paraId="53A8DB22">
            <w:pPr>
              <w:widowControl/>
              <w:adjustRightInd w:val="0"/>
              <w:snapToGrid w:val="0"/>
              <w:jc w:val="center"/>
              <w:textAlignment w:val="center"/>
              <w:rPr>
                <w:color w:val="auto"/>
                <w:sz w:val="18"/>
                <w:szCs w:val="18"/>
              </w:rPr>
            </w:pPr>
            <w:r>
              <w:rPr>
                <w:color w:val="auto"/>
                <w:kern w:val="0"/>
                <w:sz w:val="18"/>
                <w:szCs w:val="18"/>
                <w:lang w:bidi="ar"/>
              </w:rPr>
              <w:t>60.20</w:t>
            </w:r>
          </w:p>
        </w:tc>
        <w:tc>
          <w:tcPr>
            <w:tcW w:w="1116" w:type="dxa"/>
            <w:shd w:val="clear" w:color="auto" w:fill="FFFFFF"/>
            <w:noWrap/>
            <w:vAlign w:val="center"/>
          </w:tcPr>
          <w:p w14:paraId="0FEB8D2F">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A93F1C7">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78AF57D9">
            <w:pPr>
              <w:widowControl/>
              <w:adjustRightInd w:val="0"/>
              <w:snapToGrid w:val="0"/>
              <w:jc w:val="center"/>
              <w:textAlignment w:val="center"/>
              <w:rPr>
                <w:color w:val="auto"/>
                <w:sz w:val="18"/>
                <w:szCs w:val="18"/>
              </w:rPr>
            </w:pPr>
            <w:r>
              <w:rPr>
                <w:color w:val="auto"/>
                <w:kern w:val="0"/>
                <w:sz w:val="18"/>
                <w:szCs w:val="18"/>
                <w:lang w:bidi="ar"/>
              </w:rPr>
              <w:t>34.20</w:t>
            </w:r>
          </w:p>
        </w:tc>
        <w:tc>
          <w:tcPr>
            <w:tcW w:w="1011" w:type="dxa"/>
            <w:shd w:val="clear" w:color="auto" w:fill="FFFFFF"/>
            <w:noWrap/>
            <w:vAlign w:val="center"/>
          </w:tcPr>
          <w:p w14:paraId="79CA29FF">
            <w:pPr>
              <w:widowControl/>
              <w:adjustRightInd w:val="0"/>
              <w:snapToGrid w:val="0"/>
              <w:jc w:val="center"/>
              <w:textAlignment w:val="center"/>
              <w:rPr>
                <w:color w:val="auto"/>
                <w:sz w:val="18"/>
                <w:szCs w:val="18"/>
              </w:rPr>
            </w:pPr>
            <w:r>
              <w:rPr>
                <w:color w:val="auto"/>
                <w:kern w:val="0"/>
                <w:sz w:val="18"/>
                <w:szCs w:val="18"/>
                <w:lang w:bidi="ar"/>
              </w:rPr>
              <w:t>1</w:t>
            </w:r>
          </w:p>
        </w:tc>
      </w:tr>
      <w:tr w14:paraId="5D160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0D7A5C7A">
            <w:pPr>
              <w:widowControl/>
              <w:adjustRightInd w:val="0"/>
              <w:snapToGrid w:val="0"/>
              <w:jc w:val="center"/>
              <w:textAlignment w:val="center"/>
              <w:rPr>
                <w:color w:val="auto"/>
                <w:sz w:val="18"/>
                <w:szCs w:val="18"/>
              </w:rPr>
            </w:pPr>
            <w:r>
              <w:rPr>
                <w:color w:val="auto"/>
                <w:kern w:val="0"/>
                <w:sz w:val="18"/>
                <w:szCs w:val="18"/>
                <w:lang w:bidi="ar"/>
              </w:rPr>
              <w:t>烘干机7</w:t>
            </w:r>
          </w:p>
        </w:tc>
        <w:tc>
          <w:tcPr>
            <w:tcW w:w="539" w:type="dxa"/>
            <w:vMerge w:val="continue"/>
            <w:shd w:val="clear" w:color="auto" w:fill="FFFFFF"/>
            <w:noWrap/>
            <w:vAlign w:val="center"/>
          </w:tcPr>
          <w:p w14:paraId="2A3A6E9E">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EB26304">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3C8D4C19">
            <w:pPr>
              <w:adjustRightInd w:val="0"/>
              <w:snapToGrid w:val="0"/>
              <w:jc w:val="center"/>
              <w:rPr>
                <w:color w:val="auto"/>
                <w:sz w:val="18"/>
                <w:szCs w:val="18"/>
              </w:rPr>
            </w:pPr>
          </w:p>
        </w:tc>
        <w:tc>
          <w:tcPr>
            <w:tcW w:w="875" w:type="dxa"/>
            <w:shd w:val="clear" w:color="auto" w:fill="FFFFFF"/>
            <w:noWrap/>
            <w:vAlign w:val="center"/>
          </w:tcPr>
          <w:p w14:paraId="13AD250A">
            <w:pPr>
              <w:widowControl/>
              <w:adjustRightInd w:val="0"/>
              <w:snapToGrid w:val="0"/>
              <w:jc w:val="center"/>
              <w:textAlignment w:val="center"/>
              <w:rPr>
                <w:color w:val="auto"/>
                <w:sz w:val="18"/>
                <w:szCs w:val="18"/>
              </w:rPr>
            </w:pPr>
            <w:r>
              <w:rPr>
                <w:color w:val="auto"/>
                <w:kern w:val="0"/>
                <w:sz w:val="18"/>
                <w:szCs w:val="18"/>
                <w:lang w:bidi="ar"/>
              </w:rPr>
              <w:t>99.82</w:t>
            </w:r>
          </w:p>
        </w:tc>
        <w:tc>
          <w:tcPr>
            <w:tcW w:w="802" w:type="dxa"/>
            <w:shd w:val="clear" w:color="auto" w:fill="FFFFFF"/>
            <w:noWrap/>
            <w:vAlign w:val="center"/>
          </w:tcPr>
          <w:p w14:paraId="7472AED2">
            <w:pPr>
              <w:widowControl/>
              <w:adjustRightInd w:val="0"/>
              <w:snapToGrid w:val="0"/>
              <w:jc w:val="center"/>
              <w:textAlignment w:val="center"/>
              <w:rPr>
                <w:color w:val="auto"/>
                <w:sz w:val="18"/>
                <w:szCs w:val="18"/>
              </w:rPr>
            </w:pPr>
            <w:r>
              <w:rPr>
                <w:color w:val="auto"/>
                <w:kern w:val="0"/>
                <w:sz w:val="18"/>
                <w:szCs w:val="18"/>
                <w:lang w:bidi="ar"/>
              </w:rPr>
              <w:t>120.68</w:t>
            </w:r>
          </w:p>
        </w:tc>
        <w:tc>
          <w:tcPr>
            <w:tcW w:w="507" w:type="dxa"/>
            <w:shd w:val="clear" w:color="auto" w:fill="FFFFFF"/>
            <w:noWrap/>
            <w:vAlign w:val="center"/>
          </w:tcPr>
          <w:p w14:paraId="6EA9A559">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7D39394B">
            <w:pPr>
              <w:widowControl/>
              <w:adjustRightInd w:val="0"/>
              <w:snapToGrid w:val="0"/>
              <w:jc w:val="center"/>
              <w:textAlignment w:val="center"/>
              <w:rPr>
                <w:color w:val="auto"/>
                <w:sz w:val="18"/>
                <w:szCs w:val="18"/>
              </w:rPr>
            </w:pPr>
            <w:r>
              <w:rPr>
                <w:color w:val="auto"/>
                <w:kern w:val="0"/>
                <w:sz w:val="18"/>
                <w:szCs w:val="18"/>
                <w:lang w:bidi="ar"/>
              </w:rPr>
              <w:t>4.67</w:t>
            </w:r>
          </w:p>
        </w:tc>
        <w:tc>
          <w:tcPr>
            <w:tcW w:w="728" w:type="dxa"/>
            <w:shd w:val="clear" w:color="auto" w:fill="auto"/>
            <w:noWrap/>
            <w:vAlign w:val="center"/>
          </w:tcPr>
          <w:p w14:paraId="1757FD17">
            <w:pPr>
              <w:widowControl/>
              <w:adjustRightInd w:val="0"/>
              <w:snapToGrid w:val="0"/>
              <w:jc w:val="center"/>
              <w:textAlignment w:val="center"/>
              <w:rPr>
                <w:color w:val="auto"/>
                <w:sz w:val="18"/>
                <w:szCs w:val="18"/>
              </w:rPr>
            </w:pPr>
            <w:r>
              <w:rPr>
                <w:color w:val="auto"/>
                <w:kern w:val="0"/>
                <w:sz w:val="18"/>
                <w:szCs w:val="18"/>
                <w:lang w:bidi="ar"/>
              </w:rPr>
              <w:t>7.69</w:t>
            </w:r>
          </w:p>
        </w:tc>
        <w:tc>
          <w:tcPr>
            <w:tcW w:w="728" w:type="dxa"/>
            <w:shd w:val="clear" w:color="auto" w:fill="FFFFFF"/>
            <w:noWrap/>
            <w:vAlign w:val="center"/>
          </w:tcPr>
          <w:p w14:paraId="25952529">
            <w:pPr>
              <w:widowControl/>
              <w:adjustRightInd w:val="0"/>
              <w:snapToGrid w:val="0"/>
              <w:jc w:val="center"/>
              <w:textAlignment w:val="center"/>
              <w:rPr>
                <w:color w:val="auto"/>
                <w:sz w:val="18"/>
                <w:szCs w:val="18"/>
              </w:rPr>
            </w:pPr>
            <w:r>
              <w:rPr>
                <w:color w:val="auto"/>
                <w:kern w:val="0"/>
                <w:sz w:val="18"/>
                <w:szCs w:val="18"/>
                <w:lang w:bidi="ar"/>
              </w:rPr>
              <w:t>21.39</w:t>
            </w:r>
          </w:p>
        </w:tc>
        <w:tc>
          <w:tcPr>
            <w:tcW w:w="728" w:type="dxa"/>
            <w:shd w:val="clear" w:color="auto" w:fill="auto"/>
            <w:noWrap/>
            <w:vAlign w:val="center"/>
          </w:tcPr>
          <w:p w14:paraId="65BF6C82">
            <w:pPr>
              <w:widowControl/>
              <w:adjustRightInd w:val="0"/>
              <w:snapToGrid w:val="0"/>
              <w:jc w:val="center"/>
              <w:textAlignment w:val="center"/>
              <w:rPr>
                <w:color w:val="auto"/>
                <w:sz w:val="18"/>
                <w:szCs w:val="18"/>
              </w:rPr>
            </w:pPr>
            <w:r>
              <w:rPr>
                <w:color w:val="auto"/>
                <w:kern w:val="0"/>
                <w:sz w:val="18"/>
                <w:szCs w:val="18"/>
                <w:lang w:bidi="ar"/>
              </w:rPr>
              <w:t>29.74</w:t>
            </w:r>
          </w:p>
        </w:tc>
        <w:tc>
          <w:tcPr>
            <w:tcW w:w="855" w:type="dxa"/>
            <w:shd w:val="clear" w:color="auto" w:fill="FFFFFF"/>
            <w:noWrap/>
            <w:vAlign w:val="center"/>
          </w:tcPr>
          <w:p w14:paraId="7BB2B687">
            <w:pPr>
              <w:widowControl/>
              <w:adjustRightInd w:val="0"/>
              <w:snapToGrid w:val="0"/>
              <w:jc w:val="center"/>
              <w:textAlignment w:val="center"/>
              <w:rPr>
                <w:color w:val="auto"/>
                <w:sz w:val="18"/>
                <w:szCs w:val="18"/>
              </w:rPr>
            </w:pPr>
            <w:r>
              <w:rPr>
                <w:color w:val="auto"/>
                <w:kern w:val="0"/>
                <w:sz w:val="18"/>
                <w:szCs w:val="18"/>
                <w:lang w:bidi="ar"/>
              </w:rPr>
              <w:t>60.34</w:t>
            </w:r>
          </w:p>
        </w:tc>
        <w:tc>
          <w:tcPr>
            <w:tcW w:w="1116" w:type="dxa"/>
            <w:shd w:val="clear" w:color="auto" w:fill="FFFFFF"/>
            <w:noWrap/>
            <w:vAlign w:val="center"/>
          </w:tcPr>
          <w:p w14:paraId="12114A30">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3C57D1B4">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014BE0F">
            <w:pPr>
              <w:widowControl/>
              <w:adjustRightInd w:val="0"/>
              <w:snapToGrid w:val="0"/>
              <w:jc w:val="center"/>
              <w:textAlignment w:val="center"/>
              <w:rPr>
                <w:color w:val="auto"/>
                <w:sz w:val="18"/>
                <w:szCs w:val="18"/>
              </w:rPr>
            </w:pPr>
            <w:r>
              <w:rPr>
                <w:color w:val="auto"/>
                <w:kern w:val="0"/>
                <w:sz w:val="18"/>
                <w:szCs w:val="18"/>
                <w:lang w:bidi="ar"/>
              </w:rPr>
              <w:t>34.34</w:t>
            </w:r>
          </w:p>
        </w:tc>
        <w:tc>
          <w:tcPr>
            <w:tcW w:w="1011" w:type="dxa"/>
            <w:shd w:val="clear" w:color="auto" w:fill="FFFFFF"/>
            <w:noWrap/>
            <w:vAlign w:val="center"/>
          </w:tcPr>
          <w:p w14:paraId="06CC0CDC">
            <w:pPr>
              <w:widowControl/>
              <w:adjustRightInd w:val="0"/>
              <w:snapToGrid w:val="0"/>
              <w:jc w:val="center"/>
              <w:textAlignment w:val="center"/>
              <w:rPr>
                <w:color w:val="auto"/>
                <w:sz w:val="18"/>
                <w:szCs w:val="18"/>
              </w:rPr>
            </w:pPr>
            <w:r>
              <w:rPr>
                <w:color w:val="auto"/>
                <w:kern w:val="0"/>
                <w:sz w:val="18"/>
                <w:szCs w:val="18"/>
                <w:lang w:bidi="ar"/>
              </w:rPr>
              <w:t>1</w:t>
            </w:r>
          </w:p>
        </w:tc>
      </w:tr>
      <w:tr w14:paraId="763E6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31BEFEE0">
            <w:pPr>
              <w:widowControl/>
              <w:adjustRightInd w:val="0"/>
              <w:snapToGrid w:val="0"/>
              <w:jc w:val="center"/>
              <w:textAlignment w:val="center"/>
              <w:rPr>
                <w:color w:val="auto"/>
                <w:sz w:val="18"/>
                <w:szCs w:val="18"/>
              </w:rPr>
            </w:pPr>
            <w:r>
              <w:rPr>
                <w:color w:val="auto"/>
                <w:kern w:val="0"/>
                <w:sz w:val="18"/>
                <w:szCs w:val="18"/>
                <w:lang w:bidi="ar"/>
              </w:rPr>
              <w:t>烘干机8</w:t>
            </w:r>
          </w:p>
        </w:tc>
        <w:tc>
          <w:tcPr>
            <w:tcW w:w="539" w:type="dxa"/>
            <w:vMerge w:val="continue"/>
            <w:shd w:val="clear" w:color="auto" w:fill="FFFFFF"/>
            <w:noWrap/>
            <w:vAlign w:val="center"/>
          </w:tcPr>
          <w:p w14:paraId="0744962B">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6D41AB56">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0B56F988">
            <w:pPr>
              <w:adjustRightInd w:val="0"/>
              <w:snapToGrid w:val="0"/>
              <w:jc w:val="center"/>
              <w:rPr>
                <w:color w:val="auto"/>
                <w:sz w:val="18"/>
                <w:szCs w:val="18"/>
              </w:rPr>
            </w:pPr>
          </w:p>
        </w:tc>
        <w:tc>
          <w:tcPr>
            <w:tcW w:w="875" w:type="dxa"/>
            <w:shd w:val="clear" w:color="auto" w:fill="FFFFFF"/>
            <w:noWrap/>
            <w:vAlign w:val="center"/>
          </w:tcPr>
          <w:p w14:paraId="22AF907A">
            <w:pPr>
              <w:widowControl/>
              <w:adjustRightInd w:val="0"/>
              <w:snapToGrid w:val="0"/>
              <w:jc w:val="center"/>
              <w:textAlignment w:val="center"/>
              <w:rPr>
                <w:color w:val="auto"/>
                <w:sz w:val="18"/>
                <w:szCs w:val="18"/>
              </w:rPr>
            </w:pPr>
            <w:r>
              <w:rPr>
                <w:color w:val="auto"/>
                <w:kern w:val="0"/>
                <w:sz w:val="18"/>
                <w:szCs w:val="18"/>
                <w:lang w:bidi="ar"/>
              </w:rPr>
              <w:t>101.95</w:t>
            </w:r>
          </w:p>
        </w:tc>
        <w:tc>
          <w:tcPr>
            <w:tcW w:w="802" w:type="dxa"/>
            <w:shd w:val="clear" w:color="auto" w:fill="FFFFFF"/>
            <w:noWrap/>
            <w:vAlign w:val="center"/>
          </w:tcPr>
          <w:p w14:paraId="44466965">
            <w:pPr>
              <w:widowControl/>
              <w:adjustRightInd w:val="0"/>
              <w:snapToGrid w:val="0"/>
              <w:jc w:val="center"/>
              <w:textAlignment w:val="center"/>
              <w:rPr>
                <w:color w:val="auto"/>
                <w:sz w:val="18"/>
                <w:szCs w:val="18"/>
              </w:rPr>
            </w:pPr>
            <w:r>
              <w:rPr>
                <w:color w:val="auto"/>
                <w:kern w:val="0"/>
                <w:sz w:val="18"/>
                <w:szCs w:val="18"/>
                <w:lang w:bidi="ar"/>
              </w:rPr>
              <w:t>121.88</w:t>
            </w:r>
          </w:p>
        </w:tc>
        <w:tc>
          <w:tcPr>
            <w:tcW w:w="507" w:type="dxa"/>
            <w:shd w:val="clear" w:color="auto" w:fill="FFFFFF"/>
            <w:noWrap/>
            <w:vAlign w:val="center"/>
          </w:tcPr>
          <w:p w14:paraId="5C460FB2">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06D50EDD">
            <w:pPr>
              <w:widowControl/>
              <w:adjustRightInd w:val="0"/>
              <w:snapToGrid w:val="0"/>
              <w:jc w:val="center"/>
              <w:textAlignment w:val="center"/>
              <w:rPr>
                <w:color w:val="auto"/>
                <w:sz w:val="18"/>
                <w:szCs w:val="18"/>
              </w:rPr>
            </w:pPr>
            <w:r>
              <w:rPr>
                <w:color w:val="auto"/>
                <w:kern w:val="0"/>
                <w:sz w:val="18"/>
                <w:szCs w:val="18"/>
                <w:lang w:bidi="ar"/>
              </w:rPr>
              <w:t>7.12</w:t>
            </w:r>
          </w:p>
        </w:tc>
        <w:tc>
          <w:tcPr>
            <w:tcW w:w="728" w:type="dxa"/>
            <w:shd w:val="clear" w:color="auto" w:fill="auto"/>
            <w:noWrap/>
            <w:vAlign w:val="center"/>
          </w:tcPr>
          <w:p w14:paraId="36A7D6AE">
            <w:pPr>
              <w:widowControl/>
              <w:adjustRightInd w:val="0"/>
              <w:snapToGrid w:val="0"/>
              <w:jc w:val="center"/>
              <w:textAlignment w:val="center"/>
              <w:rPr>
                <w:color w:val="auto"/>
                <w:sz w:val="18"/>
                <w:szCs w:val="18"/>
              </w:rPr>
            </w:pPr>
            <w:r>
              <w:rPr>
                <w:color w:val="auto"/>
                <w:kern w:val="0"/>
                <w:sz w:val="18"/>
                <w:szCs w:val="18"/>
                <w:lang w:bidi="ar"/>
              </w:rPr>
              <w:t>7.67</w:t>
            </w:r>
          </w:p>
        </w:tc>
        <w:tc>
          <w:tcPr>
            <w:tcW w:w="728" w:type="dxa"/>
            <w:shd w:val="clear" w:color="auto" w:fill="FFFFFF"/>
            <w:noWrap/>
            <w:vAlign w:val="center"/>
          </w:tcPr>
          <w:p w14:paraId="5FE392FF">
            <w:pPr>
              <w:widowControl/>
              <w:adjustRightInd w:val="0"/>
              <w:snapToGrid w:val="0"/>
              <w:jc w:val="center"/>
              <w:textAlignment w:val="center"/>
              <w:rPr>
                <w:color w:val="auto"/>
                <w:sz w:val="18"/>
                <w:szCs w:val="18"/>
              </w:rPr>
            </w:pPr>
            <w:r>
              <w:rPr>
                <w:color w:val="auto"/>
                <w:kern w:val="0"/>
                <w:sz w:val="18"/>
                <w:szCs w:val="18"/>
                <w:lang w:bidi="ar"/>
              </w:rPr>
              <w:t>18.94</w:t>
            </w:r>
          </w:p>
        </w:tc>
        <w:tc>
          <w:tcPr>
            <w:tcW w:w="728" w:type="dxa"/>
            <w:shd w:val="clear" w:color="auto" w:fill="auto"/>
            <w:noWrap/>
            <w:vAlign w:val="center"/>
          </w:tcPr>
          <w:p w14:paraId="388B2CE9">
            <w:pPr>
              <w:widowControl/>
              <w:adjustRightInd w:val="0"/>
              <w:snapToGrid w:val="0"/>
              <w:jc w:val="center"/>
              <w:textAlignment w:val="center"/>
              <w:rPr>
                <w:color w:val="auto"/>
                <w:sz w:val="18"/>
                <w:szCs w:val="18"/>
              </w:rPr>
            </w:pPr>
            <w:r>
              <w:rPr>
                <w:color w:val="auto"/>
                <w:kern w:val="0"/>
                <w:sz w:val="18"/>
                <w:szCs w:val="18"/>
                <w:lang w:bidi="ar"/>
              </w:rPr>
              <w:t>29.75</w:t>
            </w:r>
          </w:p>
        </w:tc>
        <w:tc>
          <w:tcPr>
            <w:tcW w:w="855" w:type="dxa"/>
            <w:shd w:val="clear" w:color="auto" w:fill="FFFFFF"/>
            <w:noWrap/>
            <w:vAlign w:val="center"/>
          </w:tcPr>
          <w:p w14:paraId="4E46AC2D">
            <w:pPr>
              <w:widowControl/>
              <w:adjustRightInd w:val="0"/>
              <w:snapToGrid w:val="0"/>
              <w:jc w:val="center"/>
              <w:textAlignment w:val="center"/>
              <w:rPr>
                <w:color w:val="auto"/>
                <w:sz w:val="18"/>
                <w:szCs w:val="18"/>
              </w:rPr>
            </w:pPr>
            <w:r>
              <w:rPr>
                <w:color w:val="auto"/>
                <w:kern w:val="0"/>
                <w:sz w:val="18"/>
                <w:szCs w:val="18"/>
                <w:lang w:bidi="ar"/>
              </w:rPr>
              <w:t>60.25</w:t>
            </w:r>
          </w:p>
        </w:tc>
        <w:tc>
          <w:tcPr>
            <w:tcW w:w="1116" w:type="dxa"/>
            <w:shd w:val="clear" w:color="auto" w:fill="FFFFFF"/>
            <w:noWrap/>
            <w:vAlign w:val="center"/>
          </w:tcPr>
          <w:p w14:paraId="084829C5">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37721DD">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C5AF713">
            <w:pPr>
              <w:widowControl/>
              <w:adjustRightInd w:val="0"/>
              <w:snapToGrid w:val="0"/>
              <w:jc w:val="center"/>
              <w:textAlignment w:val="center"/>
              <w:rPr>
                <w:color w:val="auto"/>
                <w:sz w:val="18"/>
                <w:szCs w:val="18"/>
              </w:rPr>
            </w:pPr>
            <w:r>
              <w:rPr>
                <w:color w:val="auto"/>
                <w:kern w:val="0"/>
                <w:sz w:val="18"/>
                <w:szCs w:val="18"/>
                <w:lang w:bidi="ar"/>
              </w:rPr>
              <w:t>34.25</w:t>
            </w:r>
          </w:p>
        </w:tc>
        <w:tc>
          <w:tcPr>
            <w:tcW w:w="1011" w:type="dxa"/>
            <w:shd w:val="clear" w:color="auto" w:fill="FFFFFF"/>
            <w:noWrap/>
            <w:vAlign w:val="center"/>
          </w:tcPr>
          <w:p w14:paraId="68C55AEF">
            <w:pPr>
              <w:widowControl/>
              <w:adjustRightInd w:val="0"/>
              <w:snapToGrid w:val="0"/>
              <w:jc w:val="center"/>
              <w:textAlignment w:val="center"/>
              <w:rPr>
                <w:color w:val="auto"/>
                <w:sz w:val="18"/>
                <w:szCs w:val="18"/>
              </w:rPr>
            </w:pPr>
            <w:r>
              <w:rPr>
                <w:color w:val="auto"/>
                <w:kern w:val="0"/>
                <w:sz w:val="18"/>
                <w:szCs w:val="18"/>
                <w:lang w:bidi="ar"/>
              </w:rPr>
              <w:t>1</w:t>
            </w:r>
          </w:p>
        </w:tc>
      </w:tr>
      <w:tr w14:paraId="2B31D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52952A7F">
            <w:pPr>
              <w:widowControl/>
              <w:adjustRightInd w:val="0"/>
              <w:snapToGrid w:val="0"/>
              <w:jc w:val="center"/>
              <w:textAlignment w:val="center"/>
              <w:rPr>
                <w:color w:val="auto"/>
                <w:sz w:val="18"/>
                <w:szCs w:val="18"/>
              </w:rPr>
            </w:pPr>
            <w:r>
              <w:rPr>
                <w:color w:val="auto"/>
                <w:kern w:val="0"/>
                <w:sz w:val="18"/>
                <w:szCs w:val="18"/>
                <w:lang w:bidi="ar"/>
              </w:rPr>
              <w:t>烘干机9</w:t>
            </w:r>
          </w:p>
        </w:tc>
        <w:tc>
          <w:tcPr>
            <w:tcW w:w="539" w:type="dxa"/>
            <w:vMerge w:val="continue"/>
            <w:shd w:val="clear" w:color="auto" w:fill="FFFFFF"/>
            <w:noWrap/>
            <w:vAlign w:val="center"/>
          </w:tcPr>
          <w:p w14:paraId="3F8C2D91">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7FBCEEEF">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0E27502C">
            <w:pPr>
              <w:adjustRightInd w:val="0"/>
              <w:snapToGrid w:val="0"/>
              <w:jc w:val="center"/>
              <w:rPr>
                <w:color w:val="auto"/>
                <w:sz w:val="18"/>
                <w:szCs w:val="18"/>
              </w:rPr>
            </w:pPr>
          </w:p>
        </w:tc>
        <w:tc>
          <w:tcPr>
            <w:tcW w:w="875" w:type="dxa"/>
            <w:shd w:val="clear" w:color="auto" w:fill="FFFFFF"/>
            <w:noWrap/>
            <w:vAlign w:val="center"/>
          </w:tcPr>
          <w:p w14:paraId="153B5984">
            <w:pPr>
              <w:widowControl/>
              <w:adjustRightInd w:val="0"/>
              <w:snapToGrid w:val="0"/>
              <w:jc w:val="center"/>
              <w:textAlignment w:val="center"/>
              <w:rPr>
                <w:color w:val="auto"/>
                <w:sz w:val="18"/>
                <w:szCs w:val="18"/>
              </w:rPr>
            </w:pPr>
            <w:r>
              <w:rPr>
                <w:color w:val="auto"/>
                <w:kern w:val="0"/>
                <w:sz w:val="18"/>
                <w:szCs w:val="18"/>
                <w:lang w:bidi="ar"/>
              </w:rPr>
              <w:t>105.27</w:t>
            </w:r>
          </w:p>
        </w:tc>
        <w:tc>
          <w:tcPr>
            <w:tcW w:w="802" w:type="dxa"/>
            <w:shd w:val="clear" w:color="auto" w:fill="FFFFFF"/>
            <w:noWrap/>
            <w:vAlign w:val="center"/>
          </w:tcPr>
          <w:p w14:paraId="20E5D2E7">
            <w:pPr>
              <w:widowControl/>
              <w:adjustRightInd w:val="0"/>
              <w:snapToGrid w:val="0"/>
              <w:jc w:val="center"/>
              <w:textAlignment w:val="center"/>
              <w:rPr>
                <w:color w:val="auto"/>
                <w:sz w:val="18"/>
                <w:szCs w:val="18"/>
              </w:rPr>
            </w:pPr>
            <w:r>
              <w:rPr>
                <w:color w:val="auto"/>
                <w:kern w:val="0"/>
                <w:sz w:val="18"/>
                <w:szCs w:val="18"/>
                <w:lang w:bidi="ar"/>
              </w:rPr>
              <w:t>123.26</w:t>
            </w:r>
          </w:p>
        </w:tc>
        <w:tc>
          <w:tcPr>
            <w:tcW w:w="507" w:type="dxa"/>
            <w:shd w:val="clear" w:color="auto" w:fill="FFFFFF"/>
            <w:noWrap/>
            <w:vAlign w:val="center"/>
          </w:tcPr>
          <w:p w14:paraId="2BD8B95E">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344C0FA2">
            <w:pPr>
              <w:widowControl/>
              <w:adjustRightInd w:val="0"/>
              <w:snapToGrid w:val="0"/>
              <w:jc w:val="center"/>
              <w:textAlignment w:val="center"/>
              <w:rPr>
                <w:color w:val="auto"/>
                <w:sz w:val="18"/>
                <w:szCs w:val="18"/>
              </w:rPr>
            </w:pPr>
            <w:r>
              <w:rPr>
                <w:color w:val="auto"/>
                <w:kern w:val="0"/>
                <w:sz w:val="18"/>
                <w:szCs w:val="18"/>
                <w:lang w:bidi="ar"/>
              </w:rPr>
              <w:t>10.66</w:t>
            </w:r>
          </w:p>
        </w:tc>
        <w:tc>
          <w:tcPr>
            <w:tcW w:w="728" w:type="dxa"/>
            <w:shd w:val="clear" w:color="auto" w:fill="auto"/>
            <w:noWrap/>
            <w:vAlign w:val="center"/>
          </w:tcPr>
          <w:p w14:paraId="65009470">
            <w:pPr>
              <w:widowControl/>
              <w:adjustRightInd w:val="0"/>
              <w:snapToGrid w:val="0"/>
              <w:jc w:val="center"/>
              <w:textAlignment w:val="center"/>
              <w:rPr>
                <w:color w:val="auto"/>
                <w:sz w:val="18"/>
                <w:szCs w:val="18"/>
              </w:rPr>
            </w:pPr>
            <w:r>
              <w:rPr>
                <w:color w:val="auto"/>
                <w:kern w:val="0"/>
                <w:sz w:val="18"/>
                <w:szCs w:val="18"/>
                <w:lang w:bidi="ar"/>
              </w:rPr>
              <w:t>8.07</w:t>
            </w:r>
          </w:p>
        </w:tc>
        <w:tc>
          <w:tcPr>
            <w:tcW w:w="728" w:type="dxa"/>
            <w:shd w:val="clear" w:color="auto" w:fill="FFFFFF"/>
            <w:noWrap/>
            <w:vAlign w:val="center"/>
          </w:tcPr>
          <w:p w14:paraId="624B7DAD">
            <w:pPr>
              <w:widowControl/>
              <w:adjustRightInd w:val="0"/>
              <w:snapToGrid w:val="0"/>
              <w:jc w:val="center"/>
              <w:textAlignment w:val="center"/>
              <w:rPr>
                <w:color w:val="auto"/>
                <w:sz w:val="18"/>
                <w:szCs w:val="18"/>
              </w:rPr>
            </w:pPr>
            <w:r>
              <w:rPr>
                <w:color w:val="auto"/>
                <w:kern w:val="0"/>
                <w:sz w:val="18"/>
                <w:szCs w:val="18"/>
                <w:lang w:bidi="ar"/>
              </w:rPr>
              <w:t>15.37</w:t>
            </w:r>
          </w:p>
        </w:tc>
        <w:tc>
          <w:tcPr>
            <w:tcW w:w="728" w:type="dxa"/>
            <w:shd w:val="clear" w:color="auto" w:fill="auto"/>
            <w:noWrap/>
            <w:vAlign w:val="center"/>
          </w:tcPr>
          <w:p w14:paraId="052152C2">
            <w:pPr>
              <w:widowControl/>
              <w:adjustRightInd w:val="0"/>
              <w:snapToGrid w:val="0"/>
              <w:jc w:val="center"/>
              <w:textAlignment w:val="center"/>
              <w:rPr>
                <w:color w:val="auto"/>
                <w:sz w:val="18"/>
                <w:szCs w:val="18"/>
              </w:rPr>
            </w:pPr>
            <w:r>
              <w:rPr>
                <w:color w:val="auto"/>
                <w:kern w:val="0"/>
                <w:sz w:val="18"/>
                <w:szCs w:val="18"/>
                <w:lang w:bidi="ar"/>
              </w:rPr>
              <w:t>29.34</w:t>
            </w:r>
          </w:p>
        </w:tc>
        <w:tc>
          <w:tcPr>
            <w:tcW w:w="855" w:type="dxa"/>
            <w:shd w:val="clear" w:color="auto" w:fill="FFFFFF"/>
            <w:noWrap/>
            <w:vAlign w:val="center"/>
          </w:tcPr>
          <w:p w14:paraId="6A708815">
            <w:pPr>
              <w:widowControl/>
              <w:adjustRightInd w:val="0"/>
              <w:snapToGrid w:val="0"/>
              <w:jc w:val="center"/>
              <w:textAlignment w:val="center"/>
              <w:rPr>
                <w:color w:val="auto"/>
                <w:sz w:val="18"/>
                <w:szCs w:val="18"/>
              </w:rPr>
            </w:pPr>
            <w:r>
              <w:rPr>
                <w:color w:val="auto"/>
                <w:kern w:val="0"/>
                <w:sz w:val="18"/>
                <w:szCs w:val="18"/>
                <w:lang w:bidi="ar"/>
              </w:rPr>
              <w:t>60.22</w:t>
            </w:r>
          </w:p>
        </w:tc>
        <w:tc>
          <w:tcPr>
            <w:tcW w:w="1116" w:type="dxa"/>
            <w:shd w:val="clear" w:color="auto" w:fill="FFFFFF"/>
            <w:noWrap/>
            <w:vAlign w:val="center"/>
          </w:tcPr>
          <w:p w14:paraId="7A2182E3">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2A748EE">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6A5C614">
            <w:pPr>
              <w:widowControl/>
              <w:adjustRightInd w:val="0"/>
              <w:snapToGrid w:val="0"/>
              <w:jc w:val="center"/>
              <w:textAlignment w:val="center"/>
              <w:rPr>
                <w:color w:val="auto"/>
                <w:sz w:val="18"/>
                <w:szCs w:val="18"/>
              </w:rPr>
            </w:pPr>
            <w:r>
              <w:rPr>
                <w:color w:val="auto"/>
                <w:kern w:val="0"/>
                <w:sz w:val="18"/>
                <w:szCs w:val="18"/>
                <w:lang w:bidi="ar"/>
              </w:rPr>
              <w:t>34.22</w:t>
            </w:r>
          </w:p>
        </w:tc>
        <w:tc>
          <w:tcPr>
            <w:tcW w:w="1011" w:type="dxa"/>
            <w:shd w:val="clear" w:color="auto" w:fill="FFFFFF"/>
            <w:noWrap/>
            <w:vAlign w:val="center"/>
          </w:tcPr>
          <w:p w14:paraId="70ACAB3B">
            <w:pPr>
              <w:widowControl/>
              <w:adjustRightInd w:val="0"/>
              <w:snapToGrid w:val="0"/>
              <w:jc w:val="center"/>
              <w:textAlignment w:val="center"/>
              <w:rPr>
                <w:color w:val="auto"/>
                <w:sz w:val="18"/>
                <w:szCs w:val="18"/>
              </w:rPr>
            </w:pPr>
            <w:r>
              <w:rPr>
                <w:color w:val="auto"/>
                <w:kern w:val="0"/>
                <w:sz w:val="18"/>
                <w:szCs w:val="18"/>
                <w:lang w:bidi="ar"/>
              </w:rPr>
              <w:t>1</w:t>
            </w:r>
          </w:p>
        </w:tc>
      </w:tr>
      <w:tr w14:paraId="0E86F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324EF0E6">
            <w:pPr>
              <w:widowControl/>
              <w:adjustRightInd w:val="0"/>
              <w:snapToGrid w:val="0"/>
              <w:jc w:val="center"/>
              <w:textAlignment w:val="center"/>
              <w:rPr>
                <w:color w:val="auto"/>
                <w:sz w:val="18"/>
                <w:szCs w:val="18"/>
              </w:rPr>
            </w:pPr>
            <w:r>
              <w:rPr>
                <w:color w:val="auto"/>
                <w:kern w:val="0"/>
                <w:sz w:val="18"/>
                <w:szCs w:val="18"/>
                <w:lang w:bidi="ar"/>
              </w:rPr>
              <w:t>烘干机10</w:t>
            </w:r>
          </w:p>
        </w:tc>
        <w:tc>
          <w:tcPr>
            <w:tcW w:w="539" w:type="dxa"/>
            <w:vMerge w:val="continue"/>
            <w:shd w:val="clear" w:color="auto" w:fill="FFFFFF"/>
            <w:noWrap/>
            <w:vAlign w:val="center"/>
          </w:tcPr>
          <w:p w14:paraId="197C6B71">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55329741">
            <w:pPr>
              <w:widowControl/>
              <w:adjustRightInd w:val="0"/>
              <w:snapToGrid w:val="0"/>
              <w:jc w:val="center"/>
              <w:textAlignment w:val="center"/>
              <w:rPr>
                <w:color w:val="auto"/>
                <w:sz w:val="18"/>
                <w:szCs w:val="18"/>
              </w:rPr>
            </w:pPr>
            <w:r>
              <w:rPr>
                <w:color w:val="auto"/>
                <w:kern w:val="0"/>
                <w:sz w:val="18"/>
                <w:szCs w:val="18"/>
                <w:lang w:bidi="ar"/>
              </w:rPr>
              <w:t>70</w:t>
            </w:r>
          </w:p>
        </w:tc>
        <w:tc>
          <w:tcPr>
            <w:tcW w:w="674" w:type="dxa"/>
            <w:vMerge w:val="continue"/>
            <w:shd w:val="clear" w:color="auto" w:fill="FFFFFF"/>
            <w:noWrap/>
            <w:vAlign w:val="center"/>
          </w:tcPr>
          <w:p w14:paraId="10E18437">
            <w:pPr>
              <w:adjustRightInd w:val="0"/>
              <w:snapToGrid w:val="0"/>
              <w:jc w:val="center"/>
              <w:rPr>
                <w:color w:val="auto"/>
                <w:sz w:val="18"/>
                <w:szCs w:val="18"/>
              </w:rPr>
            </w:pPr>
          </w:p>
        </w:tc>
        <w:tc>
          <w:tcPr>
            <w:tcW w:w="875" w:type="dxa"/>
            <w:shd w:val="clear" w:color="auto" w:fill="FFFFFF"/>
            <w:noWrap/>
            <w:vAlign w:val="center"/>
          </w:tcPr>
          <w:p w14:paraId="3699DF2A">
            <w:pPr>
              <w:widowControl/>
              <w:adjustRightInd w:val="0"/>
              <w:snapToGrid w:val="0"/>
              <w:jc w:val="center"/>
              <w:textAlignment w:val="center"/>
              <w:rPr>
                <w:color w:val="auto"/>
                <w:sz w:val="18"/>
                <w:szCs w:val="18"/>
              </w:rPr>
            </w:pPr>
            <w:r>
              <w:rPr>
                <w:color w:val="auto"/>
                <w:kern w:val="0"/>
                <w:sz w:val="18"/>
                <w:szCs w:val="18"/>
                <w:lang w:bidi="ar"/>
              </w:rPr>
              <w:t>108.04</w:t>
            </w:r>
          </w:p>
        </w:tc>
        <w:tc>
          <w:tcPr>
            <w:tcW w:w="802" w:type="dxa"/>
            <w:shd w:val="clear" w:color="auto" w:fill="FFFFFF"/>
            <w:noWrap/>
            <w:vAlign w:val="center"/>
          </w:tcPr>
          <w:p w14:paraId="4813160A">
            <w:pPr>
              <w:widowControl/>
              <w:adjustRightInd w:val="0"/>
              <w:snapToGrid w:val="0"/>
              <w:jc w:val="center"/>
              <w:textAlignment w:val="center"/>
              <w:rPr>
                <w:color w:val="auto"/>
                <w:sz w:val="18"/>
                <w:szCs w:val="18"/>
              </w:rPr>
            </w:pPr>
            <w:r>
              <w:rPr>
                <w:color w:val="auto"/>
                <w:kern w:val="0"/>
                <w:sz w:val="18"/>
                <w:szCs w:val="18"/>
                <w:lang w:bidi="ar"/>
              </w:rPr>
              <w:t>124.56</w:t>
            </w:r>
          </w:p>
        </w:tc>
        <w:tc>
          <w:tcPr>
            <w:tcW w:w="507" w:type="dxa"/>
            <w:shd w:val="clear" w:color="auto" w:fill="FFFFFF"/>
            <w:noWrap/>
            <w:vAlign w:val="center"/>
          </w:tcPr>
          <w:p w14:paraId="1F4157EC">
            <w:pPr>
              <w:widowControl/>
              <w:adjustRightInd w:val="0"/>
              <w:snapToGrid w:val="0"/>
              <w:jc w:val="center"/>
              <w:textAlignment w:val="center"/>
              <w:rPr>
                <w:color w:val="auto"/>
                <w:sz w:val="18"/>
                <w:szCs w:val="18"/>
              </w:rPr>
            </w:pPr>
            <w:r>
              <w:rPr>
                <w:color w:val="auto"/>
                <w:kern w:val="0"/>
                <w:sz w:val="18"/>
                <w:szCs w:val="18"/>
                <w:lang w:bidi="ar"/>
              </w:rPr>
              <w:t>4.5</w:t>
            </w:r>
          </w:p>
        </w:tc>
        <w:tc>
          <w:tcPr>
            <w:tcW w:w="728" w:type="dxa"/>
            <w:shd w:val="clear" w:color="auto" w:fill="FFFFFF"/>
            <w:noWrap/>
            <w:vAlign w:val="center"/>
          </w:tcPr>
          <w:p w14:paraId="28D6CDDB">
            <w:pPr>
              <w:widowControl/>
              <w:adjustRightInd w:val="0"/>
              <w:snapToGrid w:val="0"/>
              <w:jc w:val="center"/>
              <w:textAlignment w:val="center"/>
              <w:rPr>
                <w:color w:val="auto"/>
                <w:sz w:val="18"/>
                <w:szCs w:val="18"/>
              </w:rPr>
            </w:pPr>
            <w:r>
              <w:rPr>
                <w:color w:val="auto"/>
                <w:kern w:val="0"/>
                <w:sz w:val="18"/>
                <w:szCs w:val="18"/>
                <w:lang w:bidi="ar"/>
              </w:rPr>
              <w:t>13.70</w:t>
            </w:r>
          </w:p>
        </w:tc>
        <w:tc>
          <w:tcPr>
            <w:tcW w:w="728" w:type="dxa"/>
            <w:shd w:val="clear" w:color="auto" w:fill="auto"/>
            <w:noWrap/>
            <w:vAlign w:val="center"/>
          </w:tcPr>
          <w:p w14:paraId="53A40B39">
            <w:pPr>
              <w:widowControl/>
              <w:adjustRightInd w:val="0"/>
              <w:snapToGrid w:val="0"/>
              <w:jc w:val="center"/>
              <w:textAlignment w:val="center"/>
              <w:rPr>
                <w:color w:val="auto"/>
                <w:sz w:val="18"/>
                <w:szCs w:val="18"/>
              </w:rPr>
            </w:pPr>
            <w:r>
              <w:rPr>
                <w:color w:val="auto"/>
                <w:kern w:val="0"/>
                <w:sz w:val="18"/>
                <w:szCs w:val="18"/>
                <w:lang w:bidi="ar"/>
              </w:rPr>
              <w:t>8.27</w:t>
            </w:r>
          </w:p>
        </w:tc>
        <w:tc>
          <w:tcPr>
            <w:tcW w:w="728" w:type="dxa"/>
            <w:shd w:val="clear" w:color="auto" w:fill="FFFFFF"/>
            <w:noWrap/>
            <w:vAlign w:val="center"/>
          </w:tcPr>
          <w:p w14:paraId="574F5A2E">
            <w:pPr>
              <w:widowControl/>
              <w:adjustRightInd w:val="0"/>
              <w:snapToGrid w:val="0"/>
              <w:jc w:val="center"/>
              <w:textAlignment w:val="center"/>
              <w:rPr>
                <w:color w:val="auto"/>
                <w:sz w:val="18"/>
                <w:szCs w:val="18"/>
              </w:rPr>
            </w:pPr>
            <w:r>
              <w:rPr>
                <w:color w:val="auto"/>
                <w:kern w:val="0"/>
                <w:sz w:val="18"/>
                <w:szCs w:val="18"/>
                <w:lang w:bidi="ar"/>
              </w:rPr>
              <w:t>12.32</w:t>
            </w:r>
          </w:p>
        </w:tc>
        <w:tc>
          <w:tcPr>
            <w:tcW w:w="728" w:type="dxa"/>
            <w:shd w:val="clear" w:color="auto" w:fill="auto"/>
            <w:noWrap/>
            <w:vAlign w:val="center"/>
          </w:tcPr>
          <w:p w14:paraId="1A4373B3">
            <w:pPr>
              <w:widowControl/>
              <w:adjustRightInd w:val="0"/>
              <w:snapToGrid w:val="0"/>
              <w:jc w:val="center"/>
              <w:textAlignment w:val="center"/>
              <w:rPr>
                <w:color w:val="auto"/>
                <w:sz w:val="18"/>
                <w:szCs w:val="18"/>
              </w:rPr>
            </w:pPr>
            <w:r>
              <w:rPr>
                <w:color w:val="auto"/>
                <w:kern w:val="0"/>
                <w:sz w:val="18"/>
                <w:szCs w:val="18"/>
                <w:lang w:bidi="ar"/>
              </w:rPr>
              <w:t>29.13</w:t>
            </w:r>
          </w:p>
        </w:tc>
        <w:tc>
          <w:tcPr>
            <w:tcW w:w="855" w:type="dxa"/>
            <w:shd w:val="clear" w:color="auto" w:fill="FFFFFF"/>
            <w:noWrap/>
            <w:vAlign w:val="center"/>
          </w:tcPr>
          <w:p w14:paraId="28BA5D77">
            <w:pPr>
              <w:widowControl/>
              <w:adjustRightInd w:val="0"/>
              <w:snapToGrid w:val="0"/>
              <w:jc w:val="center"/>
              <w:textAlignment w:val="center"/>
              <w:rPr>
                <w:color w:val="auto"/>
                <w:sz w:val="18"/>
                <w:szCs w:val="18"/>
              </w:rPr>
            </w:pPr>
            <w:r>
              <w:rPr>
                <w:color w:val="auto"/>
                <w:kern w:val="0"/>
                <w:sz w:val="18"/>
                <w:szCs w:val="18"/>
                <w:lang w:bidi="ar"/>
              </w:rPr>
              <w:t>60.21</w:t>
            </w:r>
          </w:p>
        </w:tc>
        <w:tc>
          <w:tcPr>
            <w:tcW w:w="1116" w:type="dxa"/>
            <w:shd w:val="clear" w:color="auto" w:fill="FFFFFF"/>
            <w:noWrap/>
            <w:vAlign w:val="center"/>
          </w:tcPr>
          <w:p w14:paraId="10A063FE">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7428BEDE">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5A2F424F">
            <w:pPr>
              <w:widowControl/>
              <w:adjustRightInd w:val="0"/>
              <w:snapToGrid w:val="0"/>
              <w:jc w:val="center"/>
              <w:textAlignment w:val="center"/>
              <w:rPr>
                <w:color w:val="auto"/>
                <w:sz w:val="18"/>
                <w:szCs w:val="18"/>
              </w:rPr>
            </w:pPr>
            <w:r>
              <w:rPr>
                <w:color w:val="auto"/>
                <w:kern w:val="0"/>
                <w:sz w:val="18"/>
                <w:szCs w:val="18"/>
                <w:lang w:bidi="ar"/>
              </w:rPr>
              <w:t>34.21</w:t>
            </w:r>
          </w:p>
        </w:tc>
        <w:tc>
          <w:tcPr>
            <w:tcW w:w="1011" w:type="dxa"/>
            <w:shd w:val="clear" w:color="auto" w:fill="FFFFFF"/>
            <w:noWrap/>
            <w:vAlign w:val="center"/>
          </w:tcPr>
          <w:p w14:paraId="620FADAF">
            <w:pPr>
              <w:widowControl/>
              <w:adjustRightInd w:val="0"/>
              <w:snapToGrid w:val="0"/>
              <w:jc w:val="center"/>
              <w:textAlignment w:val="center"/>
              <w:rPr>
                <w:color w:val="auto"/>
                <w:sz w:val="18"/>
                <w:szCs w:val="18"/>
              </w:rPr>
            </w:pPr>
            <w:r>
              <w:rPr>
                <w:color w:val="auto"/>
                <w:kern w:val="0"/>
                <w:sz w:val="18"/>
                <w:szCs w:val="18"/>
                <w:lang w:bidi="ar"/>
              </w:rPr>
              <w:t>1</w:t>
            </w:r>
          </w:p>
        </w:tc>
      </w:tr>
      <w:tr w14:paraId="2CEF6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673" w:type="dxa"/>
            <w:shd w:val="clear" w:color="auto" w:fill="FFFFFF"/>
            <w:noWrap/>
            <w:vAlign w:val="center"/>
          </w:tcPr>
          <w:p w14:paraId="6B8CB4A2">
            <w:pPr>
              <w:widowControl/>
              <w:adjustRightInd w:val="0"/>
              <w:snapToGrid w:val="0"/>
              <w:jc w:val="center"/>
              <w:textAlignment w:val="center"/>
              <w:rPr>
                <w:color w:val="auto"/>
                <w:sz w:val="18"/>
                <w:szCs w:val="18"/>
              </w:rPr>
            </w:pPr>
            <w:r>
              <w:rPr>
                <w:color w:val="auto"/>
                <w:kern w:val="0"/>
                <w:sz w:val="18"/>
                <w:szCs w:val="18"/>
                <w:lang w:bidi="ar"/>
              </w:rPr>
              <w:t>锅炉</w:t>
            </w:r>
          </w:p>
        </w:tc>
        <w:tc>
          <w:tcPr>
            <w:tcW w:w="539" w:type="dxa"/>
            <w:vMerge w:val="continue"/>
            <w:shd w:val="clear" w:color="auto" w:fill="FFFFFF"/>
            <w:noWrap/>
            <w:vAlign w:val="center"/>
          </w:tcPr>
          <w:p w14:paraId="0FFA88D1">
            <w:pPr>
              <w:widowControl/>
              <w:adjustRightInd w:val="0"/>
              <w:snapToGrid w:val="0"/>
              <w:jc w:val="center"/>
              <w:textAlignment w:val="center"/>
              <w:rPr>
                <w:color w:val="auto"/>
                <w:kern w:val="0"/>
                <w:sz w:val="18"/>
                <w:szCs w:val="18"/>
                <w:lang w:bidi="ar"/>
              </w:rPr>
            </w:pPr>
          </w:p>
        </w:tc>
        <w:tc>
          <w:tcPr>
            <w:tcW w:w="1747" w:type="dxa"/>
            <w:shd w:val="clear" w:color="auto" w:fill="FFFFFF"/>
            <w:noWrap/>
            <w:vAlign w:val="center"/>
          </w:tcPr>
          <w:p w14:paraId="195F6503">
            <w:pPr>
              <w:widowControl/>
              <w:adjustRightInd w:val="0"/>
              <w:snapToGrid w:val="0"/>
              <w:jc w:val="center"/>
              <w:textAlignment w:val="center"/>
              <w:rPr>
                <w:color w:val="auto"/>
                <w:sz w:val="18"/>
                <w:szCs w:val="18"/>
              </w:rPr>
            </w:pPr>
            <w:r>
              <w:rPr>
                <w:color w:val="auto"/>
                <w:kern w:val="0"/>
                <w:sz w:val="18"/>
                <w:szCs w:val="18"/>
                <w:lang w:bidi="ar"/>
              </w:rPr>
              <w:t>85</w:t>
            </w:r>
          </w:p>
        </w:tc>
        <w:tc>
          <w:tcPr>
            <w:tcW w:w="674" w:type="dxa"/>
            <w:vMerge w:val="continue"/>
            <w:shd w:val="clear" w:color="auto" w:fill="FFFFFF"/>
            <w:noWrap/>
            <w:vAlign w:val="center"/>
          </w:tcPr>
          <w:p w14:paraId="7BB2E892">
            <w:pPr>
              <w:adjustRightInd w:val="0"/>
              <w:snapToGrid w:val="0"/>
              <w:jc w:val="center"/>
              <w:rPr>
                <w:color w:val="auto"/>
                <w:sz w:val="18"/>
                <w:szCs w:val="18"/>
              </w:rPr>
            </w:pPr>
          </w:p>
        </w:tc>
        <w:tc>
          <w:tcPr>
            <w:tcW w:w="875" w:type="dxa"/>
            <w:shd w:val="clear" w:color="auto" w:fill="FFFFFF"/>
            <w:noWrap/>
            <w:vAlign w:val="center"/>
          </w:tcPr>
          <w:p w14:paraId="199129FE">
            <w:pPr>
              <w:widowControl/>
              <w:adjustRightInd w:val="0"/>
              <w:snapToGrid w:val="0"/>
              <w:jc w:val="center"/>
              <w:textAlignment w:val="center"/>
              <w:rPr>
                <w:color w:val="auto"/>
                <w:sz w:val="18"/>
                <w:szCs w:val="18"/>
              </w:rPr>
            </w:pPr>
            <w:r>
              <w:rPr>
                <w:color w:val="auto"/>
                <w:kern w:val="0"/>
                <w:sz w:val="18"/>
                <w:szCs w:val="18"/>
                <w:lang w:bidi="ar"/>
              </w:rPr>
              <w:t>94.47</w:t>
            </w:r>
          </w:p>
        </w:tc>
        <w:tc>
          <w:tcPr>
            <w:tcW w:w="802" w:type="dxa"/>
            <w:shd w:val="clear" w:color="auto" w:fill="FFFFFF"/>
            <w:noWrap/>
            <w:vAlign w:val="center"/>
          </w:tcPr>
          <w:p w14:paraId="7104BFF9">
            <w:pPr>
              <w:widowControl/>
              <w:adjustRightInd w:val="0"/>
              <w:snapToGrid w:val="0"/>
              <w:jc w:val="center"/>
              <w:textAlignment w:val="center"/>
              <w:rPr>
                <w:color w:val="auto"/>
                <w:sz w:val="18"/>
                <w:szCs w:val="18"/>
              </w:rPr>
            </w:pPr>
            <w:r>
              <w:rPr>
                <w:color w:val="auto"/>
                <w:kern w:val="0"/>
                <w:sz w:val="18"/>
                <w:szCs w:val="18"/>
                <w:lang w:bidi="ar"/>
              </w:rPr>
              <w:t>111.44</w:t>
            </w:r>
          </w:p>
        </w:tc>
        <w:tc>
          <w:tcPr>
            <w:tcW w:w="507" w:type="dxa"/>
            <w:shd w:val="clear" w:color="auto" w:fill="FFFFFF"/>
            <w:noWrap/>
            <w:vAlign w:val="center"/>
          </w:tcPr>
          <w:p w14:paraId="5E45B754">
            <w:pPr>
              <w:widowControl/>
              <w:adjustRightInd w:val="0"/>
              <w:snapToGrid w:val="0"/>
              <w:jc w:val="center"/>
              <w:textAlignment w:val="center"/>
              <w:rPr>
                <w:color w:val="auto"/>
                <w:sz w:val="18"/>
                <w:szCs w:val="18"/>
              </w:rPr>
            </w:pPr>
            <w:r>
              <w:rPr>
                <w:color w:val="auto"/>
                <w:kern w:val="0"/>
                <w:sz w:val="18"/>
                <w:szCs w:val="18"/>
                <w:lang w:bidi="ar"/>
              </w:rPr>
              <w:t>0</w:t>
            </w:r>
          </w:p>
        </w:tc>
        <w:tc>
          <w:tcPr>
            <w:tcW w:w="728" w:type="dxa"/>
            <w:shd w:val="clear" w:color="auto" w:fill="FFFFFF"/>
            <w:noWrap/>
            <w:vAlign w:val="center"/>
          </w:tcPr>
          <w:p w14:paraId="339705BB">
            <w:pPr>
              <w:widowControl/>
              <w:adjustRightInd w:val="0"/>
              <w:snapToGrid w:val="0"/>
              <w:jc w:val="center"/>
              <w:textAlignment w:val="center"/>
              <w:rPr>
                <w:color w:val="auto"/>
                <w:sz w:val="18"/>
                <w:szCs w:val="18"/>
              </w:rPr>
            </w:pPr>
            <w:r>
              <w:rPr>
                <w:color w:val="auto"/>
                <w:kern w:val="0"/>
                <w:sz w:val="18"/>
                <w:szCs w:val="18"/>
                <w:lang w:bidi="ar"/>
              </w:rPr>
              <w:t>15.55</w:t>
            </w:r>
          </w:p>
        </w:tc>
        <w:tc>
          <w:tcPr>
            <w:tcW w:w="728" w:type="dxa"/>
            <w:shd w:val="clear" w:color="auto" w:fill="auto"/>
            <w:noWrap/>
            <w:vAlign w:val="center"/>
          </w:tcPr>
          <w:p w14:paraId="43C3A635">
            <w:pPr>
              <w:widowControl/>
              <w:adjustRightInd w:val="0"/>
              <w:snapToGrid w:val="0"/>
              <w:jc w:val="center"/>
              <w:textAlignment w:val="center"/>
              <w:rPr>
                <w:color w:val="auto"/>
                <w:sz w:val="18"/>
                <w:szCs w:val="18"/>
              </w:rPr>
            </w:pPr>
            <w:r>
              <w:rPr>
                <w:color w:val="auto"/>
                <w:kern w:val="0"/>
                <w:sz w:val="18"/>
                <w:szCs w:val="18"/>
                <w:lang w:bidi="ar"/>
              </w:rPr>
              <w:t>10.83</w:t>
            </w:r>
          </w:p>
        </w:tc>
        <w:tc>
          <w:tcPr>
            <w:tcW w:w="728" w:type="dxa"/>
            <w:shd w:val="clear" w:color="auto" w:fill="FFFFFF"/>
            <w:noWrap/>
            <w:vAlign w:val="center"/>
          </w:tcPr>
          <w:p w14:paraId="43CC1FD6">
            <w:pPr>
              <w:widowControl/>
              <w:adjustRightInd w:val="0"/>
              <w:snapToGrid w:val="0"/>
              <w:jc w:val="center"/>
              <w:textAlignment w:val="center"/>
              <w:rPr>
                <w:color w:val="auto"/>
                <w:sz w:val="18"/>
                <w:szCs w:val="18"/>
              </w:rPr>
            </w:pPr>
            <w:r>
              <w:rPr>
                <w:color w:val="auto"/>
                <w:kern w:val="0"/>
                <w:sz w:val="18"/>
                <w:szCs w:val="18"/>
                <w:lang w:bidi="ar"/>
              </w:rPr>
              <w:t>11.91</w:t>
            </w:r>
          </w:p>
        </w:tc>
        <w:tc>
          <w:tcPr>
            <w:tcW w:w="728" w:type="dxa"/>
            <w:shd w:val="clear" w:color="auto" w:fill="auto"/>
            <w:noWrap/>
            <w:vAlign w:val="center"/>
          </w:tcPr>
          <w:p w14:paraId="08EE33C1">
            <w:pPr>
              <w:widowControl/>
              <w:adjustRightInd w:val="0"/>
              <w:snapToGrid w:val="0"/>
              <w:jc w:val="center"/>
              <w:textAlignment w:val="center"/>
              <w:rPr>
                <w:color w:val="auto"/>
                <w:sz w:val="18"/>
                <w:szCs w:val="18"/>
              </w:rPr>
            </w:pPr>
            <w:r>
              <w:rPr>
                <w:color w:val="auto"/>
                <w:kern w:val="0"/>
                <w:sz w:val="18"/>
                <w:szCs w:val="18"/>
                <w:lang w:bidi="ar"/>
              </w:rPr>
              <w:t>4.09</w:t>
            </w:r>
          </w:p>
        </w:tc>
        <w:tc>
          <w:tcPr>
            <w:tcW w:w="855" w:type="dxa"/>
            <w:shd w:val="clear" w:color="auto" w:fill="FFFFFF"/>
            <w:noWrap/>
            <w:vAlign w:val="center"/>
          </w:tcPr>
          <w:p w14:paraId="354432E1">
            <w:pPr>
              <w:widowControl/>
              <w:adjustRightInd w:val="0"/>
              <w:snapToGrid w:val="0"/>
              <w:jc w:val="center"/>
              <w:textAlignment w:val="center"/>
              <w:rPr>
                <w:color w:val="auto"/>
                <w:sz w:val="18"/>
                <w:szCs w:val="18"/>
              </w:rPr>
            </w:pPr>
            <w:r>
              <w:rPr>
                <w:color w:val="auto"/>
                <w:kern w:val="0"/>
                <w:sz w:val="18"/>
                <w:szCs w:val="18"/>
                <w:lang w:bidi="ar"/>
              </w:rPr>
              <w:t>79.10</w:t>
            </w:r>
          </w:p>
        </w:tc>
        <w:tc>
          <w:tcPr>
            <w:tcW w:w="1116" w:type="dxa"/>
            <w:shd w:val="clear" w:color="auto" w:fill="FFFFFF"/>
            <w:noWrap/>
            <w:vAlign w:val="center"/>
          </w:tcPr>
          <w:p w14:paraId="1460AB52">
            <w:pPr>
              <w:widowControl/>
              <w:adjustRightInd w:val="0"/>
              <w:snapToGrid w:val="0"/>
              <w:jc w:val="center"/>
              <w:textAlignment w:val="center"/>
              <w:rPr>
                <w:color w:val="auto"/>
                <w:sz w:val="18"/>
                <w:szCs w:val="18"/>
              </w:rPr>
            </w:pPr>
            <w:r>
              <w:rPr>
                <w:color w:val="auto"/>
                <w:kern w:val="0"/>
                <w:sz w:val="18"/>
                <w:szCs w:val="18"/>
                <w:lang w:bidi="ar"/>
              </w:rPr>
              <w:t>昼间</w:t>
            </w:r>
          </w:p>
        </w:tc>
        <w:tc>
          <w:tcPr>
            <w:tcW w:w="757" w:type="dxa"/>
            <w:shd w:val="clear" w:color="auto" w:fill="FFFFFF"/>
            <w:noWrap/>
            <w:vAlign w:val="center"/>
          </w:tcPr>
          <w:p w14:paraId="5B992A80">
            <w:pPr>
              <w:widowControl/>
              <w:adjustRightInd w:val="0"/>
              <w:snapToGrid w:val="0"/>
              <w:jc w:val="center"/>
              <w:textAlignment w:val="center"/>
              <w:rPr>
                <w:color w:val="auto"/>
                <w:sz w:val="18"/>
                <w:szCs w:val="18"/>
              </w:rPr>
            </w:pPr>
            <w:r>
              <w:rPr>
                <w:color w:val="auto"/>
                <w:kern w:val="0"/>
                <w:sz w:val="18"/>
                <w:szCs w:val="18"/>
                <w:lang w:bidi="ar"/>
              </w:rPr>
              <w:t>20</w:t>
            </w:r>
          </w:p>
        </w:tc>
        <w:tc>
          <w:tcPr>
            <w:tcW w:w="1011" w:type="dxa"/>
            <w:shd w:val="clear" w:color="auto" w:fill="FFFFFF"/>
            <w:noWrap/>
            <w:vAlign w:val="center"/>
          </w:tcPr>
          <w:p w14:paraId="1E0055CE">
            <w:pPr>
              <w:widowControl/>
              <w:adjustRightInd w:val="0"/>
              <w:snapToGrid w:val="0"/>
              <w:jc w:val="center"/>
              <w:textAlignment w:val="center"/>
              <w:rPr>
                <w:color w:val="auto"/>
                <w:sz w:val="18"/>
                <w:szCs w:val="18"/>
              </w:rPr>
            </w:pPr>
            <w:r>
              <w:rPr>
                <w:color w:val="auto"/>
                <w:kern w:val="0"/>
                <w:sz w:val="18"/>
                <w:szCs w:val="18"/>
                <w:lang w:bidi="ar"/>
              </w:rPr>
              <w:t>53.10</w:t>
            </w:r>
          </w:p>
        </w:tc>
        <w:tc>
          <w:tcPr>
            <w:tcW w:w="1011" w:type="dxa"/>
            <w:shd w:val="clear" w:color="auto" w:fill="FFFFFF"/>
            <w:noWrap/>
            <w:vAlign w:val="center"/>
          </w:tcPr>
          <w:p w14:paraId="0DE8897E">
            <w:pPr>
              <w:widowControl/>
              <w:adjustRightInd w:val="0"/>
              <w:snapToGrid w:val="0"/>
              <w:jc w:val="center"/>
              <w:textAlignment w:val="center"/>
              <w:rPr>
                <w:color w:val="auto"/>
                <w:sz w:val="18"/>
                <w:szCs w:val="18"/>
              </w:rPr>
            </w:pPr>
            <w:r>
              <w:rPr>
                <w:color w:val="auto"/>
                <w:kern w:val="0"/>
                <w:sz w:val="18"/>
                <w:szCs w:val="18"/>
                <w:lang w:bidi="ar"/>
              </w:rPr>
              <w:t>1</w:t>
            </w:r>
          </w:p>
        </w:tc>
      </w:tr>
    </w:tbl>
    <w:p w14:paraId="079CE1BD">
      <w:pPr>
        <w:pStyle w:val="33"/>
        <w:sectPr>
          <w:pgSz w:w="16840" w:h="11907" w:orient="landscape"/>
          <w:pgMar w:top="1440" w:right="1080" w:bottom="1440" w:left="1080" w:header="851" w:footer="851" w:gutter="0"/>
          <w:cols w:space="720" w:num="1"/>
          <w:docGrid w:linePitch="312" w:charSpace="0"/>
        </w:sect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1"/>
      </w:tblGrid>
      <w:tr w14:paraId="7B482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1" w:type="dxa"/>
          </w:tcPr>
          <w:p w14:paraId="50FAB82E">
            <w:pPr>
              <w:tabs>
                <w:tab w:val="left" w:pos="1021"/>
              </w:tabs>
              <w:spacing w:line="360" w:lineRule="auto"/>
              <w:ind w:firstLine="480" w:firstLineChars="200"/>
              <w:rPr>
                <w:bCs/>
                <w:sz w:val="24"/>
              </w:rPr>
            </w:pPr>
            <w:r>
              <w:rPr>
                <w:bCs/>
                <w:sz w:val="24"/>
              </w:rPr>
              <w:t>由于本项目未营运，故本次评价根据设备在</w:t>
            </w:r>
            <w:r>
              <w:rPr>
                <w:rFonts w:hint="eastAsia"/>
                <w:bCs/>
                <w:sz w:val="24"/>
              </w:rPr>
              <w:t>厂区</w:t>
            </w:r>
            <w:r>
              <w:rPr>
                <w:bCs/>
                <w:sz w:val="24"/>
              </w:rPr>
              <w:t>分布位置及设备的噪声源强，对</w:t>
            </w:r>
            <w:r>
              <w:rPr>
                <w:rFonts w:hint="eastAsia"/>
                <w:bCs/>
                <w:sz w:val="24"/>
              </w:rPr>
              <w:t>厂界</w:t>
            </w:r>
            <w:r>
              <w:rPr>
                <w:bCs/>
                <w:sz w:val="24"/>
              </w:rPr>
              <w:t>噪声进行预测。预测按照《环境影响评价技术导则 声环境》（HJ2.4-2021）中的预测模式进行。本项目的噪声源为室内声源（</w:t>
            </w:r>
            <w:r>
              <w:rPr>
                <w:rFonts w:hint="eastAsia"/>
                <w:bCs/>
                <w:sz w:val="24"/>
              </w:rPr>
              <w:t>机械加工设备</w:t>
            </w:r>
            <w:r>
              <w:rPr>
                <w:bCs/>
                <w:sz w:val="24"/>
              </w:rPr>
              <w:t>），其噪声影响预测如下：</w:t>
            </w:r>
          </w:p>
          <w:p w14:paraId="3D78A83C">
            <w:pPr>
              <w:tabs>
                <w:tab w:val="left" w:pos="1021"/>
              </w:tabs>
              <w:spacing w:line="360" w:lineRule="auto"/>
              <w:ind w:firstLine="480" w:firstLineChars="200"/>
              <w:rPr>
                <w:bCs/>
                <w:sz w:val="24"/>
              </w:rPr>
            </w:pPr>
            <w:r>
              <w:rPr>
                <w:bCs/>
                <w:sz w:val="24"/>
              </w:rPr>
              <w:t>①计算某个声源在预测点的倍频带声压级</w:t>
            </w:r>
          </w:p>
          <w:p w14:paraId="58DAD25F">
            <w:pPr>
              <w:tabs>
                <w:tab w:val="left" w:pos="1021"/>
              </w:tabs>
              <w:spacing w:line="360" w:lineRule="auto"/>
              <w:ind w:firstLine="480" w:firstLineChars="200"/>
              <w:rPr>
                <w:bCs/>
                <w:sz w:val="24"/>
              </w:rPr>
            </w:pPr>
            <w:r>
              <w:rPr>
                <w:bCs/>
                <w:sz w:val="24"/>
              </w:rPr>
              <w:t>Lp（r）=Lw+Dc－A</w:t>
            </w:r>
          </w:p>
          <w:p w14:paraId="5DC578C7">
            <w:pPr>
              <w:tabs>
                <w:tab w:val="left" w:pos="1021"/>
              </w:tabs>
              <w:spacing w:line="360" w:lineRule="auto"/>
              <w:ind w:firstLine="480" w:firstLineChars="200"/>
              <w:rPr>
                <w:bCs/>
                <w:sz w:val="24"/>
              </w:rPr>
            </w:pPr>
            <w:r>
              <w:rPr>
                <w:bCs/>
                <w:sz w:val="24"/>
              </w:rPr>
              <w:t xml:space="preserve">A=Adiv+Aatm+Agr+Abar+Amisc </w:t>
            </w:r>
          </w:p>
          <w:p w14:paraId="7BB74434">
            <w:pPr>
              <w:tabs>
                <w:tab w:val="left" w:pos="1021"/>
              </w:tabs>
              <w:spacing w:line="360" w:lineRule="auto"/>
              <w:ind w:firstLine="480" w:firstLineChars="200"/>
              <w:rPr>
                <w:bCs/>
                <w:sz w:val="24"/>
              </w:rPr>
            </w:pPr>
            <w:r>
              <w:rPr>
                <w:bCs/>
                <w:sz w:val="24"/>
              </w:rPr>
              <w:t>式中：</w:t>
            </w:r>
          </w:p>
          <w:p w14:paraId="40C07DE5">
            <w:pPr>
              <w:tabs>
                <w:tab w:val="left" w:pos="1021"/>
              </w:tabs>
              <w:spacing w:line="360" w:lineRule="auto"/>
              <w:ind w:firstLine="480" w:firstLineChars="200"/>
              <w:rPr>
                <w:bCs/>
                <w:sz w:val="24"/>
              </w:rPr>
            </w:pPr>
            <w:r>
              <w:rPr>
                <w:bCs/>
                <w:sz w:val="24"/>
              </w:rPr>
              <w:t>Lw—倍频带声功率级，dB；</w:t>
            </w:r>
          </w:p>
          <w:p w14:paraId="33AA8F89">
            <w:pPr>
              <w:tabs>
                <w:tab w:val="left" w:pos="1021"/>
              </w:tabs>
              <w:spacing w:line="360" w:lineRule="auto"/>
              <w:ind w:firstLine="480" w:firstLineChars="200"/>
              <w:rPr>
                <w:bCs/>
                <w:sz w:val="24"/>
              </w:rPr>
            </w:pPr>
            <w:r>
              <w:rPr>
                <w:bCs/>
                <w:sz w:val="24"/>
              </w:rPr>
              <w:t>Dc—指向性校正，dB，它描述点声源的等效连续声压级与产生声功率级Lw 的全向点声源在规定方向的级的偏差程度。指向性校正等于点声源的指向性指数 Di 加上计到小于 4π球面度（sr）立体角内的声传播指数 DΩ对辐射到自由空间的全向点声源，Dc=0dB。</w:t>
            </w:r>
          </w:p>
          <w:p w14:paraId="31515057">
            <w:pPr>
              <w:tabs>
                <w:tab w:val="left" w:pos="1021"/>
              </w:tabs>
              <w:spacing w:line="360" w:lineRule="auto"/>
              <w:ind w:firstLine="480" w:firstLineChars="200"/>
              <w:rPr>
                <w:bCs/>
                <w:sz w:val="24"/>
              </w:rPr>
            </w:pPr>
            <w:r>
              <w:rPr>
                <w:bCs/>
                <w:sz w:val="24"/>
              </w:rPr>
              <w:t>A—倍频带衰减，dB；</w:t>
            </w:r>
          </w:p>
          <w:p w14:paraId="1783DDB8">
            <w:pPr>
              <w:tabs>
                <w:tab w:val="left" w:pos="1021"/>
              </w:tabs>
              <w:spacing w:line="360" w:lineRule="auto"/>
              <w:ind w:firstLine="480" w:firstLineChars="200"/>
              <w:rPr>
                <w:bCs/>
                <w:sz w:val="24"/>
              </w:rPr>
            </w:pPr>
            <w:r>
              <w:rPr>
                <w:bCs/>
                <w:sz w:val="24"/>
              </w:rPr>
              <w:t>Adiv—几何发散引起的倍频带衰减，dB；</w:t>
            </w:r>
          </w:p>
          <w:p w14:paraId="38DD9397">
            <w:pPr>
              <w:tabs>
                <w:tab w:val="left" w:pos="1021"/>
              </w:tabs>
              <w:spacing w:line="360" w:lineRule="auto"/>
              <w:ind w:firstLine="480" w:firstLineChars="200"/>
              <w:rPr>
                <w:bCs/>
                <w:sz w:val="24"/>
              </w:rPr>
            </w:pPr>
            <w:r>
              <w:rPr>
                <w:bCs/>
                <w:sz w:val="24"/>
              </w:rPr>
              <w:t>Aatm—大气吸收引起的倍频带衰减，dB；</w:t>
            </w:r>
          </w:p>
          <w:p w14:paraId="2773E717">
            <w:pPr>
              <w:tabs>
                <w:tab w:val="left" w:pos="1021"/>
              </w:tabs>
              <w:spacing w:line="360" w:lineRule="auto"/>
              <w:ind w:firstLine="480" w:firstLineChars="200"/>
              <w:rPr>
                <w:bCs/>
                <w:sz w:val="24"/>
              </w:rPr>
            </w:pPr>
            <w:r>
              <w:rPr>
                <w:bCs/>
                <w:sz w:val="24"/>
              </w:rPr>
              <w:t>Agr—地面效应引起的倍频带衰减，dB；</w:t>
            </w:r>
          </w:p>
          <w:p w14:paraId="24753207">
            <w:pPr>
              <w:tabs>
                <w:tab w:val="left" w:pos="1021"/>
              </w:tabs>
              <w:spacing w:line="360" w:lineRule="auto"/>
              <w:ind w:firstLine="480" w:firstLineChars="200"/>
              <w:rPr>
                <w:bCs/>
                <w:sz w:val="24"/>
              </w:rPr>
            </w:pPr>
            <w:r>
              <w:rPr>
                <w:bCs/>
                <w:sz w:val="24"/>
              </w:rPr>
              <w:t>Abar—声屏障引起的倍频带衰减，dB；</w:t>
            </w:r>
          </w:p>
          <w:p w14:paraId="3F0CF3C3">
            <w:pPr>
              <w:tabs>
                <w:tab w:val="left" w:pos="1021"/>
              </w:tabs>
              <w:spacing w:line="360" w:lineRule="auto"/>
              <w:ind w:firstLine="480" w:firstLineChars="200"/>
              <w:rPr>
                <w:bCs/>
                <w:sz w:val="24"/>
              </w:rPr>
            </w:pPr>
            <w:r>
              <w:rPr>
                <w:bCs/>
                <w:sz w:val="24"/>
              </w:rPr>
              <w:t>Amisc—其它多方面效应引起的倍频带衰减，dB；</w:t>
            </w:r>
          </w:p>
          <w:p w14:paraId="6EF042AC">
            <w:pPr>
              <w:tabs>
                <w:tab w:val="left" w:pos="1021"/>
              </w:tabs>
              <w:spacing w:line="360" w:lineRule="auto"/>
              <w:ind w:firstLine="480" w:firstLineChars="200"/>
              <w:rPr>
                <w:bCs/>
                <w:sz w:val="24"/>
              </w:rPr>
            </w:pPr>
            <w:r>
              <w:rPr>
                <w:bCs/>
                <w:sz w:val="24"/>
              </w:rPr>
              <w:t>②已知靠近声源处某点的倍频带声压级Lp</w:t>
            </w:r>
            <w:r>
              <w:rPr>
                <w:rFonts w:hint="eastAsia"/>
                <w:bCs/>
                <w:sz w:val="24"/>
                <w:lang w:eastAsia="zh-CN"/>
              </w:rPr>
              <w:t>（</w:t>
            </w:r>
            <w:r>
              <w:rPr>
                <w:bCs/>
                <w:sz w:val="24"/>
              </w:rPr>
              <w:t>ro</w:t>
            </w:r>
            <w:r>
              <w:rPr>
                <w:rFonts w:hint="eastAsia"/>
                <w:bCs/>
                <w:sz w:val="24"/>
                <w:lang w:eastAsia="zh-CN"/>
              </w:rPr>
              <w:t>）</w:t>
            </w:r>
            <w:r>
              <w:rPr>
                <w:bCs/>
                <w:sz w:val="24"/>
              </w:rPr>
              <w:t>，计算相同方向预测点位置的倍频带声压级：</w:t>
            </w:r>
          </w:p>
          <w:p w14:paraId="123AC197">
            <w:pPr>
              <w:tabs>
                <w:tab w:val="left" w:pos="1021"/>
              </w:tabs>
              <w:spacing w:line="360" w:lineRule="auto"/>
              <w:ind w:firstLine="480" w:firstLineChars="200"/>
              <w:rPr>
                <w:bCs/>
                <w:sz w:val="24"/>
              </w:rPr>
            </w:pPr>
            <w:r>
              <w:rPr>
                <w:bCs/>
                <w:sz w:val="24"/>
              </w:rPr>
              <w:t>Lp</w:t>
            </w:r>
            <w:r>
              <w:rPr>
                <w:rFonts w:hint="eastAsia"/>
                <w:bCs/>
                <w:sz w:val="24"/>
                <w:lang w:eastAsia="zh-CN"/>
              </w:rPr>
              <w:t>（</w:t>
            </w:r>
            <w:r>
              <w:rPr>
                <w:bCs/>
                <w:sz w:val="24"/>
              </w:rPr>
              <w:t>r</w:t>
            </w:r>
            <w:r>
              <w:rPr>
                <w:rFonts w:hint="eastAsia"/>
                <w:bCs/>
                <w:sz w:val="24"/>
                <w:lang w:eastAsia="zh-CN"/>
              </w:rPr>
              <w:t>）</w:t>
            </w:r>
            <w:r>
              <w:rPr>
                <w:bCs/>
                <w:sz w:val="24"/>
              </w:rPr>
              <w:t>=Lp</w:t>
            </w:r>
            <w:r>
              <w:rPr>
                <w:rFonts w:hint="eastAsia"/>
                <w:bCs/>
                <w:sz w:val="24"/>
                <w:lang w:eastAsia="zh-CN"/>
              </w:rPr>
              <w:t>（</w:t>
            </w:r>
            <w:r>
              <w:rPr>
                <w:bCs/>
                <w:sz w:val="24"/>
              </w:rPr>
              <w:t>ro</w:t>
            </w:r>
            <w:r>
              <w:rPr>
                <w:rFonts w:hint="eastAsia"/>
                <w:bCs/>
                <w:sz w:val="24"/>
                <w:lang w:eastAsia="zh-CN"/>
              </w:rPr>
              <w:t>）</w:t>
            </w:r>
            <w:r>
              <w:rPr>
                <w:bCs/>
                <w:sz w:val="24"/>
              </w:rPr>
              <w:t>－A</w:t>
            </w:r>
          </w:p>
          <w:p w14:paraId="73217021">
            <w:pPr>
              <w:tabs>
                <w:tab w:val="left" w:pos="1021"/>
              </w:tabs>
              <w:spacing w:line="360" w:lineRule="auto"/>
              <w:ind w:firstLine="480" w:firstLineChars="200"/>
              <w:rPr>
                <w:bCs/>
                <w:sz w:val="24"/>
              </w:rPr>
            </w:pPr>
            <w:r>
              <w:rPr>
                <w:bCs/>
                <w:sz w:val="24"/>
              </w:rPr>
              <w:t>预测点的 A 声级 LA</w:t>
            </w:r>
            <w:r>
              <w:rPr>
                <w:rFonts w:hint="eastAsia"/>
                <w:bCs/>
                <w:sz w:val="24"/>
                <w:lang w:eastAsia="zh-CN"/>
              </w:rPr>
              <w:t>（</w:t>
            </w:r>
            <w:r>
              <w:rPr>
                <w:bCs/>
                <w:sz w:val="24"/>
              </w:rPr>
              <w:t>r</w:t>
            </w:r>
            <w:r>
              <w:rPr>
                <w:rFonts w:hint="eastAsia"/>
                <w:bCs/>
                <w:sz w:val="24"/>
                <w:lang w:eastAsia="zh-CN"/>
              </w:rPr>
              <w:t>）</w:t>
            </w:r>
            <w:r>
              <w:rPr>
                <w:bCs/>
                <w:sz w:val="24"/>
              </w:rPr>
              <w:t>，可利用8个倍频带的声压级按如下计算：</w:t>
            </w:r>
          </w:p>
          <w:p w14:paraId="64D79D9E">
            <w:pPr>
              <w:tabs>
                <w:tab w:val="left" w:pos="1021"/>
              </w:tabs>
              <w:spacing w:line="360" w:lineRule="auto"/>
              <w:ind w:firstLine="480" w:firstLineChars="200"/>
              <w:rPr>
                <w:bCs/>
                <w:sz w:val="24"/>
              </w:rPr>
            </w:pPr>
            <w:r>
              <w:rPr>
                <w:rFonts w:hint="eastAsia"/>
                <w:bCs/>
                <w:sz w:val="24"/>
              </w:rPr>
              <w:drawing>
                <wp:inline distT="0" distB="0" distL="114300" distR="114300">
                  <wp:extent cx="3733800" cy="704850"/>
                  <wp:effectExtent l="0" t="0" r="0" b="0"/>
                  <wp:docPr id="65" name="图片 1" descr="167871643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descr="1678716438244"/>
                          <pic:cNvPicPr>
                            <a:picLocks noChangeAspect="1"/>
                          </pic:cNvPicPr>
                        </pic:nvPicPr>
                        <pic:blipFill>
                          <a:blip r:embed="rId26"/>
                          <a:stretch>
                            <a:fillRect/>
                          </a:stretch>
                        </pic:blipFill>
                        <pic:spPr>
                          <a:xfrm>
                            <a:off x="0" y="0"/>
                            <a:ext cx="3733800" cy="704850"/>
                          </a:xfrm>
                          <a:prstGeom prst="rect">
                            <a:avLst/>
                          </a:prstGeom>
                          <a:noFill/>
                          <a:ln>
                            <a:noFill/>
                          </a:ln>
                        </pic:spPr>
                      </pic:pic>
                    </a:graphicData>
                  </a:graphic>
                </wp:inline>
              </w:drawing>
            </w:r>
          </w:p>
          <w:p w14:paraId="3EC6AB83">
            <w:pPr>
              <w:tabs>
                <w:tab w:val="left" w:pos="1021"/>
              </w:tabs>
              <w:spacing w:line="360" w:lineRule="auto"/>
              <w:ind w:firstLine="480" w:firstLineChars="200"/>
              <w:rPr>
                <w:bCs/>
                <w:sz w:val="24"/>
              </w:rPr>
            </w:pPr>
            <w:r>
              <w:rPr>
                <w:bCs/>
                <w:sz w:val="24"/>
              </w:rPr>
              <w:t>式中：</w:t>
            </w:r>
          </w:p>
          <w:p w14:paraId="66AE96C1">
            <w:pPr>
              <w:tabs>
                <w:tab w:val="left" w:pos="1021"/>
              </w:tabs>
              <w:spacing w:line="360" w:lineRule="auto"/>
              <w:ind w:firstLine="480" w:firstLineChars="200"/>
              <w:rPr>
                <w:bCs/>
                <w:sz w:val="24"/>
              </w:rPr>
            </w:pPr>
            <w:r>
              <w:rPr>
                <w:bCs/>
                <w:sz w:val="24"/>
              </w:rPr>
              <w:t>Lpi</w:t>
            </w:r>
            <w:r>
              <w:rPr>
                <w:rFonts w:hint="eastAsia"/>
                <w:bCs/>
                <w:sz w:val="24"/>
                <w:lang w:eastAsia="zh-CN"/>
              </w:rPr>
              <w:t>（</w:t>
            </w:r>
            <w:r>
              <w:rPr>
                <w:bCs/>
                <w:sz w:val="24"/>
              </w:rPr>
              <w:t>r</w:t>
            </w:r>
            <w:r>
              <w:rPr>
                <w:rFonts w:hint="eastAsia"/>
                <w:bCs/>
                <w:sz w:val="24"/>
                <w:lang w:eastAsia="zh-CN"/>
              </w:rPr>
              <w:t>）</w:t>
            </w:r>
            <w:r>
              <w:rPr>
                <w:bCs/>
                <w:sz w:val="24"/>
              </w:rPr>
              <w:t>—预测点（r）处，第 i倍频带声压级，dB；</w:t>
            </w:r>
          </w:p>
          <w:p w14:paraId="52DA65F8">
            <w:pPr>
              <w:tabs>
                <w:tab w:val="left" w:pos="1021"/>
              </w:tabs>
              <w:spacing w:line="360" w:lineRule="auto"/>
              <w:ind w:firstLine="480" w:firstLineChars="200"/>
              <w:rPr>
                <w:bCs/>
                <w:sz w:val="24"/>
              </w:rPr>
            </w:pPr>
            <w:r>
              <w:rPr>
                <w:bCs/>
                <w:sz w:val="24"/>
              </w:rPr>
              <w:t>△Li—i 倍频带A计权网络修正值，dB。</w:t>
            </w:r>
          </w:p>
          <w:p w14:paraId="1F86BE9A">
            <w:pPr>
              <w:tabs>
                <w:tab w:val="left" w:pos="1021"/>
              </w:tabs>
              <w:spacing w:line="360" w:lineRule="auto"/>
              <w:ind w:firstLine="480" w:firstLineChars="200"/>
              <w:rPr>
                <w:bCs/>
                <w:sz w:val="24"/>
              </w:rPr>
            </w:pPr>
            <w:r>
              <w:rPr>
                <w:bCs/>
                <w:sz w:val="24"/>
              </w:rPr>
              <w:t>在不能取得声源倍频带声功率级或倍频带声压，只能获得 A 声功率级或某点的A声级时，按如下公式近似计算；</w:t>
            </w:r>
          </w:p>
          <w:p w14:paraId="0F4AD5D1">
            <w:pPr>
              <w:tabs>
                <w:tab w:val="left" w:pos="1021"/>
              </w:tabs>
              <w:spacing w:line="360" w:lineRule="auto"/>
              <w:ind w:firstLine="480" w:firstLineChars="200"/>
              <w:rPr>
                <w:bCs/>
                <w:sz w:val="24"/>
              </w:rPr>
            </w:pPr>
            <w:r>
              <w:rPr>
                <w:bCs/>
                <w:sz w:val="24"/>
              </w:rPr>
              <w:t>LA</w:t>
            </w:r>
            <w:r>
              <w:rPr>
                <w:rFonts w:hint="eastAsia"/>
                <w:bCs/>
                <w:sz w:val="24"/>
                <w:lang w:eastAsia="zh-CN"/>
              </w:rPr>
              <w:t>（</w:t>
            </w:r>
            <w:r>
              <w:rPr>
                <w:bCs/>
                <w:sz w:val="24"/>
              </w:rPr>
              <w:t>r</w:t>
            </w:r>
            <w:r>
              <w:rPr>
                <w:rFonts w:hint="eastAsia"/>
                <w:bCs/>
                <w:sz w:val="24"/>
                <w:lang w:eastAsia="zh-CN"/>
              </w:rPr>
              <w:t>）</w:t>
            </w:r>
            <w:r>
              <w:rPr>
                <w:bCs/>
                <w:sz w:val="24"/>
              </w:rPr>
              <w:t>=LAw－Dc－A 或 LA</w:t>
            </w:r>
            <w:r>
              <w:rPr>
                <w:rFonts w:hint="eastAsia"/>
                <w:bCs/>
                <w:sz w:val="24"/>
                <w:lang w:eastAsia="zh-CN"/>
              </w:rPr>
              <w:t>（</w:t>
            </w:r>
            <w:r>
              <w:rPr>
                <w:bCs/>
                <w:sz w:val="24"/>
              </w:rPr>
              <w:t>r</w:t>
            </w:r>
            <w:r>
              <w:rPr>
                <w:rFonts w:hint="eastAsia"/>
                <w:bCs/>
                <w:sz w:val="24"/>
                <w:lang w:eastAsia="zh-CN"/>
              </w:rPr>
              <w:t>）</w:t>
            </w:r>
            <w:r>
              <w:rPr>
                <w:bCs/>
                <w:sz w:val="24"/>
              </w:rPr>
              <w:t>=LA</w:t>
            </w:r>
            <w:r>
              <w:rPr>
                <w:rFonts w:hint="eastAsia"/>
                <w:bCs/>
                <w:sz w:val="24"/>
                <w:lang w:eastAsia="zh-CN"/>
              </w:rPr>
              <w:t>（</w:t>
            </w:r>
            <w:r>
              <w:rPr>
                <w:bCs/>
                <w:sz w:val="24"/>
              </w:rPr>
              <w:t>ro</w:t>
            </w:r>
            <w:r>
              <w:rPr>
                <w:rFonts w:hint="eastAsia"/>
                <w:bCs/>
                <w:sz w:val="24"/>
                <w:lang w:eastAsia="zh-CN"/>
              </w:rPr>
              <w:t>）</w:t>
            </w:r>
            <w:r>
              <w:rPr>
                <w:bCs/>
                <w:sz w:val="24"/>
              </w:rPr>
              <w:t>－A</w:t>
            </w:r>
          </w:p>
          <w:p w14:paraId="44F96B6C">
            <w:pPr>
              <w:tabs>
                <w:tab w:val="left" w:pos="1021"/>
              </w:tabs>
              <w:spacing w:line="360" w:lineRule="auto"/>
              <w:ind w:firstLine="480" w:firstLineChars="200"/>
              <w:rPr>
                <w:bCs/>
                <w:sz w:val="24"/>
              </w:rPr>
            </w:pPr>
            <w:r>
              <w:rPr>
                <w:rFonts w:hint="eastAsia"/>
                <w:bCs/>
                <w:sz w:val="24"/>
              </w:rPr>
              <w:t>A可选择对A声级影响最大的倍频带计算，一般可选中心频率为 500HZ的倍频带作估算。</w:t>
            </w:r>
          </w:p>
          <w:p w14:paraId="2F9AE66D">
            <w:pPr>
              <w:tabs>
                <w:tab w:val="left" w:pos="1021"/>
              </w:tabs>
              <w:spacing w:line="360" w:lineRule="auto"/>
              <w:ind w:firstLine="480" w:firstLineChars="200"/>
              <w:rPr>
                <w:bCs/>
                <w:sz w:val="24"/>
              </w:rPr>
            </w:pPr>
            <w:r>
              <w:rPr>
                <w:rFonts w:hint="eastAsia"/>
                <w:bCs/>
                <w:sz w:val="24"/>
              </w:rPr>
              <w:t>③各种因素引起的衰减量计算</w:t>
            </w:r>
          </w:p>
          <w:p w14:paraId="6486B56B">
            <w:pPr>
              <w:tabs>
                <w:tab w:val="left" w:pos="1021"/>
              </w:tabs>
              <w:spacing w:line="360" w:lineRule="auto"/>
              <w:ind w:firstLine="480" w:firstLineChars="200"/>
              <w:rPr>
                <w:bCs/>
                <w:sz w:val="24"/>
              </w:rPr>
            </w:pPr>
            <w:r>
              <w:rPr>
                <w:rFonts w:hint="eastAsia"/>
                <w:bCs/>
                <w:sz w:val="24"/>
              </w:rPr>
              <w:t>a.几何发散衰减</w:t>
            </w:r>
          </w:p>
          <w:p w14:paraId="1EEAB133">
            <w:pPr>
              <w:tabs>
                <w:tab w:val="left" w:pos="1021"/>
              </w:tabs>
              <w:spacing w:line="360" w:lineRule="auto"/>
              <w:ind w:firstLine="480" w:firstLineChars="200"/>
              <w:rPr>
                <w:bCs/>
                <w:sz w:val="24"/>
              </w:rPr>
            </w:pPr>
            <w:r>
              <w:rPr>
                <w:rFonts w:hint="eastAsia"/>
                <w:bCs/>
                <w:sz w:val="24"/>
              </w:rPr>
              <w:t>Adiv=201g（r/r0）</w:t>
            </w:r>
          </w:p>
          <w:p w14:paraId="2C9CB783">
            <w:pPr>
              <w:tabs>
                <w:tab w:val="left" w:pos="1021"/>
              </w:tabs>
              <w:spacing w:line="360" w:lineRule="auto"/>
              <w:ind w:firstLine="480" w:firstLineChars="200"/>
              <w:rPr>
                <w:bCs/>
                <w:sz w:val="24"/>
              </w:rPr>
            </w:pPr>
            <w:r>
              <w:rPr>
                <w:rFonts w:hint="eastAsia"/>
                <w:bCs/>
                <w:sz w:val="24"/>
              </w:rPr>
              <w:t>b.空气吸收引起的衰减量：</w:t>
            </w:r>
          </w:p>
          <w:p w14:paraId="1338E918">
            <w:pPr>
              <w:tabs>
                <w:tab w:val="left" w:pos="1021"/>
              </w:tabs>
              <w:spacing w:line="360" w:lineRule="auto"/>
              <w:ind w:firstLine="480" w:firstLineChars="200"/>
              <w:rPr>
                <w:bCs/>
                <w:sz w:val="24"/>
              </w:rPr>
            </w:pPr>
            <w:r>
              <w:rPr>
                <w:rFonts w:hint="eastAsia"/>
                <w:bCs/>
                <w:sz w:val="24"/>
              </w:rPr>
              <w:t>Aatm=a</w:t>
            </w:r>
            <w:r>
              <w:rPr>
                <w:rFonts w:hint="eastAsia"/>
                <w:bCs/>
                <w:sz w:val="24"/>
                <w:lang w:eastAsia="zh-CN"/>
              </w:rPr>
              <w:t>（</w:t>
            </w:r>
            <w:r>
              <w:rPr>
                <w:rFonts w:hint="eastAsia"/>
                <w:bCs/>
                <w:sz w:val="24"/>
              </w:rPr>
              <w:t>r－r0</w:t>
            </w:r>
            <w:r>
              <w:rPr>
                <w:rFonts w:hint="eastAsia"/>
                <w:bCs/>
                <w:sz w:val="24"/>
                <w:lang w:eastAsia="zh-CN"/>
              </w:rPr>
              <w:t>）</w:t>
            </w:r>
            <w:r>
              <w:rPr>
                <w:rFonts w:hint="eastAsia"/>
                <w:bCs/>
                <w:sz w:val="24"/>
              </w:rPr>
              <w:t>/1000</w:t>
            </w:r>
          </w:p>
          <w:p w14:paraId="095302A8">
            <w:pPr>
              <w:tabs>
                <w:tab w:val="left" w:pos="1021"/>
              </w:tabs>
              <w:spacing w:line="360" w:lineRule="auto"/>
              <w:ind w:firstLine="480" w:firstLineChars="200"/>
              <w:rPr>
                <w:bCs/>
                <w:sz w:val="24"/>
              </w:rPr>
            </w:pPr>
            <w:r>
              <w:rPr>
                <w:rFonts w:hint="eastAsia"/>
                <w:bCs/>
                <w:sz w:val="24"/>
              </w:rPr>
              <w:t>式中：a—空气吸收系数，km/dB。</w:t>
            </w:r>
          </w:p>
          <w:p w14:paraId="50999EB4">
            <w:pPr>
              <w:tabs>
                <w:tab w:val="left" w:pos="1021"/>
              </w:tabs>
              <w:spacing w:line="360" w:lineRule="auto"/>
              <w:ind w:firstLine="480" w:firstLineChars="200"/>
              <w:rPr>
                <w:bCs/>
                <w:sz w:val="24"/>
              </w:rPr>
            </w:pPr>
            <w:r>
              <w:rPr>
                <w:rFonts w:hint="eastAsia"/>
                <w:bCs/>
                <w:sz w:val="24"/>
              </w:rPr>
              <w:t>c.地面效应引起的衰减量：</w:t>
            </w:r>
          </w:p>
          <w:p w14:paraId="306A37A8">
            <w:pPr>
              <w:tabs>
                <w:tab w:val="left" w:pos="1021"/>
              </w:tabs>
              <w:spacing w:line="360" w:lineRule="auto"/>
              <w:ind w:firstLine="480" w:firstLineChars="200"/>
              <w:rPr>
                <w:rFonts w:hint="eastAsia" w:eastAsia="宋体"/>
                <w:bCs/>
                <w:sz w:val="24"/>
                <w:lang w:eastAsia="zh-CN"/>
              </w:rPr>
            </w:pPr>
            <w:r>
              <w:rPr>
                <w:rFonts w:hint="eastAsia"/>
                <w:bCs/>
                <w:sz w:val="24"/>
              </w:rPr>
              <w:t>Agr=4.8－</w:t>
            </w:r>
            <w:r>
              <w:rPr>
                <w:rFonts w:hint="eastAsia"/>
                <w:bCs/>
                <w:sz w:val="24"/>
                <w:lang w:eastAsia="zh-CN"/>
              </w:rPr>
              <w:t>（</w:t>
            </w:r>
            <w:r>
              <w:rPr>
                <w:rFonts w:hint="eastAsia"/>
                <w:bCs/>
                <w:sz w:val="24"/>
              </w:rPr>
              <w:t>2hm/r</w:t>
            </w:r>
            <w:r>
              <w:rPr>
                <w:rFonts w:hint="eastAsia"/>
                <w:bCs/>
                <w:sz w:val="24"/>
                <w:lang w:eastAsia="zh-CN"/>
              </w:rPr>
              <w:t>）</w:t>
            </w:r>
            <w:r>
              <w:rPr>
                <w:rFonts w:hint="eastAsia"/>
                <w:bCs/>
                <w:sz w:val="24"/>
              </w:rPr>
              <w:t>×</w:t>
            </w:r>
            <w:r>
              <w:rPr>
                <w:rFonts w:hint="eastAsia"/>
                <w:bCs/>
                <w:sz w:val="24"/>
                <w:lang w:eastAsia="zh-CN"/>
              </w:rPr>
              <w:t>（</w:t>
            </w:r>
            <w:r>
              <w:rPr>
                <w:rFonts w:hint="eastAsia"/>
                <w:bCs/>
                <w:sz w:val="24"/>
              </w:rPr>
              <w:t>17+300/r</w:t>
            </w:r>
            <w:r>
              <w:rPr>
                <w:rFonts w:hint="eastAsia"/>
                <w:bCs/>
                <w:sz w:val="24"/>
                <w:lang w:eastAsia="zh-CN"/>
              </w:rPr>
              <w:t>）</w:t>
            </w:r>
          </w:p>
          <w:p w14:paraId="75E600D1">
            <w:pPr>
              <w:tabs>
                <w:tab w:val="left" w:pos="1021"/>
              </w:tabs>
              <w:spacing w:line="360" w:lineRule="auto"/>
              <w:ind w:firstLine="480" w:firstLineChars="200"/>
              <w:rPr>
                <w:bCs/>
                <w:sz w:val="24"/>
              </w:rPr>
            </w:pPr>
            <w:r>
              <w:rPr>
                <w:rFonts w:hint="eastAsia"/>
                <w:bCs/>
                <w:sz w:val="24"/>
              </w:rPr>
              <w:t>式中：</w:t>
            </w:r>
          </w:p>
          <w:p w14:paraId="13BA5B7F">
            <w:pPr>
              <w:tabs>
                <w:tab w:val="left" w:pos="1021"/>
              </w:tabs>
              <w:spacing w:line="360" w:lineRule="auto"/>
              <w:ind w:firstLine="480" w:firstLineChars="200"/>
              <w:rPr>
                <w:bCs/>
                <w:sz w:val="24"/>
              </w:rPr>
            </w:pPr>
            <w:r>
              <w:rPr>
                <w:rFonts w:hint="eastAsia"/>
                <w:bCs/>
                <w:sz w:val="24"/>
              </w:rPr>
              <w:t>r—声源到预测点的距离，m；hm—传播路径的平均离地高度。</w:t>
            </w:r>
          </w:p>
          <w:p w14:paraId="6F54DD7E">
            <w:pPr>
              <w:tabs>
                <w:tab w:val="left" w:pos="1021"/>
              </w:tabs>
              <w:spacing w:line="360" w:lineRule="auto"/>
              <w:ind w:firstLine="480" w:firstLineChars="200"/>
              <w:rPr>
                <w:bCs/>
                <w:sz w:val="24"/>
              </w:rPr>
            </w:pPr>
            <w:r>
              <w:rPr>
                <w:rFonts w:hint="eastAsia"/>
                <w:bCs/>
                <w:sz w:val="24"/>
              </w:rPr>
              <w:t>④预测点的预测等效声级</w:t>
            </w:r>
          </w:p>
          <w:p w14:paraId="25C21A1E">
            <w:pPr>
              <w:tabs>
                <w:tab w:val="left" w:pos="1021"/>
              </w:tabs>
              <w:spacing w:line="360" w:lineRule="auto"/>
              <w:ind w:firstLine="480" w:firstLineChars="200"/>
              <w:rPr>
                <w:bCs/>
                <w:sz w:val="24"/>
              </w:rPr>
            </w:pPr>
            <w:r>
              <w:rPr>
                <w:rFonts w:hint="eastAsia"/>
                <w:bCs/>
                <w:sz w:val="24"/>
              </w:rPr>
              <w:drawing>
                <wp:inline distT="0" distB="0" distL="114300" distR="114300">
                  <wp:extent cx="3048000" cy="361950"/>
                  <wp:effectExtent l="0" t="0" r="0" b="0"/>
                  <wp:docPr id="66" name="图片 2" descr="167871617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descr="1678716178143"/>
                          <pic:cNvPicPr>
                            <a:picLocks noChangeAspect="1"/>
                          </pic:cNvPicPr>
                        </pic:nvPicPr>
                        <pic:blipFill>
                          <a:blip r:embed="rId27"/>
                          <a:stretch>
                            <a:fillRect/>
                          </a:stretch>
                        </pic:blipFill>
                        <pic:spPr>
                          <a:xfrm>
                            <a:off x="0" y="0"/>
                            <a:ext cx="3048000" cy="361950"/>
                          </a:xfrm>
                          <a:prstGeom prst="rect">
                            <a:avLst/>
                          </a:prstGeom>
                          <a:noFill/>
                          <a:ln>
                            <a:noFill/>
                          </a:ln>
                        </pic:spPr>
                      </pic:pic>
                    </a:graphicData>
                  </a:graphic>
                </wp:inline>
              </w:drawing>
            </w:r>
          </w:p>
          <w:p w14:paraId="2270C7BE">
            <w:pPr>
              <w:tabs>
                <w:tab w:val="left" w:pos="1021"/>
              </w:tabs>
              <w:spacing w:line="360" w:lineRule="auto"/>
              <w:ind w:firstLine="480" w:firstLineChars="200"/>
              <w:rPr>
                <w:bCs/>
                <w:sz w:val="24"/>
              </w:rPr>
            </w:pPr>
            <w:r>
              <w:rPr>
                <w:rFonts w:hint="eastAsia"/>
                <w:bCs/>
                <w:sz w:val="24"/>
              </w:rPr>
              <w:t>式中：</w:t>
            </w:r>
          </w:p>
          <w:p w14:paraId="5BAB8B81">
            <w:pPr>
              <w:tabs>
                <w:tab w:val="left" w:pos="1021"/>
              </w:tabs>
              <w:spacing w:line="360" w:lineRule="auto"/>
              <w:ind w:firstLine="480" w:firstLineChars="200"/>
              <w:rPr>
                <w:bCs/>
                <w:sz w:val="24"/>
              </w:rPr>
            </w:pPr>
            <w:r>
              <w:rPr>
                <w:rFonts w:hint="eastAsia"/>
                <w:bCs/>
                <w:sz w:val="24"/>
              </w:rPr>
              <w:t>Leqg—建设项目声源在预测点的等效声级贡献值，dB（A）；Leqb—预测点的背值，dB（A）；</w:t>
            </w:r>
          </w:p>
          <w:p w14:paraId="5F13B8A4">
            <w:pPr>
              <w:tabs>
                <w:tab w:val="left" w:pos="1021"/>
              </w:tabs>
              <w:spacing w:line="360" w:lineRule="auto"/>
              <w:ind w:firstLine="480" w:firstLineChars="200"/>
              <w:rPr>
                <w:bCs/>
                <w:sz w:val="24"/>
              </w:rPr>
            </w:pPr>
            <w:r>
              <w:rPr>
                <w:rFonts w:hint="eastAsia"/>
                <w:bCs/>
                <w:sz w:val="24"/>
              </w:rPr>
              <w:t>⑤多个室外声源噪声贡献值叠加计算</w:t>
            </w:r>
          </w:p>
          <w:p w14:paraId="129F512F">
            <w:pPr>
              <w:tabs>
                <w:tab w:val="left" w:pos="1021"/>
              </w:tabs>
              <w:spacing w:line="360" w:lineRule="auto"/>
              <w:ind w:firstLine="480" w:firstLineChars="200"/>
              <w:rPr>
                <w:bCs/>
                <w:sz w:val="24"/>
              </w:rPr>
            </w:pPr>
            <w:r>
              <w:rPr>
                <w:rFonts w:hint="eastAsia"/>
                <w:bCs/>
                <w:sz w:val="24"/>
              </w:rPr>
              <w:t>设第i个室外声源在预测点产生的A声级为 LAi，在T时间内该声源工作时间为 ti；第j个等效室外声源在预测点产生的A声级为LA，j，在 T 时间内该声源工作时间为 tj，则预测点的总等效声级为：</w:t>
            </w:r>
          </w:p>
          <w:p w14:paraId="04FA373E">
            <w:pPr>
              <w:tabs>
                <w:tab w:val="left" w:pos="1021"/>
              </w:tabs>
              <w:spacing w:line="360" w:lineRule="auto"/>
              <w:ind w:firstLine="480" w:firstLineChars="200"/>
              <w:rPr>
                <w:bCs/>
                <w:sz w:val="24"/>
              </w:rPr>
            </w:pPr>
            <w:r>
              <w:rPr>
                <w:rFonts w:hint="eastAsia"/>
                <w:bCs/>
                <w:sz w:val="24"/>
              </w:rPr>
              <w:drawing>
                <wp:inline distT="0" distB="0" distL="114300" distR="114300">
                  <wp:extent cx="4267200" cy="714375"/>
                  <wp:effectExtent l="0" t="0" r="0" b="9525"/>
                  <wp:docPr id="67" name="图片 67" descr="167871637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678716379495"/>
                          <pic:cNvPicPr>
                            <a:picLocks noChangeAspect="1"/>
                          </pic:cNvPicPr>
                        </pic:nvPicPr>
                        <pic:blipFill>
                          <a:blip r:embed="rId28"/>
                          <a:stretch>
                            <a:fillRect/>
                          </a:stretch>
                        </pic:blipFill>
                        <pic:spPr>
                          <a:xfrm>
                            <a:off x="0" y="0"/>
                            <a:ext cx="4267200" cy="714375"/>
                          </a:xfrm>
                          <a:prstGeom prst="rect">
                            <a:avLst/>
                          </a:prstGeom>
                          <a:noFill/>
                          <a:ln>
                            <a:noFill/>
                          </a:ln>
                        </pic:spPr>
                      </pic:pic>
                    </a:graphicData>
                  </a:graphic>
                </wp:inline>
              </w:drawing>
            </w:r>
          </w:p>
          <w:p w14:paraId="0E25FDB9">
            <w:pPr>
              <w:tabs>
                <w:tab w:val="left" w:pos="1021"/>
              </w:tabs>
              <w:spacing w:line="360" w:lineRule="auto"/>
              <w:ind w:firstLine="480" w:firstLineChars="200"/>
              <w:rPr>
                <w:bCs/>
                <w:sz w:val="24"/>
              </w:rPr>
            </w:pPr>
            <w:r>
              <w:rPr>
                <w:rFonts w:hint="eastAsia"/>
                <w:bCs/>
                <w:sz w:val="24"/>
              </w:rPr>
              <w:t>式中：ti—在T时间内j声源工作时间，S；</w:t>
            </w:r>
          </w:p>
          <w:p w14:paraId="62835E86">
            <w:pPr>
              <w:tabs>
                <w:tab w:val="left" w:pos="1021"/>
              </w:tabs>
              <w:spacing w:line="360" w:lineRule="auto"/>
              <w:ind w:firstLine="480" w:firstLineChars="200"/>
              <w:rPr>
                <w:bCs/>
                <w:sz w:val="24"/>
              </w:rPr>
            </w:pPr>
            <w:r>
              <w:rPr>
                <w:rFonts w:hint="eastAsia"/>
                <w:bCs/>
                <w:sz w:val="24"/>
              </w:rPr>
              <w:t>tj—在T时间内i声源工作时间，S；T—计算等效声级的时间，h；</w:t>
            </w:r>
          </w:p>
          <w:p w14:paraId="64CE1CFC">
            <w:pPr>
              <w:tabs>
                <w:tab w:val="left" w:pos="1021"/>
              </w:tabs>
              <w:spacing w:line="360" w:lineRule="auto"/>
              <w:ind w:firstLine="480" w:firstLineChars="200"/>
              <w:rPr>
                <w:bCs/>
                <w:sz w:val="24"/>
              </w:rPr>
            </w:pPr>
            <w:r>
              <w:rPr>
                <w:rFonts w:hint="eastAsia"/>
                <w:bCs/>
                <w:sz w:val="24"/>
              </w:rPr>
              <w:t>N—室外声源个数，M等效室外声源个数</w:t>
            </w:r>
          </w:p>
          <w:p w14:paraId="523AD560">
            <w:pPr>
              <w:spacing w:line="360" w:lineRule="auto"/>
              <w:ind w:left="420" w:leftChars="200"/>
              <w:rPr>
                <w:b/>
                <w:bCs/>
                <w:sz w:val="24"/>
              </w:rPr>
            </w:pPr>
            <w:r>
              <w:rPr>
                <w:rFonts w:hint="eastAsia"/>
                <w:b/>
                <w:bCs/>
                <w:sz w:val="24"/>
              </w:rPr>
              <w:t>2、预测结果及分析</w:t>
            </w:r>
          </w:p>
          <w:p w14:paraId="361897F2">
            <w:pPr>
              <w:tabs>
                <w:tab w:val="left" w:pos="1021"/>
              </w:tabs>
              <w:spacing w:line="360" w:lineRule="auto"/>
              <w:ind w:firstLine="480" w:firstLineChars="200"/>
              <w:rPr>
                <w:bCs/>
                <w:sz w:val="24"/>
              </w:rPr>
            </w:pPr>
            <w:r>
              <w:rPr>
                <w:rFonts w:hint="eastAsia"/>
                <w:bCs/>
                <w:sz w:val="24"/>
              </w:rPr>
              <w:t>根据本项目主要声源、总平面布置及上述模式，对本项目运行状态下的厂界噪声进行预测，拟将各类噪声设备分别看作点声源，相关参数设置如下：</w:t>
            </w:r>
          </w:p>
          <w:p w14:paraId="6889F11C">
            <w:pPr>
              <w:snapToGrid w:val="0"/>
              <w:spacing w:line="360" w:lineRule="auto"/>
              <w:ind w:firstLine="2951" w:firstLineChars="1400"/>
              <w:rPr>
                <w:b/>
                <w:szCs w:val="21"/>
              </w:rPr>
            </w:pPr>
            <w:r>
              <w:rPr>
                <w:rFonts w:hint="eastAsia"/>
                <w:b/>
                <w:szCs w:val="21"/>
              </w:rPr>
              <w:t xml:space="preserve">表 </w:t>
            </w:r>
            <w:r>
              <w:rPr>
                <w:b/>
                <w:szCs w:val="21"/>
              </w:rPr>
              <w:t>4-</w:t>
            </w:r>
            <w:r>
              <w:rPr>
                <w:rFonts w:hint="eastAsia"/>
                <w:b/>
                <w:szCs w:val="21"/>
              </w:rPr>
              <w:t>8</w:t>
            </w:r>
            <w:r>
              <w:rPr>
                <w:b/>
                <w:szCs w:val="21"/>
              </w:rPr>
              <w:t xml:space="preserve"> </w:t>
            </w:r>
            <w:r>
              <w:rPr>
                <w:rFonts w:hint="eastAsia"/>
                <w:b/>
                <w:szCs w:val="21"/>
              </w:rPr>
              <w:t>预测参数选取一览表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1236"/>
              <w:gridCol w:w="6742"/>
            </w:tblGrid>
            <w:tr w14:paraId="6DE0E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3" w:type="pct"/>
                  <w:gridSpan w:val="2"/>
                  <w:vAlign w:val="center"/>
                </w:tcPr>
                <w:p w14:paraId="0EF3A2FB">
                  <w:pPr>
                    <w:adjustRightInd w:val="0"/>
                    <w:snapToGrid w:val="0"/>
                    <w:jc w:val="center"/>
                    <w:textAlignment w:val="baseline"/>
                    <w:rPr>
                      <w:bCs/>
                      <w:kern w:val="0"/>
                      <w:szCs w:val="21"/>
                    </w:rPr>
                  </w:pPr>
                  <w:r>
                    <w:rPr>
                      <w:rFonts w:hint="eastAsia"/>
                      <w:bCs/>
                      <w:kern w:val="0"/>
                      <w:szCs w:val="21"/>
                    </w:rPr>
                    <w:t>项目</w:t>
                  </w:r>
                </w:p>
              </w:tc>
              <w:tc>
                <w:tcPr>
                  <w:tcW w:w="3816" w:type="pct"/>
                  <w:vAlign w:val="center"/>
                </w:tcPr>
                <w:p w14:paraId="33C02890">
                  <w:pPr>
                    <w:adjustRightInd w:val="0"/>
                    <w:snapToGrid w:val="0"/>
                    <w:jc w:val="center"/>
                    <w:textAlignment w:val="baseline"/>
                    <w:rPr>
                      <w:bCs/>
                      <w:kern w:val="0"/>
                      <w:szCs w:val="21"/>
                    </w:rPr>
                  </w:pPr>
                  <w:r>
                    <w:rPr>
                      <w:rFonts w:hint="eastAsia"/>
                      <w:bCs/>
                      <w:kern w:val="0"/>
                      <w:szCs w:val="21"/>
                    </w:rPr>
                    <w:t>主要参数设置</w:t>
                  </w:r>
                </w:p>
              </w:tc>
            </w:tr>
            <w:tr w14:paraId="796C7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3" w:type="pct"/>
                  <w:gridSpan w:val="2"/>
                  <w:vAlign w:val="center"/>
                </w:tcPr>
                <w:p w14:paraId="68983BA0">
                  <w:pPr>
                    <w:adjustRightInd w:val="0"/>
                    <w:snapToGrid w:val="0"/>
                    <w:jc w:val="center"/>
                    <w:textAlignment w:val="baseline"/>
                    <w:rPr>
                      <w:bCs/>
                      <w:kern w:val="0"/>
                      <w:szCs w:val="21"/>
                    </w:rPr>
                  </w:pPr>
                  <w:r>
                    <w:rPr>
                      <w:rFonts w:hint="eastAsia"/>
                      <w:bCs/>
                      <w:kern w:val="0"/>
                      <w:szCs w:val="21"/>
                    </w:rPr>
                    <w:t>点声源源强</w:t>
                  </w:r>
                </w:p>
              </w:tc>
              <w:tc>
                <w:tcPr>
                  <w:tcW w:w="3816" w:type="pct"/>
                  <w:vAlign w:val="center"/>
                </w:tcPr>
                <w:p w14:paraId="3334534D">
                  <w:pPr>
                    <w:adjustRightInd w:val="0"/>
                    <w:snapToGrid w:val="0"/>
                    <w:jc w:val="center"/>
                    <w:textAlignment w:val="baseline"/>
                    <w:rPr>
                      <w:bCs/>
                      <w:kern w:val="0"/>
                      <w:szCs w:val="21"/>
                    </w:rPr>
                  </w:pPr>
                  <w:r>
                    <w:rPr>
                      <w:rFonts w:hint="eastAsia"/>
                      <w:bCs/>
                      <w:kern w:val="0"/>
                      <w:szCs w:val="21"/>
                    </w:rPr>
                    <w:t>详见表4-87</w:t>
                  </w:r>
                </w:p>
              </w:tc>
            </w:tr>
            <w:tr w14:paraId="7628B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Merge w:val="restart"/>
                  <w:vAlign w:val="center"/>
                </w:tcPr>
                <w:p w14:paraId="508CA7F9">
                  <w:pPr>
                    <w:adjustRightInd w:val="0"/>
                    <w:snapToGrid w:val="0"/>
                    <w:jc w:val="center"/>
                    <w:textAlignment w:val="baseline"/>
                    <w:rPr>
                      <w:bCs/>
                      <w:kern w:val="0"/>
                      <w:szCs w:val="21"/>
                    </w:rPr>
                  </w:pPr>
                  <w:r>
                    <w:rPr>
                      <w:rFonts w:hint="eastAsia"/>
                      <w:bCs/>
                      <w:kern w:val="0"/>
                      <w:szCs w:val="21"/>
                    </w:rPr>
                    <w:t>声传播衰减效应</w:t>
                  </w:r>
                </w:p>
              </w:tc>
              <w:tc>
                <w:tcPr>
                  <w:tcW w:w="700" w:type="pct"/>
                  <w:vAlign w:val="center"/>
                </w:tcPr>
                <w:p w14:paraId="3F14CEB4">
                  <w:pPr>
                    <w:adjustRightInd w:val="0"/>
                    <w:snapToGrid w:val="0"/>
                    <w:jc w:val="center"/>
                    <w:textAlignment w:val="baseline"/>
                    <w:rPr>
                      <w:bCs/>
                      <w:kern w:val="0"/>
                      <w:szCs w:val="21"/>
                    </w:rPr>
                  </w:pPr>
                  <w:r>
                    <w:rPr>
                      <w:rFonts w:hint="eastAsia"/>
                      <w:bCs/>
                      <w:kern w:val="0"/>
                      <w:szCs w:val="21"/>
                    </w:rPr>
                    <w:t>声屏障</w:t>
                  </w:r>
                </w:p>
              </w:tc>
              <w:tc>
                <w:tcPr>
                  <w:tcW w:w="3816" w:type="pct"/>
                  <w:vAlign w:val="center"/>
                </w:tcPr>
                <w:p w14:paraId="1C4AA1AA">
                  <w:pPr>
                    <w:adjustRightInd w:val="0"/>
                    <w:snapToGrid w:val="0"/>
                    <w:jc w:val="center"/>
                    <w:textAlignment w:val="baseline"/>
                    <w:rPr>
                      <w:bCs/>
                      <w:kern w:val="0"/>
                      <w:szCs w:val="21"/>
                    </w:rPr>
                  </w:pPr>
                  <w:r>
                    <w:rPr>
                      <w:rFonts w:hint="eastAsia"/>
                      <w:bCs/>
                      <w:kern w:val="0"/>
                      <w:szCs w:val="21"/>
                    </w:rPr>
                    <w:t>厂房隔声，实体围墙高度为1.5米，隔声量取15</w:t>
                  </w:r>
                  <w:r>
                    <w:rPr>
                      <w:b/>
                      <w:bCs/>
                      <w:kern w:val="0"/>
                      <w:sz w:val="18"/>
                      <w:szCs w:val="18"/>
                      <w:lang w:bidi="ar"/>
                    </w:rPr>
                    <w:t>dB</w:t>
                  </w:r>
                  <w:r>
                    <w:rPr>
                      <w:rFonts w:hint="eastAsia" w:ascii="宋体" w:hAnsi="宋体" w:cs="宋体"/>
                      <w:b/>
                      <w:bCs/>
                      <w:kern w:val="0"/>
                      <w:sz w:val="18"/>
                      <w:szCs w:val="18"/>
                      <w:lang w:bidi="ar"/>
                    </w:rPr>
                    <w:t>（</w:t>
                  </w:r>
                  <w:r>
                    <w:rPr>
                      <w:b/>
                      <w:bCs/>
                      <w:kern w:val="0"/>
                      <w:sz w:val="18"/>
                      <w:szCs w:val="18"/>
                      <w:lang w:bidi="ar"/>
                    </w:rPr>
                    <w:t>A</w:t>
                  </w:r>
                  <w:r>
                    <w:rPr>
                      <w:rFonts w:hint="eastAsia" w:ascii="宋体" w:hAnsi="宋体" w:cs="宋体"/>
                      <w:b/>
                      <w:bCs/>
                      <w:kern w:val="0"/>
                      <w:sz w:val="18"/>
                      <w:szCs w:val="18"/>
                      <w:lang w:bidi="ar"/>
                    </w:rPr>
                    <w:t>）</w:t>
                  </w:r>
                </w:p>
              </w:tc>
            </w:tr>
            <w:tr w14:paraId="53838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Merge w:val="continue"/>
                  <w:vAlign w:val="center"/>
                </w:tcPr>
                <w:p w14:paraId="13A1343E">
                  <w:pPr>
                    <w:adjustRightInd w:val="0"/>
                    <w:snapToGrid w:val="0"/>
                    <w:jc w:val="center"/>
                    <w:textAlignment w:val="baseline"/>
                    <w:rPr>
                      <w:bCs/>
                      <w:kern w:val="0"/>
                      <w:szCs w:val="21"/>
                    </w:rPr>
                  </w:pPr>
                </w:p>
              </w:tc>
              <w:tc>
                <w:tcPr>
                  <w:tcW w:w="700" w:type="pct"/>
                  <w:vAlign w:val="center"/>
                </w:tcPr>
                <w:p w14:paraId="2A5DFD46">
                  <w:pPr>
                    <w:adjustRightInd w:val="0"/>
                    <w:snapToGrid w:val="0"/>
                    <w:jc w:val="center"/>
                    <w:textAlignment w:val="baseline"/>
                    <w:rPr>
                      <w:bCs/>
                      <w:kern w:val="0"/>
                      <w:szCs w:val="21"/>
                    </w:rPr>
                  </w:pPr>
                  <w:r>
                    <w:rPr>
                      <w:rFonts w:hint="eastAsia"/>
                      <w:bCs/>
                      <w:kern w:val="0"/>
                      <w:szCs w:val="21"/>
                    </w:rPr>
                    <w:t>建筑物隔声</w:t>
                  </w:r>
                </w:p>
              </w:tc>
              <w:tc>
                <w:tcPr>
                  <w:tcW w:w="3816" w:type="pct"/>
                  <w:vAlign w:val="center"/>
                </w:tcPr>
                <w:p w14:paraId="72CA3C98">
                  <w:pPr>
                    <w:adjustRightInd w:val="0"/>
                    <w:snapToGrid w:val="0"/>
                    <w:jc w:val="center"/>
                    <w:textAlignment w:val="baseline"/>
                    <w:rPr>
                      <w:bCs/>
                      <w:kern w:val="0"/>
                      <w:szCs w:val="21"/>
                    </w:rPr>
                  </w:pPr>
                  <w:r>
                    <w:rPr>
                      <w:rFonts w:hint="eastAsia"/>
                      <w:bCs/>
                      <w:kern w:val="0"/>
                      <w:szCs w:val="21"/>
                    </w:rPr>
                    <w:t>吸声作用（吸声系数为0.04）</w:t>
                  </w:r>
                </w:p>
              </w:tc>
            </w:tr>
            <w:tr w14:paraId="056BA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Merge w:val="continue"/>
                  <w:vAlign w:val="center"/>
                </w:tcPr>
                <w:p w14:paraId="7914AF7B">
                  <w:pPr>
                    <w:adjustRightInd w:val="0"/>
                    <w:snapToGrid w:val="0"/>
                    <w:jc w:val="center"/>
                    <w:textAlignment w:val="baseline"/>
                    <w:rPr>
                      <w:bCs/>
                      <w:kern w:val="0"/>
                      <w:szCs w:val="21"/>
                    </w:rPr>
                  </w:pPr>
                </w:p>
              </w:tc>
              <w:tc>
                <w:tcPr>
                  <w:tcW w:w="700" w:type="pct"/>
                  <w:vAlign w:val="center"/>
                </w:tcPr>
                <w:p w14:paraId="299CEAE2">
                  <w:pPr>
                    <w:adjustRightInd w:val="0"/>
                    <w:snapToGrid w:val="0"/>
                    <w:jc w:val="center"/>
                    <w:textAlignment w:val="baseline"/>
                    <w:rPr>
                      <w:bCs/>
                      <w:kern w:val="0"/>
                      <w:szCs w:val="21"/>
                    </w:rPr>
                  </w:pPr>
                  <w:r>
                    <w:rPr>
                      <w:rFonts w:hint="eastAsia"/>
                      <w:bCs/>
                      <w:kern w:val="0"/>
                      <w:szCs w:val="21"/>
                    </w:rPr>
                    <w:t>地面效应</w:t>
                  </w:r>
                </w:p>
              </w:tc>
              <w:tc>
                <w:tcPr>
                  <w:tcW w:w="3816" w:type="pct"/>
                  <w:vAlign w:val="center"/>
                </w:tcPr>
                <w:p w14:paraId="03EBBAD8">
                  <w:pPr>
                    <w:adjustRightInd w:val="0"/>
                    <w:snapToGrid w:val="0"/>
                    <w:jc w:val="center"/>
                    <w:textAlignment w:val="baseline"/>
                    <w:rPr>
                      <w:bCs/>
                      <w:kern w:val="0"/>
                      <w:szCs w:val="21"/>
                    </w:rPr>
                  </w:pPr>
                  <w:r>
                    <w:rPr>
                      <w:rFonts w:hint="eastAsia"/>
                      <w:bCs/>
                      <w:kern w:val="0"/>
                      <w:szCs w:val="21"/>
                    </w:rPr>
                    <w:t>导则算法</w:t>
                  </w:r>
                </w:p>
              </w:tc>
            </w:tr>
            <w:tr w14:paraId="12BD3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3" w:type="pct"/>
                  <w:vMerge w:val="continue"/>
                  <w:vAlign w:val="center"/>
                </w:tcPr>
                <w:p w14:paraId="0D4C6ECA">
                  <w:pPr>
                    <w:adjustRightInd w:val="0"/>
                    <w:snapToGrid w:val="0"/>
                    <w:jc w:val="center"/>
                    <w:textAlignment w:val="baseline"/>
                    <w:rPr>
                      <w:bCs/>
                      <w:kern w:val="0"/>
                      <w:szCs w:val="21"/>
                    </w:rPr>
                  </w:pPr>
                </w:p>
              </w:tc>
              <w:tc>
                <w:tcPr>
                  <w:tcW w:w="700" w:type="pct"/>
                  <w:vAlign w:val="center"/>
                </w:tcPr>
                <w:p w14:paraId="4842E7BD">
                  <w:pPr>
                    <w:adjustRightInd w:val="0"/>
                    <w:snapToGrid w:val="0"/>
                    <w:jc w:val="center"/>
                    <w:textAlignment w:val="baseline"/>
                    <w:rPr>
                      <w:bCs/>
                      <w:kern w:val="0"/>
                      <w:szCs w:val="21"/>
                    </w:rPr>
                  </w:pPr>
                  <w:r>
                    <w:rPr>
                      <w:rFonts w:hint="eastAsia"/>
                      <w:bCs/>
                      <w:kern w:val="0"/>
                      <w:szCs w:val="21"/>
                    </w:rPr>
                    <w:t>大气吸收</w:t>
                  </w:r>
                </w:p>
              </w:tc>
              <w:tc>
                <w:tcPr>
                  <w:tcW w:w="3816" w:type="pct"/>
                  <w:vAlign w:val="center"/>
                </w:tcPr>
                <w:p w14:paraId="49C12BE1">
                  <w:pPr>
                    <w:adjustRightInd w:val="0"/>
                    <w:snapToGrid w:val="0"/>
                    <w:jc w:val="center"/>
                    <w:textAlignment w:val="baseline"/>
                    <w:rPr>
                      <w:bCs/>
                      <w:kern w:val="0"/>
                      <w:szCs w:val="21"/>
                    </w:rPr>
                  </w:pPr>
                  <w:r>
                    <w:rPr>
                      <w:rFonts w:hint="eastAsia"/>
                      <w:bCs/>
                      <w:kern w:val="0"/>
                      <w:szCs w:val="21"/>
                    </w:rPr>
                    <w:t>气压101325Pa，气温25</w:t>
                  </w:r>
                  <w:r>
                    <w:rPr>
                      <w:rFonts w:hint="eastAsia" w:ascii="宋体" w:hAnsi="宋体" w:cs="宋体"/>
                      <w:bCs/>
                      <w:kern w:val="0"/>
                      <w:szCs w:val="21"/>
                    </w:rPr>
                    <w:t>℃</w:t>
                  </w:r>
                  <w:r>
                    <w:rPr>
                      <w:rFonts w:hint="eastAsia"/>
                      <w:bCs/>
                      <w:kern w:val="0"/>
                      <w:szCs w:val="21"/>
                    </w:rPr>
                    <w:t>，相对温度50%</w:t>
                  </w:r>
                </w:p>
              </w:tc>
            </w:tr>
            <w:tr w14:paraId="00E3E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3"/>
                  <w:vAlign w:val="center"/>
                </w:tcPr>
                <w:p w14:paraId="001A02A3">
                  <w:pPr>
                    <w:adjustRightInd w:val="0"/>
                    <w:snapToGrid w:val="0"/>
                    <w:jc w:val="center"/>
                    <w:textAlignment w:val="baseline"/>
                    <w:rPr>
                      <w:bCs/>
                      <w:kern w:val="0"/>
                      <w:szCs w:val="21"/>
                    </w:rPr>
                  </w:pPr>
                  <w:r>
                    <w:rPr>
                      <w:rFonts w:hint="eastAsia"/>
                      <w:bCs/>
                      <w:kern w:val="0"/>
                      <w:szCs w:val="21"/>
                    </w:rPr>
                    <w:t>预测软件，环安科技噪声环境影响评价系统</w:t>
                  </w:r>
                </w:p>
              </w:tc>
            </w:tr>
          </w:tbl>
          <w:p w14:paraId="4251D291">
            <w:pPr>
              <w:tabs>
                <w:tab w:val="left" w:pos="1021"/>
              </w:tabs>
              <w:spacing w:line="360" w:lineRule="auto"/>
              <w:ind w:firstLine="480" w:firstLineChars="200"/>
              <w:rPr>
                <w:bCs/>
                <w:color w:val="auto"/>
                <w:sz w:val="24"/>
              </w:rPr>
            </w:pPr>
            <w:r>
              <w:rPr>
                <w:rFonts w:hint="eastAsia"/>
                <w:bCs/>
                <w:color w:val="auto"/>
                <w:sz w:val="24"/>
              </w:rPr>
              <w:t>经预测，项目运行期间厂界1m外的噪声贡献值为31.74~58.52dB</w:t>
            </w:r>
            <w:r>
              <w:rPr>
                <w:rFonts w:hint="eastAsia"/>
                <w:bCs/>
                <w:color w:val="auto"/>
                <w:sz w:val="24"/>
                <w:lang w:eastAsia="zh-CN"/>
              </w:rPr>
              <w:t>（</w:t>
            </w:r>
            <w:r>
              <w:rPr>
                <w:rFonts w:hint="eastAsia"/>
                <w:bCs/>
                <w:color w:val="auto"/>
                <w:sz w:val="24"/>
              </w:rPr>
              <w:t>A</w:t>
            </w:r>
            <w:r>
              <w:rPr>
                <w:rFonts w:hint="eastAsia"/>
                <w:bCs/>
                <w:color w:val="auto"/>
                <w:sz w:val="24"/>
                <w:lang w:eastAsia="zh-CN"/>
              </w:rPr>
              <w:t>）</w:t>
            </w:r>
            <w:r>
              <w:rPr>
                <w:rFonts w:hint="eastAsia"/>
                <w:bCs/>
                <w:color w:val="auto"/>
                <w:sz w:val="24"/>
              </w:rPr>
              <w:t>，项目厂界1m外的噪声预测结果见表 4-9。</w:t>
            </w:r>
          </w:p>
          <w:p w14:paraId="5807DB6E">
            <w:pPr>
              <w:pStyle w:val="6"/>
              <w:spacing w:before="120" w:beforeLines="50"/>
              <w:rPr>
                <w:rFonts w:ascii="Times New Roman" w:hAnsi="Times New Roman"/>
                <w:color w:val="auto"/>
                <w:sz w:val="21"/>
              </w:rPr>
            </w:pPr>
            <w:r>
              <w:rPr>
                <w:rFonts w:ascii="Times New Roman" w:hAnsi="Times New Roman"/>
                <w:color w:val="auto"/>
                <w:sz w:val="21"/>
              </w:rPr>
              <w:t>表</w:t>
            </w:r>
            <w:r>
              <w:rPr>
                <w:rFonts w:hint="eastAsia" w:ascii="Times New Roman" w:hAnsi="Times New Roman"/>
                <w:color w:val="auto"/>
                <w:sz w:val="21"/>
              </w:rPr>
              <w:t>4-8  厂界及环境敏感点噪声预测值  单位：dB（A）</w:t>
            </w:r>
          </w:p>
          <w:tbl>
            <w:tblPr>
              <w:tblStyle w:val="20"/>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53"/>
              <w:gridCol w:w="1980"/>
              <w:gridCol w:w="1139"/>
              <w:gridCol w:w="1139"/>
              <w:gridCol w:w="1139"/>
              <w:gridCol w:w="1139"/>
              <w:gridCol w:w="1421"/>
            </w:tblGrid>
            <w:tr w14:paraId="706411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4079E673">
                  <w:pPr>
                    <w:pStyle w:val="39"/>
                    <w:rPr>
                      <w:b/>
                      <w:color w:val="auto"/>
                    </w:rPr>
                  </w:pPr>
                  <w:r>
                    <w:rPr>
                      <w:b/>
                      <w:color w:val="auto"/>
                    </w:rPr>
                    <w:t>序号</w:t>
                  </w:r>
                </w:p>
              </w:tc>
              <w:tc>
                <w:tcPr>
                  <w:tcW w:w="1123" w:type="pct"/>
                  <w:vAlign w:val="center"/>
                </w:tcPr>
                <w:p w14:paraId="1F8A9B4D">
                  <w:pPr>
                    <w:pStyle w:val="39"/>
                    <w:rPr>
                      <w:color w:val="auto"/>
                    </w:rPr>
                  </w:pPr>
                  <w:r>
                    <w:rPr>
                      <w:rFonts w:hint="eastAsia"/>
                      <w:color w:val="auto"/>
                    </w:rPr>
                    <w:t>预测点</w:t>
                  </w:r>
                </w:p>
              </w:tc>
              <w:tc>
                <w:tcPr>
                  <w:tcW w:w="646" w:type="pct"/>
                  <w:vAlign w:val="center"/>
                </w:tcPr>
                <w:p w14:paraId="2374A46D">
                  <w:pPr>
                    <w:pStyle w:val="39"/>
                    <w:rPr>
                      <w:color w:val="auto"/>
                    </w:rPr>
                  </w:pPr>
                  <w:r>
                    <w:rPr>
                      <w:rFonts w:hint="eastAsia"/>
                      <w:color w:val="auto"/>
                    </w:rPr>
                    <w:t>贡献值</w:t>
                  </w:r>
                </w:p>
              </w:tc>
              <w:tc>
                <w:tcPr>
                  <w:tcW w:w="646" w:type="pct"/>
                  <w:vAlign w:val="center"/>
                </w:tcPr>
                <w:p w14:paraId="4CD4C010">
                  <w:pPr>
                    <w:pStyle w:val="39"/>
                    <w:rPr>
                      <w:color w:val="auto"/>
                    </w:rPr>
                  </w:pPr>
                  <w:r>
                    <w:rPr>
                      <w:rFonts w:hint="eastAsia"/>
                      <w:color w:val="auto"/>
                    </w:rPr>
                    <w:t>背景值</w:t>
                  </w:r>
                </w:p>
              </w:tc>
              <w:tc>
                <w:tcPr>
                  <w:tcW w:w="646" w:type="pct"/>
                  <w:vAlign w:val="center"/>
                </w:tcPr>
                <w:p w14:paraId="18D9172F">
                  <w:pPr>
                    <w:pStyle w:val="39"/>
                    <w:rPr>
                      <w:color w:val="auto"/>
                    </w:rPr>
                  </w:pPr>
                  <w:r>
                    <w:rPr>
                      <w:rFonts w:hint="eastAsia"/>
                      <w:color w:val="auto"/>
                    </w:rPr>
                    <w:t>预测值</w:t>
                  </w:r>
                </w:p>
              </w:tc>
              <w:tc>
                <w:tcPr>
                  <w:tcW w:w="646" w:type="pct"/>
                  <w:vAlign w:val="center"/>
                </w:tcPr>
                <w:p w14:paraId="5B5B12BB">
                  <w:pPr>
                    <w:pStyle w:val="39"/>
                    <w:rPr>
                      <w:color w:val="auto"/>
                    </w:rPr>
                  </w:pPr>
                  <w:r>
                    <w:rPr>
                      <w:rFonts w:hint="eastAsia"/>
                      <w:color w:val="auto"/>
                    </w:rPr>
                    <w:t>标准值</w:t>
                  </w:r>
                </w:p>
              </w:tc>
              <w:tc>
                <w:tcPr>
                  <w:tcW w:w="806" w:type="pct"/>
                  <w:vAlign w:val="center"/>
                </w:tcPr>
                <w:p w14:paraId="4FEA73AA">
                  <w:pPr>
                    <w:pStyle w:val="39"/>
                    <w:rPr>
                      <w:color w:val="auto"/>
                    </w:rPr>
                  </w:pPr>
                  <w:r>
                    <w:rPr>
                      <w:rFonts w:hint="eastAsia"/>
                      <w:color w:val="auto"/>
                    </w:rPr>
                    <w:t>是否达标</w:t>
                  </w:r>
                </w:p>
              </w:tc>
            </w:tr>
            <w:tr w14:paraId="2D5A8D0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4A0160E7">
                  <w:pPr>
                    <w:pStyle w:val="39"/>
                    <w:rPr>
                      <w:color w:val="auto"/>
                    </w:rPr>
                  </w:pPr>
                  <w:r>
                    <w:rPr>
                      <w:color w:val="auto"/>
                    </w:rPr>
                    <w:t>1#</w:t>
                  </w:r>
                </w:p>
              </w:tc>
              <w:tc>
                <w:tcPr>
                  <w:tcW w:w="1123" w:type="pct"/>
                  <w:vAlign w:val="center"/>
                </w:tcPr>
                <w:p w14:paraId="31EF574F">
                  <w:pPr>
                    <w:pStyle w:val="39"/>
                    <w:rPr>
                      <w:color w:val="auto"/>
                    </w:rPr>
                  </w:pPr>
                  <w:r>
                    <w:rPr>
                      <w:rFonts w:hint="eastAsia"/>
                      <w:color w:val="auto"/>
                    </w:rPr>
                    <w:t>项目东侧厂界</w:t>
                  </w:r>
                </w:p>
              </w:tc>
              <w:tc>
                <w:tcPr>
                  <w:tcW w:w="646" w:type="pct"/>
                  <w:vAlign w:val="center"/>
                </w:tcPr>
                <w:p w14:paraId="45F53FED">
                  <w:pPr>
                    <w:pStyle w:val="39"/>
                    <w:rPr>
                      <w:color w:val="auto"/>
                    </w:rPr>
                  </w:pPr>
                  <w:r>
                    <w:rPr>
                      <w:rFonts w:hint="eastAsia"/>
                      <w:color w:val="auto"/>
                    </w:rPr>
                    <w:t>31.74</w:t>
                  </w:r>
                </w:p>
              </w:tc>
              <w:tc>
                <w:tcPr>
                  <w:tcW w:w="646" w:type="pct"/>
                  <w:vAlign w:val="center"/>
                </w:tcPr>
                <w:p w14:paraId="6CA232D9">
                  <w:pPr>
                    <w:jc w:val="center"/>
                    <w:rPr>
                      <w:color w:val="auto"/>
                    </w:rPr>
                  </w:pPr>
                  <w:r>
                    <w:rPr>
                      <w:rFonts w:hint="eastAsia"/>
                      <w:color w:val="auto"/>
                    </w:rPr>
                    <w:t>/</w:t>
                  </w:r>
                </w:p>
              </w:tc>
              <w:tc>
                <w:tcPr>
                  <w:tcW w:w="646" w:type="pct"/>
                  <w:vAlign w:val="center"/>
                </w:tcPr>
                <w:p w14:paraId="2585A12D">
                  <w:pPr>
                    <w:jc w:val="center"/>
                    <w:rPr>
                      <w:color w:val="auto"/>
                    </w:rPr>
                  </w:pPr>
                  <w:r>
                    <w:rPr>
                      <w:rFonts w:hint="eastAsia"/>
                      <w:color w:val="auto"/>
                    </w:rPr>
                    <w:t>/</w:t>
                  </w:r>
                </w:p>
              </w:tc>
              <w:tc>
                <w:tcPr>
                  <w:tcW w:w="646" w:type="pct"/>
                  <w:vAlign w:val="center"/>
                </w:tcPr>
                <w:p w14:paraId="1284F605">
                  <w:pPr>
                    <w:pStyle w:val="39"/>
                    <w:rPr>
                      <w:color w:val="auto"/>
                    </w:rPr>
                  </w:pPr>
                  <w:r>
                    <w:rPr>
                      <w:rFonts w:hint="eastAsia"/>
                      <w:color w:val="auto"/>
                    </w:rPr>
                    <w:t>70</w:t>
                  </w:r>
                </w:p>
              </w:tc>
              <w:tc>
                <w:tcPr>
                  <w:tcW w:w="806" w:type="pct"/>
                  <w:vAlign w:val="center"/>
                </w:tcPr>
                <w:p w14:paraId="11DED9E9">
                  <w:pPr>
                    <w:pStyle w:val="39"/>
                    <w:rPr>
                      <w:color w:val="auto"/>
                    </w:rPr>
                  </w:pPr>
                  <w:r>
                    <w:rPr>
                      <w:rFonts w:hint="eastAsia"/>
                      <w:color w:val="auto"/>
                    </w:rPr>
                    <w:t>是</w:t>
                  </w:r>
                </w:p>
              </w:tc>
            </w:tr>
            <w:tr w14:paraId="7964E9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05E1D131">
                  <w:pPr>
                    <w:pStyle w:val="39"/>
                    <w:rPr>
                      <w:color w:val="auto"/>
                    </w:rPr>
                  </w:pPr>
                  <w:r>
                    <w:rPr>
                      <w:color w:val="auto"/>
                    </w:rPr>
                    <w:t>2#</w:t>
                  </w:r>
                </w:p>
              </w:tc>
              <w:tc>
                <w:tcPr>
                  <w:tcW w:w="1123" w:type="pct"/>
                  <w:vAlign w:val="center"/>
                </w:tcPr>
                <w:p w14:paraId="4322F162">
                  <w:pPr>
                    <w:pStyle w:val="39"/>
                    <w:rPr>
                      <w:color w:val="auto"/>
                    </w:rPr>
                  </w:pPr>
                  <w:r>
                    <w:rPr>
                      <w:rFonts w:hint="eastAsia"/>
                      <w:color w:val="auto"/>
                    </w:rPr>
                    <w:t>项目南侧厂界</w:t>
                  </w:r>
                </w:p>
              </w:tc>
              <w:tc>
                <w:tcPr>
                  <w:tcW w:w="646" w:type="pct"/>
                  <w:vAlign w:val="center"/>
                </w:tcPr>
                <w:p w14:paraId="2E93195D">
                  <w:pPr>
                    <w:pStyle w:val="39"/>
                    <w:rPr>
                      <w:color w:val="auto"/>
                    </w:rPr>
                  </w:pPr>
                  <w:r>
                    <w:rPr>
                      <w:rFonts w:hint="eastAsia"/>
                      <w:color w:val="auto"/>
                    </w:rPr>
                    <w:t>43.17</w:t>
                  </w:r>
                </w:p>
              </w:tc>
              <w:tc>
                <w:tcPr>
                  <w:tcW w:w="646" w:type="pct"/>
                  <w:vAlign w:val="center"/>
                </w:tcPr>
                <w:p w14:paraId="5C40D9AD">
                  <w:pPr>
                    <w:jc w:val="center"/>
                    <w:rPr>
                      <w:color w:val="auto"/>
                    </w:rPr>
                  </w:pPr>
                  <w:r>
                    <w:rPr>
                      <w:rFonts w:hint="eastAsia"/>
                      <w:color w:val="auto"/>
                    </w:rPr>
                    <w:t>/</w:t>
                  </w:r>
                </w:p>
              </w:tc>
              <w:tc>
                <w:tcPr>
                  <w:tcW w:w="646" w:type="pct"/>
                  <w:vAlign w:val="center"/>
                </w:tcPr>
                <w:p w14:paraId="3EEBBA55">
                  <w:pPr>
                    <w:jc w:val="center"/>
                    <w:rPr>
                      <w:color w:val="auto"/>
                    </w:rPr>
                  </w:pPr>
                  <w:r>
                    <w:rPr>
                      <w:rFonts w:hint="eastAsia"/>
                      <w:color w:val="auto"/>
                    </w:rPr>
                    <w:t>/</w:t>
                  </w:r>
                </w:p>
              </w:tc>
              <w:tc>
                <w:tcPr>
                  <w:tcW w:w="646" w:type="pct"/>
                  <w:vAlign w:val="center"/>
                </w:tcPr>
                <w:p w14:paraId="74582BB6">
                  <w:pPr>
                    <w:pStyle w:val="39"/>
                    <w:rPr>
                      <w:color w:val="auto"/>
                    </w:rPr>
                  </w:pPr>
                  <w:r>
                    <w:rPr>
                      <w:rFonts w:hint="eastAsia"/>
                      <w:color w:val="auto"/>
                    </w:rPr>
                    <w:t>65</w:t>
                  </w:r>
                </w:p>
              </w:tc>
              <w:tc>
                <w:tcPr>
                  <w:tcW w:w="806" w:type="pct"/>
                  <w:vAlign w:val="center"/>
                </w:tcPr>
                <w:p w14:paraId="7591E757">
                  <w:pPr>
                    <w:pStyle w:val="39"/>
                    <w:rPr>
                      <w:color w:val="auto"/>
                    </w:rPr>
                  </w:pPr>
                  <w:r>
                    <w:rPr>
                      <w:rFonts w:hint="eastAsia"/>
                      <w:color w:val="auto"/>
                    </w:rPr>
                    <w:t>是</w:t>
                  </w:r>
                </w:p>
              </w:tc>
            </w:tr>
            <w:tr w14:paraId="12E317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2F500F1F">
                  <w:pPr>
                    <w:pStyle w:val="39"/>
                    <w:rPr>
                      <w:color w:val="auto"/>
                    </w:rPr>
                  </w:pPr>
                  <w:r>
                    <w:rPr>
                      <w:color w:val="auto"/>
                    </w:rPr>
                    <w:t>3#</w:t>
                  </w:r>
                </w:p>
              </w:tc>
              <w:tc>
                <w:tcPr>
                  <w:tcW w:w="1123" w:type="pct"/>
                  <w:vAlign w:val="center"/>
                </w:tcPr>
                <w:p w14:paraId="2D60EF68">
                  <w:pPr>
                    <w:pStyle w:val="39"/>
                    <w:rPr>
                      <w:color w:val="auto"/>
                    </w:rPr>
                  </w:pPr>
                  <w:r>
                    <w:rPr>
                      <w:rFonts w:hint="eastAsia"/>
                      <w:color w:val="auto"/>
                    </w:rPr>
                    <w:t>项目西侧厂界</w:t>
                  </w:r>
                </w:p>
              </w:tc>
              <w:tc>
                <w:tcPr>
                  <w:tcW w:w="646" w:type="pct"/>
                  <w:vAlign w:val="center"/>
                </w:tcPr>
                <w:p w14:paraId="7ACD25C5">
                  <w:pPr>
                    <w:pStyle w:val="39"/>
                    <w:rPr>
                      <w:color w:val="auto"/>
                    </w:rPr>
                  </w:pPr>
                  <w:r>
                    <w:rPr>
                      <w:rFonts w:hint="eastAsia"/>
                      <w:color w:val="auto"/>
                    </w:rPr>
                    <w:t>58.52</w:t>
                  </w:r>
                </w:p>
              </w:tc>
              <w:tc>
                <w:tcPr>
                  <w:tcW w:w="646" w:type="pct"/>
                  <w:vAlign w:val="center"/>
                </w:tcPr>
                <w:p w14:paraId="2B2EF13A">
                  <w:pPr>
                    <w:jc w:val="center"/>
                    <w:rPr>
                      <w:color w:val="auto"/>
                    </w:rPr>
                  </w:pPr>
                  <w:r>
                    <w:rPr>
                      <w:rFonts w:hint="eastAsia"/>
                      <w:color w:val="auto"/>
                    </w:rPr>
                    <w:t>/</w:t>
                  </w:r>
                </w:p>
              </w:tc>
              <w:tc>
                <w:tcPr>
                  <w:tcW w:w="646" w:type="pct"/>
                  <w:vAlign w:val="center"/>
                </w:tcPr>
                <w:p w14:paraId="42E8FEE2">
                  <w:pPr>
                    <w:jc w:val="center"/>
                    <w:rPr>
                      <w:color w:val="auto"/>
                    </w:rPr>
                  </w:pPr>
                  <w:r>
                    <w:rPr>
                      <w:rFonts w:hint="eastAsia"/>
                      <w:color w:val="auto"/>
                    </w:rPr>
                    <w:t>/</w:t>
                  </w:r>
                </w:p>
              </w:tc>
              <w:tc>
                <w:tcPr>
                  <w:tcW w:w="646" w:type="pct"/>
                  <w:vAlign w:val="center"/>
                </w:tcPr>
                <w:p w14:paraId="7F870282">
                  <w:pPr>
                    <w:pStyle w:val="39"/>
                    <w:rPr>
                      <w:color w:val="auto"/>
                    </w:rPr>
                  </w:pPr>
                  <w:r>
                    <w:rPr>
                      <w:rFonts w:hint="eastAsia"/>
                      <w:color w:val="auto"/>
                    </w:rPr>
                    <w:t>65</w:t>
                  </w:r>
                </w:p>
              </w:tc>
              <w:tc>
                <w:tcPr>
                  <w:tcW w:w="806" w:type="pct"/>
                  <w:vAlign w:val="center"/>
                </w:tcPr>
                <w:p w14:paraId="79783055">
                  <w:pPr>
                    <w:pStyle w:val="39"/>
                    <w:rPr>
                      <w:color w:val="auto"/>
                    </w:rPr>
                  </w:pPr>
                  <w:r>
                    <w:rPr>
                      <w:rFonts w:hint="eastAsia"/>
                      <w:color w:val="auto"/>
                    </w:rPr>
                    <w:t>是</w:t>
                  </w:r>
                </w:p>
              </w:tc>
            </w:tr>
            <w:tr w14:paraId="16CDFD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2D09759F">
                  <w:pPr>
                    <w:pStyle w:val="39"/>
                    <w:rPr>
                      <w:color w:val="auto"/>
                    </w:rPr>
                  </w:pPr>
                  <w:r>
                    <w:rPr>
                      <w:color w:val="auto"/>
                    </w:rPr>
                    <w:t>4#</w:t>
                  </w:r>
                </w:p>
              </w:tc>
              <w:tc>
                <w:tcPr>
                  <w:tcW w:w="1123" w:type="pct"/>
                  <w:vAlign w:val="center"/>
                </w:tcPr>
                <w:p w14:paraId="5EF232B8">
                  <w:pPr>
                    <w:pStyle w:val="39"/>
                    <w:rPr>
                      <w:color w:val="auto"/>
                    </w:rPr>
                  </w:pPr>
                  <w:r>
                    <w:rPr>
                      <w:rFonts w:hint="eastAsia"/>
                      <w:color w:val="auto"/>
                    </w:rPr>
                    <w:t>项目北侧厂界</w:t>
                  </w:r>
                </w:p>
              </w:tc>
              <w:tc>
                <w:tcPr>
                  <w:tcW w:w="646" w:type="pct"/>
                  <w:vAlign w:val="center"/>
                </w:tcPr>
                <w:p w14:paraId="0C90B482">
                  <w:pPr>
                    <w:pStyle w:val="39"/>
                    <w:rPr>
                      <w:color w:val="auto"/>
                    </w:rPr>
                  </w:pPr>
                  <w:r>
                    <w:rPr>
                      <w:rFonts w:hint="eastAsia"/>
                      <w:color w:val="auto"/>
                    </w:rPr>
                    <w:t>46.76</w:t>
                  </w:r>
                </w:p>
              </w:tc>
              <w:tc>
                <w:tcPr>
                  <w:tcW w:w="646" w:type="pct"/>
                  <w:vAlign w:val="center"/>
                </w:tcPr>
                <w:p w14:paraId="266995C7">
                  <w:pPr>
                    <w:jc w:val="center"/>
                    <w:rPr>
                      <w:color w:val="auto"/>
                    </w:rPr>
                  </w:pPr>
                  <w:r>
                    <w:rPr>
                      <w:rFonts w:hint="eastAsia"/>
                      <w:color w:val="auto"/>
                    </w:rPr>
                    <w:t>/</w:t>
                  </w:r>
                </w:p>
              </w:tc>
              <w:tc>
                <w:tcPr>
                  <w:tcW w:w="646" w:type="pct"/>
                  <w:vAlign w:val="center"/>
                </w:tcPr>
                <w:p w14:paraId="3BA3AFC3">
                  <w:pPr>
                    <w:jc w:val="center"/>
                    <w:rPr>
                      <w:color w:val="auto"/>
                    </w:rPr>
                  </w:pPr>
                  <w:r>
                    <w:rPr>
                      <w:rFonts w:hint="eastAsia"/>
                      <w:color w:val="auto"/>
                    </w:rPr>
                    <w:t>/</w:t>
                  </w:r>
                </w:p>
              </w:tc>
              <w:tc>
                <w:tcPr>
                  <w:tcW w:w="646" w:type="pct"/>
                  <w:vAlign w:val="center"/>
                </w:tcPr>
                <w:p w14:paraId="119A95B9">
                  <w:pPr>
                    <w:pStyle w:val="39"/>
                    <w:rPr>
                      <w:color w:val="auto"/>
                    </w:rPr>
                  </w:pPr>
                  <w:r>
                    <w:rPr>
                      <w:rFonts w:hint="eastAsia"/>
                      <w:color w:val="auto"/>
                    </w:rPr>
                    <w:t>65</w:t>
                  </w:r>
                </w:p>
              </w:tc>
              <w:tc>
                <w:tcPr>
                  <w:tcW w:w="806" w:type="pct"/>
                  <w:vAlign w:val="center"/>
                </w:tcPr>
                <w:p w14:paraId="726E916D">
                  <w:pPr>
                    <w:pStyle w:val="39"/>
                    <w:rPr>
                      <w:color w:val="auto"/>
                    </w:rPr>
                  </w:pPr>
                  <w:r>
                    <w:rPr>
                      <w:rFonts w:hint="eastAsia"/>
                      <w:color w:val="auto"/>
                    </w:rPr>
                    <w:t>是</w:t>
                  </w:r>
                </w:p>
              </w:tc>
            </w:tr>
            <w:tr w14:paraId="14B8E0B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778DACCE">
                  <w:pPr>
                    <w:pStyle w:val="39"/>
                    <w:rPr>
                      <w:color w:val="auto"/>
                    </w:rPr>
                  </w:pPr>
                  <w:r>
                    <w:rPr>
                      <w:rFonts w:hint="eastAsia"/>
                      <w:color w:val="auto"/>
                    </w:rPr>
                    <w:t>5</w:t>
                  </w:r>
                  <w:r>
                    <w:rPr>
                      <w:color w:val="auto"/>
                    </w:rPr>
                    <w:t>#</w:t>
                  </w:r>
                </w:p>
              </w:tc>
              <w:tc>
                <w:tcPr>
                  <w:tcW w:w="1123" w:type="pct"/>
                  <w:vAlign w:val="center"/>
                </w:tcPr>
                <w:p w14:paraId="112B6229">
                  <w:pPr>
                    <w:pStyle w:val="39"/>
                    <w:rPr>
                      <w:color w:val="auto"/>
                    </w:rPr>
                  </w:pPr>
                  <w:r>
                    <w:rPr>
                      <w:rFonts w:hint="eastAsia"/>
                      <w:color w:val="auto"/>
                    </w:rPr>
                    <w:t>南侧敏感点</w:t>
                  </w:r>
                </w:p>
              </w:tc>
              <w:tc>
                <w:tcPr>
                  <w:tcW w:w="646" w:type="pct"/>
                  <w:vAlign w:val="center"/>
                </w:tcPr>
                <w:p w14:paraId="4861742B">
                  <w:pPr>
                    <w:jc w:val="center"/>
                    <w:rPr>
                      <w:color w:val="auto"/>
                    </w:rPr>
                  </w:pPr>
                  <w:r>
                    <w:rPr>
                      <w:rFonts w:hint="eastAsia"/>
                      <w:color w:val="auto"/>
                    </w:rPr>
                    <w:t>30.40</w:t>
                  </w:r>
                </w:p>
              </w:tc>
              <w:tc>
                <w:tcPr>
                  <w:tcW w:w="646" w:type="pct"/>
                  <w:vAlign w:val="center"/>
                </w:tcPr>
                <w:p w14:paraId="5DB27514">
                  <w:pPr>
                    <w:jc w:val="center"/>
                    <w:rPr>
                      <w:color w:val="auto"/>
                    </w:rPr>
                  </w:pPr>
                  <w:r>
                    <w:rPr>
                      <w:rFonts w:hint="eastAsia"/>
                      <w:color w:val="auto"/>
                    </w:rPr>
                    <w:t>50</w:t>
                  </w:r>
                </w:p>
              </w:tc>
              <w:tc>
                <w:tcPr>
                  <w:tcW w:w="646" w:type="pct"/>
                  <w:vAlign w:val="center"/>
                </w:tcPr>
                <w:p w14:paraId="224269D7">
                  <w:pPr>
                    <w:jc w:val="center"/>
                    <w:rPr>
                      <w:color w:val="auto"/>
                    </w:rPr>
                  </w:pPr>
                  <w:r>
                    <w:rPr>
                      <w:rFonts w:hint="eastAsia"/>
                      <w:color w:val="auto"/>
                    </w:rPr>
                    <w:t>50.05</w:t>
                  </w:r>
                </w:p>
              </w:tc>
              <w:tc>
                <w:tcPr>
                  <w:tcW w:w="646" w:type="pct"/>
                  <w:vAlign w:val="center"/>
                </w:tcPr>
                <w:p w14:paraId="68E33452">
                  <w:pPr>
                    <w:pStyle w:val="39"/>
                    <w:rPr>
                      <w:color w:val="auto"/>
                    </w:rPr>
                  </w:pPr>
                  <w:r>
                    <w:rPr>
                      <w:rFonts w:hint="eastAsia"/>
                      <w:color w:val="auto"/>
                    </w:rPr>
                    <w:t>60</w:t>
                  </w:r>
                </w:p>
              </w:tc>
              <w:tc>
                <w:tcPr>
                  <w:tcW w:w="806" w:type="pct"/>
                  <w:vAlign w:val="center"/>
                </w:tcPr>
                <w:p w14:paraId="6F5B181C">
                  <w:pPr>
                    <w:jc w:val="center"/>
                    <w:rPr>
                      <w:color w:val="auto"/>
                    </w:rPr>
                  </w:pPr>
                  <w:r>
                    <w:rPr>
                      <w:rFonts w:hint="eastAsia"/>
                      <w:color w:val="auto"/>
                    </w:rPr>
                    <w:t>是</w:t>
                  </w:r>
                </w:p>
              </w:tc>
            </w:tr>
            <w:tr w14:paraId="66C6B8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4" w:type="pct"/>
                  <w:vAlign w:val="center"/>
                </w:tcPr>
                <w:p w14:paraId="13916762">
                  <w:pPr>
                    <w:pStyle w:val="39"/>
                    <w:rPr>
                      <w:color w:val="auto"/>
                    </w:rPr>
                  </w:pPr>
                  <w:r>
                    <w:rPr>
                      <w:rFonts w:hint="eastAsia"/>
                      <w:color w:val="auto"/>
                    </w:rPr>
                    <w:t>6</w:t>
                  </w:r>
                  <w:r>
                    <w:rPr>
                      <w:color w:val="auto"/>
                    </w:rPr>
                    <w:t>#</w:t>
                  </w:r>
                </w:p>
              </w:tc>
              <w:tc>
                <w:tcPr>
                  <w:tcW w:w="1123" w:type="pct"/>
                  <w:vAlign w:val="center"/>
                </w:tcPr>
                <w:p w14:paraId="4C37D618">
                  <w:pPr>
                    <w:pStyle w:val="39"/>
                    <w:rPr>
                      <w:color w:val="auto"/>
                    </w:rPr>
                  </w:pPr>
                  <w:r>
                    <w:rPr>
                      <w:rFonts w:hint="eastAsia"/>
                      <w:color w:val="auto"/>
                    </w:rPr>
                    <w:t>西侧敏感点</w:t>
                  </w:r>
                </w:p>
              </w:tc>
              <w:tc>
                <w:tcPr>
                  <w:tcW w:w="646" w:type="pct"/>
                  <w:vAlign w:val="center"/>
                </w:tcPr>
                <w:p w14:paraId="151D391A">
                  <w:pPr>
                    <w:jc w:val="center"/>
                    <w:rPr>
                      <w:color w:val="auto"/>
                    </w:rPr>
                  </w:pPr>
                  <w:r>
                    <w:rPr>
                      <w:rFonts w:hint="eastAsia"/>
                      <w:color w:val="auto"/>
                    </w:rPr>
                    <w:t>36.24</w:t>
                  </w:r>
                </w:p>
              </w:tc>
              <w:tc>
                <w:tcPr>
                  <w:tcW w:w="646" w:type="pct"/>
                  <w:vAlign w:val="center"/>
                </w:tcPr>
                <w:p w14:paraId="1D2460E1">
                  <w:pPr>
                    <w:jc w:val="center"/>
                    <w:rPr>
                      <w:color w:val="auto"/>
                    </w:rPr>
                  </w:pPr>
                  <w:r>
                    <w:rPr>
                      <w:rFonts w:hint="eastAsia"/>
                      <w:color w:val="auto"/>
                    </w:rPr>
                    <w:t>50</w:t>
                  </w:r>
                </w:p>
              </w:tc>
              <w:tc>
                <w:tcPr>
                  <w:tcW w:w="646" w:type="pct"/>
                  <w:vAlign w:val="center"/>
                </w:tcPr>
                <w:p w14:paraId="17A567B1">
                  <w:pPr>
                    <w:jc w:val="center"/>
                    <w:rPr>
                      <w:color w:val="auto"/>
                    </w:rPr>
                  </w:pPr>
                  <w:r>
                    <w:rPr>
                      <w:rFonts w:hint="eastAsia"/>
                      <w:color w:val="auto"/>
                    </w:rPr>
                    <w:t>50.18</w:t>
                  </w:r>
                </w:p>
              </w:tc>
              <w:tc>
                <w:tcPr>
                  <w:tcW w:w="646" w:type="pct"/>
                  <w:vAlign w:val="center"/>
                </w:tcPr>
                <w:p w14:paraId="3F879D82">
                  <w:pPr>
                    <w:pStyle w:val="39"/>
                    <w:rPr>
                      <w:color w:val="auto"/>
                    </w:rPr>
                  </w:pPr>
                  <w:r>
                    <w:rPr>
                      <w:rFonts w:hint="eastAsia"/>
                      <w:color w:val="auto"/>
                    </w:rPr>
                    <w:t>60</w:t>
                  </w:r>
                </w:p>
              </w:tc>
              <w:tc>
                <w:tcPr>
                  <w:tcW w:w="806" w:type="pct"/>
                  <w:vAlign w:val="center"/>
                </w:tcPr>
                <w:p w14:paraId="50B26482">
                  <w:pPr>
                    <w:jc w:val="center"/>
                    <w:rPr>
                      <w:color w:val="auto"/>
                    </w:rPr>
                  </w:pPr>
                  <w:r>
                    <w:rPr>
                      <w:rFonts w:hint="eastAsia"/>
                      <w:color w:val="auto"/>
                    </w:rPr>
                    <w:t>是</w:t>
                  </w:r>
                </w:p>
              </w:tc>
            </w:tr>
          </w:tbl>
          <w:p w14:paraId="70A987D1">
            <w:pPr>
              <w:autoSpaceDE w:val="0"/>
              <w:autoSpaceDN w:val="0"/>
              <w:adjustRightInd w:val="0"/>
              <w:spacing w:line="360" w:lineRule="auto"/>
              <w:ind w:firstLine="440" w:firstLineChars="200"/>
              <w:rPr>
                <w:bCs/>
                <w:color w:val="auto"/>
                <w:spacing w:val="-10"/>
                <w:sz w:val="24"/>
              </w:rPr>
            </w:pPr>
            <w:r>
              <w:rPr>
                <w:rFonts w:hint="eastAsia"/>
                <w:bCs/>
                <w:color w:val="auto"/>
                <w:spacing w:val="-10"/>
                <w:sz w:val="24"/>
              </w:rPr>
              <w:t>根据预测结果，本项目改扩建后南、西、北厂界噪声预测结果能够达到《工业企业厂界环境噪声排放标准》（GB12348—2008）中的3类标准（昼间≤65dB（A）、夜间≤55dB（A）），东厂界噪声预测结果能够达到《工业企业厂界环境噪声排放标准》（GB12348—2008）中的4类标准（昼间≤70dB（A）、夜间≤55dB（A））。南侧敏感点、西侧敏感点预测值满足《声环境质量标准》2类声环境功能区要求。项目夜间不生产，对周围环境影响不大。</w:t>
            </w:r>
          </w:p>
          <w:p w14:paraId="32CC4B5F">
            <w:pPr>
              <w:jc w:val="center"/>
            </w:pPr>
            <w:r>
              <w:drawing>
                <wp:inline distT="0" distB="0" distL="114300" distR="114300">
                  <wp:extent cx="5938520" cy="4319905"/>
                  <wp:effectExtent l="0" t="0" r="5080" b="444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29"/>
                          <a:stretch>
                            <a:fillRect/>
                          </a:stretch>
                        </pic:blipFill>
                        <pic:spPr>
                          <a:xfrm>
                            <a:off x="0" y="0"/>
                            <a:ext cx="5938520" cy="4319905"/>
                          </a:xfrm>
                          <a:prstGeom prst="rect">
                            <a:avLst/>
                          </a:prstGeom>
                          <a:noFill/>
                          <a:ln>
                            <a:noFill/>
                          </a:ln>
                        </pic:spPr>
                      </pic:pic>
                    </a:graphicData>
                  </a:graphic>
                </wp:inline>
              </w:drawing>
            </w:r>
          </w:p>
          <w:p w14:paraId="62744B75">
            <w:pPr>
              <w:adjustRightInd w:val="0"/>
              <w:snapToGrid w:val="0"/>
              <w:spacing w:line="360" w:lineRule="auto"/>
              <w:ind w:firstLine="480" w:firstLineChars="200"/>
              <w:jc w:val="left"/>
              <w:rPr>
                <w:sz w:val="24"/>
              </w:rPr>
            </w:pPr>
            <w:r>
              <w:rPr>
                <w:sz w:val="24"/>
              </w:rPr>
              <w:t>为进一步减轻项目排放噪声的区域声环境的影响，评价提出以下要求与建议：</w:t>
            </w:r>
          </w:p>
          <w:p w14:paraId="227FC071">
            <w:pPr>
              <w:adjustRightInd w:val="0"/>
              <w:snapToGrid w:val="0"/>
              <w:spacing w:line="360" w:lineRule="auto"/>
              <w:ind w:firstLine="480" w:firstLineChars="200"/>
              <w:jc w:val="left"/>
              <w:rPr>
                <w:sz w:val="24"/>
              </w:rPr>
            </w:pPr>
            <w:r>
              <w:rPr>
                <w:sz w:val="24"/>
              </w:rPr>
              <w:t>（</w:t>
            </w:r>
            <w:r>
              <w:rPr>
                <w:rFonts w:hint="eastAsia"/>
                <w:sz w:val="24"/>
              </w:rPr>
              <w:t>1</w:t>
            </w:r>
            <w:r>
              <w:rPr>
                <w:sz w:val="24"/>
              </w:rPr>
              <w:t>）在高噪声设备选型时，选用满足标准的低噪声设备。</w:t>
            </w:r>
          </w:p>
          <w:p w14:paraId="1A0668F9">
            <w:pPr>
              <w:adjustRightInd w:val="0"/>
              <w:snapToGrid w:val="0"/>
              <w:spacing w:line="360" w:lineRule="auto"/>
              <w:ind w:firstLine="480" w:firstLineChars="200"/>
              <w:jc w:val="left"/>
              <w:rPr>
                <w:sz w:val="24"/>
              </w:rPr>
            </w:pPr>
            <w:r>
              <w:rPr>
                <w:sz w:val="24"/>
              </w:rPr>
              <w:t>（</w:t>
            </w:r>
            <w:r>
              <w:rPr>
                <w:rFonts w:hint="eastAsia"/>
                <w:sz w:val="24"/>
              </w:rPr>
              <w:t>2</w:t>
            </w:r>
            <w:r>
              <w:rPr>
                <w:sz w:val="24"/>
              </w:rPr>
              <w:t>）对在室内运行的高噪声设备，应加装吸声隔声材料，并设置隔声操作室。</w:t>
            </w:r>
          </w:p>
          <w:p w14:paraId="02F5DB99">
            <w:pPr>
              <w:adjustRightInd w:val="0"/>
              <w:snapToGrid w:val="0"/>
              <w:spacing w:line="360" w:lineRule="auto"/>
              <w:ind w:firstLine="480" w:firstLineChars="200"/>
              <w:jc w:val="left"/>
              <w:rPr>
                <w:rFonts w:hint="eastAsia" w:ascii="宋体" w:hAnsi="宋体" w:cs="宋体"/>
                <w:sz w:val="24"/>
              </w:rPr>
            </w:pPr>
            <w:r>
              <w:rPr>
                <w:rFonts w:hint="eastAsia" w:ascii="宋体" w:cs="宋体"/>
                <w:kern w:val="0"/>
                <w:sz w:val="24"/>
              </w:rPr>
              <w:t>（3）尽可能提高工艺自动控制水平，减少工人直接接触高噪声设备时间。</w:t>
            </w:r>
          </w:p>
          <w:p w14:paraId="2CF62678">
            <w:pPr>
              <w:adjustRightInd w:val="0"/>
              <w:snapToGrid w:val="0"/>
              <w:spacing w:line="360" w:lineRule="auto"/>
              <w:ind w:firstLine="480" w:firstLineChars="200"/>
              <w:jc w:val="left"/>
              <w:rPr>
                <w:sz w:val="24"/>
              </w:rPr>
            </w:pPr>
            <w:r>
              <w:rPr>
                <w:sz w:val="24"/>
              </w:rPr>
              <w:t>（</w:t>
            </w:r>
            <w:r>
              <w:rPr>
                <w:rFonts w:hint="eastAsia"/>
                <w:sz w:val="24"/>
              </w:rPr>
              <w:t>4</w:t>
            </w:r>
            <w:r>
              <w:rPr>
                <w:sz w:val="24"/>
              </w:rPr>
              <w:t>）加强管理，降低人为噪声。从管理方面看，可通过加强以下几方面工作，以减少设备噪声对周围声环境的污染。</w:t>
            </w:r>
          </w:p>
          <w:p w14:paraId="7A2E91AD">
            <w:pPr>
              <w:spacing w:line="360" w:lineRule="auto"/>
              <w:ind w:firstLine="480" w:firstLineChars="200"/>
              <w:rPr>
                <w:sz w:val="24"/>
              </w:rPr>
            </w:pPr>
            <w:r>
              <w:rPr>
                <w:rFonts w:hint="eastAsia" w:ascii="宋体" w:hAnsi="宋体" w:cs="宋体"/>
                <w:sz w:val="24"/>
              </w:rPr>
              <w:t>①</w:t>
            </w:r>
            <w:r>
              <w:rPr>
                <w:sz w:val="24"/>
              </w:rPr>
              <w:t>建立设备定期维护、保养的管理制度，以防止设备故障形成的非正常生产噪声。</w:t>
            </w:r>
          </w:p>
          <w:p w14:paraId="679780A6">
            <w:pPr>
              <w:spacing w:line="360" w:lineRule="auto"/>
              <w:ind w:firstLine="480" w:firstLineChars="200"/>
              <w:rPr>
                <w:sz w:val="24"/>
              </w:rPr>
            </w:pPr>
            <w:r>
              <w:rPr>
                <w:rFonts w:hint="eastAsia" w:ascii="宋体" w:hAnsi="宋体" w:cs="宋体"/>
                <w:sz w:val="24"/>
              </w:rPr>
              <w:t>②</w:t>
            </w:r>
            <w:r>
              <w:rPr>
                <w:sz w:val="24"/>
              </w:rPr>
              <w:t>加强职工环保意识教育，提倡文明生产，防止人为噪声。</w:t>
            </w:r>
          </w:p>
          <w:p w14:paraId="3A2F423D">
            <w:pPr>
              <w:spacing w:line="360" w:lineRule="auto"/>
              <w:ind w:firstLine="480" w:firstLineChars="200"/>
              <w:rPr>
                <w:sz w:val="24"/>
              </w:rPr>
            </w:pPr>
            <w:r>
              <w:rPr>
                <w:rFonts w:hint="eastAsia"/>
                <w:sz w:val="24"/>
              </w:rPr>
              <w:t>③对于流动声源（汽车），单独控制声源技术难度较大，可行的措施是强化行驶管理制度。要求驾驶员加强环保意识，尽可能减少鸣笛次数，特别是行驶车辆经过居住点等敏感区域时，应控制车辆行驶速度，减少鸣笛次数，减少交通噪声影响。</w:t>
            </w:r>
          </w:p>
          <w:p w14:paraId="420CE125">
            <w:pPr>
              <w:adjustRightInd w:val="0"/>
              <w:snapToGrid w:val="0"/>
              <w:spacing w:line="360" w:lineRule="auto"/>
              <w:ind w:firstLine="482" w:firstLineChars="200"/>
              <w:rPr>
                <w:b/>
                <w:sz w:val="24"/>
              </w:rPr>
            </w:pPr>
            <w:r>
              <w:rPr>
                <w:rFonts w:hint="eastAsia"/>
                <w:b/>
                <w:sz w:val="24"/>
              </w:rPr>
              <w:t>3、监测要求</w:t>
            </w:r>
          </w:p>
          <w:p w14:paraId="0326311F">
            <w:pPr>
              <w:adjustRightInd w:val="0"/>
              <w:snapToGrid w:val="0"/>
              <w:spacing w:line="360" w:lineRule="auto"/>
              <w:ind w:firstLine="480" w:firstLineChars="200"/>
              <w:rPr>
                <w:rFonts w:hint="eastAsia" w:hAnsi="宋体"/>
                <w:bCs/>
                <w:kern w:val="0"/>
                <w:sz w:val="24"/>
              </w:rPr>
            </w:pPr>
            <w:r>
              <w:rPr>
                <w:rFonts w:hint="eastAsia" w:hAnsi="宋体"/>
                <w:bCs/>
                <w:kern w:val="0"/>
                <w:sz w:val="24"/>
              </w:rPr>
              <w:t>制定本项目废水监测计划如下：</w:t>
            </w:r>
          </w:p>
          <w:p w14:paraId="6B371C38">
            <w:pPr>
              <w:adjustRightInd w:val="0"/>
              <w:snapToGrid w:val="0"/>
              <w:spacing w:before="120" w:beforeLines="50"/>
              <w:jc w:val="center"/>
              <w:rPr>
                <w:b/>
                <w:szCs w:val="21"/>
              </w:rPr>
            </w:pPr>
            <w:r>
              <w:rPr>
                <w:rFonts w:hint="eastAsia"/>
                <w:b/>
                <w:szCs w:val="21"/>
              </w:rPr>
              <w:t>表4-9  污染源环保监测一览表</w:t>
            </w:r>
          </w:p>
          <w:tbl>
            <w:tblPr>
              <w:tblStyle w:val="20"/>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15"/>
              <w:gridCol w:w="2790"/>
              <w:gridCol w:w="2204"/>
              <w:gridCol w:w="2206"/>
            </w:tblGrid>
            <w:tr w14:paraId="4C5FAE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16" w:type="pct"/>
                  <w:vAlign w:val="center"/>
                </w:tcPr>
                <w:p w14:paraId="3C4285C2">
                  <w:pPr>
                    <w:adjustRightInd w:val="0"/>
                    <w:snapToGrid w:val="0"/>
                    <w:jc w:val="center"/>
                    <w:rPr>
                      <w:b/>
                      <w:szCs w:val="21"/>
                    </w:rPr>
                  </w:pPr>
                  <w:r>
                    <w:rPr>
                      <w:b/>
                      <w:szCs w:val="21"/>
                    </w:rPr>
                    <w:t>监测内容</w:t>
                  </w:r>
                </w:p>
              </w:tc>
              <w:tc>
                <w:tcPr>
                  <w:tcW w:w="1582" w:type="pct"/>
                  <w:vAlign w:val="center"/>
                </w:tcPr>
                <w:p w14:paraId="5F124628">
                  <w:pPr>
                    <w:adjustRightInd w:val="0"/>
                    <w:snapToGrid w:val="0"/>
                    <w:jc w:val="center"/>
                    <w:rPr>
                      <w:b/>
                      <w:szCs w:val="21"/>
                    </w:rPr>
                  </w:pPr>
                  <w:r>
                    <w:rPr>
                      <w:b/>
                      <w:szCs w:val="21"/>
                    </w:rPr>
                    <w:t>监测点位</w:t>
                  </w:r>
                </w:p>
              </w:tc>
              <w:tc>
                <w:tcPr>
                  <w:tcW w:w="1250" w:type="pct"/>
                  <w:vAlign w:val="center"/>
                </w:tcPr>
                <w:p w14:paraId="5B1A4ED6">
                  <w:pPr>
                    <w:adjustRightInd w:val="0"/>
                    <w:snapToGrid w:val="0"/>
                    <w:jc w:val="center"/>
                    <w:rPr>
                      <w:b/>
                      <w:szCs w:val="21"/>
                    </w:rPr>
                  </w:pPr>
                  <w:r>
                    <w:rPr>
                      <w:b/>
                      <w:szCs w:val="21"/>
                    </w:rPr>
                    <w:t>监测因子</w:t>
                  </w:r>
                </w:p>
              </w:tc>
              <w:tc>
                <w:tcPr>
                  <w:tcW w:w="1251" w:type="pct"/>
                  <w:vAlign w:val="center"/>
                </w:tcPr>
                <w:p w14:paraId="1B4F4D93">
                  <w:pPr>
                    <w:adjustRightInd w:val="0"/>
                    <w:snapToGrid w:val="0"/>
                    <w:jc w:val="center"/>
                    <w:rPr>
                      <w:b/>
                      <w:szCs w:val="21"/>
                    </w:rPr>
                  </w:pPr>
                  <w:r>
                    <w:rPr>
                      <w:b/>
                      <w:szCs w:val="21"/>
                    </w:rPr>
                    <w:t>监测频次</w:t>
                  </w:r>
                </w:p>
              </w:tc>
            </w:tr>
            <w:tr w14:paraId="773A988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16" w:type="pct"/>
                  <w:vAlign w:val="center"/>
                </w:tcPr>
                <w:p w14:paraId="0DA73A5F">
                  <w:pPr>
                    <w:adjustRightInd w:val="0"/>
                    <w:snapToGrid w:val="0"/>
                    <w:jc w:val="center"/>
                    <w:rPr>
                      <w:szCs w:val="21"/>
                    </w:rPr>
                  </w:pPr>
                  <w:r>
                    <w:rPr>
                      <w:szCs w:val="21"/>
                    </w:rPr>
                    <w:t>噪声</w:t>
                  </w:r>
                </w:p>
              </w:tc>
              <w:tc>
                <w:tcPr>
                  <w:tcW w:w="1582" w:type="pct"/>
                  <w:vAlign w:val="center"/>
                </w:tcPr>
                <w:p w14:paraId="63770BF3">
                  <w:pPr>
                    <w:adjustRightInd w:val="0"/>
                    <w:snapToGrid w:val="0"/>
                    <w:jc w:val="center"/>
                    <w:rPr>
                      <w:szCs w:val="21"/>
                    </w:rPr>
                  </w:pPr>
                  <w:r>
                    <w:rPr>
                      <w:szCs w:val="21"/>
                    </w:rPr>
                    <w:t>东、南、西、北厂界外</w:t>
                  </w:r>
                  <w:r>
                    <w:rPr>
                      <w:rFonts w:hint="eastAsia"/>
                      <w:szCs w:val="21"/>
                    </w:rPr>
                    <w:t>1m</w:t>
                  </w:r>
                </w:p>
              </w:tc>
              <w:tc>
                <w:tcPr>
                  <w:tcW w:w="1250" w:type="pct"/>
                  <w:vAlign w:val="center"/>
                </w:tcPr>
                <w:p w14:paraId="69126761">
                  <w:pPr>
                    <w:adjustRightInd w:val="0"/>
                    <w:snapToGrid w:val="0"/>
                    <w:jc w:val="center"/>
                    <w:rPr>
                      <w:szCs w:val="21"/>
                    </w:rPr>
                  </w:pPr>
                  <w:r>
                    <w:rPr>
                      <w:szCs w:val="21"/>
                    </w:rPr>
                    <w:t>昼夜间等效连续</w:t>
                  </w:r>
                  <w:r>
                    <w:rPr>
                      <w:rFonts w:hint="eastAsia"/>
                      <w:szCs w:val="21"/>
                    </w:rPr>
                    <w:t>A声级</w:t>
                  </w:r>
                </w:p>
              </w:tc>
              <w:tc>
                <w:tcPr>
                  <w:tcW w:w="1251" w:type="pct"/>
                  <w:vAlign w:val="center"/>
                </w:tcPr>
                <w:p w14:paraId="0214E8FB">
                  <w:pPr>
                    <w:adjustRightInd w:val="0"/>
                    <w:snapToGrid w:val="0"/>
                    <w:jc w:val="center"/>
                    <w:rPr>
                      <w:szCs w:val="21"/>
                    </w:rPr>
                  </w:pPr>
                  <w:r>
                    <w:rPr>
                      <w:szCs w:val="21"/>
                    </w:rPr>
                    <w:t>每季度</w:t>
                  </w:r>
                  <w:r>
                    <w:rPr>
                      <w:rFonts w:hint="eastAsia"/>
                      <w:szCs w:val="21"/>
                    </w:rPr>
                    <w:t>1次</w:t>
                  </w:r>
                </w:p>
              </w:tc>
            </w:tr>
          </w:tbl>
          <w:p w14:paraId="1DF99D54">
            <w:pPr>
              <w:numPr>
                <w:ilvl w:val="0"/>
                <w:numId w:val="6"/>
              </w:numPr>
              <w:adjustRightInd w:val="0"/>
              <w:snapToGrid w:val="0"/>
              <w:spacing w:line="360" w:lineRule="auto"/>
              <w:ind w:firstLine="482" w:firstLineChars="200"/>
              <w:rPr>
                <w:b/>
                <w:sz w:val="24"/>
              </w:rPr>
            </w:pPr>
            <w:r>
              <w:rPr>
                <w:rFonts w:hint="eastAsia"/>
                <w:b/>
                <w:sz w:val="24"/>
              </w:rPr>
              <w:t>小结</w:t>
            </w:r>
          </w:p>
          <w:p w14:paraId="0C1571DE">
            <w:pPr>
              <w:tabs>
                <w:tab w:val="left" w:pos="8580"/>
              </w:tabs>
              <w:adjustRightInd w:val="0"/>
              <w:snapToGrid w:val="0"/>
              <w:spacing w:line="360" w:lineRule="auto"/>
              <w:ind w:firstLine="480" w:firstLineChars="200"/>
              <w:rPr>
                <w:sz w:val="24"/>
              </w:rPr>
            </w:pPr>
            <w:r>
              <w:rPr>
                <w:rFonts w:hint="eastAsia"/>
                <w:sz w:val="24"/>
              </w:rPr>
              <w:t>根据噪声预测结果，项目采取相关措施后，</w:t>
            </w:r>
            <w:r>
              <w:rPr>
                <w:rFonts w:hint="eastAsia"/>
                <w:bCs/>
                <w:spacing w:val="-10"/>
                <w:sz w:val="24"/>
              </w:rPr>
              <w:t>本项目改扩建后南、西、北厂界噪声预测结果能够达到《工业企业厂界环境噪声排放标准》（GB12348—2008）中的3类标准（昼间≤65dB（A）、夜间≤55dB（A）），东厂界噪声预测结果能够达到《工业企业厂界环境噪声排放标准》（GB12348—2008）中的4类标准（昼间≤70dB（A）、夜间≤55dB（A））。南侧敏感点、西侧敏感点预测值满足《声环境质量标准》2类声环境功能区要求。</w:t>
            </w:r>
            <w:r>
              <w:rPr>
                <w:rFonts w:hint="eastAsia"/>
                <w:sz w:val="24"/>
              </w:rPr>
              <w:t>项目的运营不会降低区域声环境功能级别，对环境影响较小。</w:t>
            </w:r>
          </w:p>
          <w:p w14:paraId="2DBDF6AA">
            <w:pPr>
              <w:tabs>
                <w:tab w:val="left" w:pos="8580"/>
              </w:tabs>
              <w:adjustRightInd w:val="0"/>
              <w:snapToGrid w:val="0"/>
              <w:spacing w:line="360" w:lineRule="auto"/>
              <w:ind w:firstLine="482" w:firstLineChars="200"/>
              <w:rPr>
                <w:b/>
                <w:sz w:val="24"/>
              </w:rPr>
            </w:pPr>
            <w:r>
              <w:rPr>
                <w:rFonts w:hint="eastAsia"/>
                <w:b/>
                <w:sz w:val="24"/>
              </w:rPr>
              <w:t>四、固体废物</w:t>
            </w:r>
          </w:p>
          <w:p w14:paraId="6BACA741">
            <w:pPr>
              <w:tabs>
                <w:tab w:val="left" w:pos="8580"/>
              </w:tabs>
              <w:adjustRightInd w:val="0"/>
              <w:snapToGrid w:val="0"/>
              <w:spacing w:line="360" w:lineRule="auto"/>
              <w:ind w:firstLine="482" w:firstLineChars="200"/>
              <w:rPr>
                <w:b/>
                <w:sz w:val="24"/>
              </w:rPr>
            </w:pPr>
            <w:r>
              <w:rPr>
                <w:b/>
                <w:sz w:val="24"/>
              </w:rPr>
              <w:t>1</w:t>
            </w:r>
            <w:r>
              <w:rPr>
                <w:rFonts w:hint="eastAsia"/>
                <w:b/>
                <w:sz w:val="24"/>
              </w:rPr>
              <w:t>、源强</w:t>
            </w:r>
          </w:p>
          <w:p w14:paraId="59995E19">
            <w:pPr>
              <w:pStyle w:val="31"/>
              <w:ind w:firstLine="480"/>
              <w:rPr>
                <w:color w:val="000000" w:themeColor="text1"/>
                <w:u w:val="none"/>
                <w14:textFill>
                  <w14:solidFill>
                    <w14:schemeClr w14:val="tx1"/>
                  </w14:solidFill>
                </w14:textFill>
              </w:rPr>
            </w:pPr>
            <w:r>
              <w:rPr>
                <w:rFonts w:hint="eastAsia"/>
                <w:color w:val="000000" w:themeColor="text1"/>
                <w14:textFill>
                  <w14:solidFill>
                    <w14:schemeClr w14:val="tx1"/>
                  </w14:solidFill>
                </w14:textFill>
              </w:rPr>
              <w:t>项目固废主要为废包装材料、生物质锅炉灰渣、布袋除尘器集尘灰、污水处理系统滤渣和</w:t>
            </w:r>
            <w:r>
              <w:rPr>
                <w:rFonts w:hint="eastAsia"/>
                <w:color w:val="000000" w:themeColor="text1"/>
                <w:u w:val="none"/>
                <w14:textFill>
                  <w14:solidFill>
                    <w14:schemeClr w14:val="tx1"/>
                  </w14:solidFill>
                </w14:textFill>
              </w:rPr>
              <w:t>污泥</w:t>
            </w:r>
            <w:r>
              <w:rPr>
                <w:rFonts w:hint="eastAsia"/>
                <w:color w:val="auto"/>
                <w:u w:val="none"/>
              </w:rPr>
              <w:t>、</w:t>
            </w:r>
            <w:r>
              <w:rPr>
                <w:rFonts w:hint="eastAsia" w:ascii="Times New Roman" w:hAnsi="Times New Roman"/>
                <w:color w:val="auto"/>
                <w:sz w:val="24"/>
                <w:szCs w:val="24"/>
                <w:u w:val="none"/>
              </w:rPr>
              <w:t>医疗布草</w:t>
            </w:r>
            <w:r>
              <w:rPr>
                <w:rFonts w:hint="eastAsia" w:ascii="Times New Roman" w:hAnsi="Times New Roman"/>
                <w:color w:val="auto"/>
                <w:sz w:val="24"/>
                <w:szCs w:val="24"/>
                <w:u w:val="none"/>
                <w:lang w:eastAsia="zh-CN"/>
              </w:rPr>
              <w:t>分拣废物、</w:t>
            </w:r>
            <w:r>
              <w:rPr>
                <w:rFonts w:hint="eastAsia"/>
                <w:color w:val="auto"/>
                <w:u w:val="none"/>
              </w:rPr>
              <w:t>员工生活垃圾。</w:t>
            </w:r>
          </w:p>
          <w:p w14:paraId="6BBBDE17">
            <w:pPr>
              <w:spacing w:line="360" w:lineRule="auto"/>
              <w:ind w:firstLine="480" w:firstLineChars="200"/>
              <w:rPr>
                <w:color w:val="000000"/>
                <w:sz w:val="24"/>
              </w:rPr>
            </w:pPr>
            <w:r>
              <w:rPr>
                <w:rFonts w:hint="eastAsia"/>
                <w:color w:val="000000"/>
                <w:sz w:val="24"/>
              </w:rPr>
              <w:t>（1）生活垃圾</w:t>
            </w:r>
          </w:p>
          <w:p w14:paraId="2143FF9C">
            <w:pPr>
              <w:spacing w:line="360" w:lineRule="auto"/>
              <w:ind w:firstLine="480" w:firstLineChars="200"/>
              <w:rPr>
                <w:sz w:val="24"/>
              </w:rPr>
            </w:pPr>
            <w:r>
              <w:rPr>
                <w:rFonts w:hint="eastAsia"/>
                <w:sz w:val="24"/>
              </w:rPr>
              <w:t>本改扩建项目新增员工50人，20人在厂内住宿，食宿员工生活垃圾产生量以10kg/d·人计，非食宿员工生活垃圾产生量以0.5kg/d·人计，年工作360天，则员工年生活垃圾产生量为12.6t。生活垃圾经收集后委托当地环卫部门清运处理。</w:t>
            </w:r>
          </w:p>
          <w:p w14:paraId="48B1C2D6">
            <w:pPr>
              <w:spacing w:line="360" w:lineRule="auto"/>
              <w:ind w:firstLine="480" w:firstLineChars="200"/>
              <w:rPr>
                <w:sz w:val="24"/>
              </w:rPr>
            </w:pPr>
            <w:r>
              <w:rPr>
                <w:rFonts w:hint="eastAsia"/>
                <w:sz w:val="24"/>
              </w:rPr>
              <w:t>（2）废原辅材料包装桶（袋）</w:t>
            </w:r>
          </w:p>
          <w:p w14:paraId="668C6A4D">
            <w:pPr>
              <w:spacing w:line="360" w:lineRule="auto"/>
              <w:ind w:firstLine="480" w:firstLineChars="200"/>
              <w:rPr>
                <w:sz w:val="24"/>
              </w:rPr>
            </w:pPr>
            <w:r>
              <w:rPr>
                <w:rFonts w:hint="eastAsia"/>
                <w:sz w:val="24"/>
              </w:rPr>
              <w:t>项目使用的洗涤剂为桶装和袋装，使用后会产生空桶和空包装袋，空桶重约1kg/个，空包装袋约重0.001kg/个，废包装桶总产生量约0.5t/a，废包装袋总产生量约0.1t/a。废包装桶（袋）暂存于一般</w:t>
            </w:r>
            <w:r>
              <w:rPr>
                <w:rFonts w:hint="eastAsia"/>
                <w:color w:val="auto"/>
                <w:sz w:val="24"/>
              </w:rPr>
              <w:t>固废暂存区，交由外售综合利用，根据</w:t>
            </w:r>
            <w:r>
              <w:rPr>
                <w:rFonts w:hint="eastAsia"/>
                <w:color w:val="auto"/>
                <w:sz w:val="24"/>
                <w:lang w:eastAsia="zh-CN"/>
              </w:rPr>
              <w:t>《固体废物分类与代码目录》</w:t>
            </w:r>
            <w:r>
              <w:rPr>
                <w:rFonts w:hint="eastAsia"/>
                <w:color w:val="auto"/>
                <w:sz w:val="24"/>
              </w:rPr>
              <w:t>，废包装桶（袋）代码为</w:t>
            </w:r>
            <w:r>
              <w:rPr>
                <w:rFonts w:hint="eastAsia"/>
                <w:color w:val="auto"/>
                <w:sz w:val="24"/>
                <w:lang w:eastAsia="zh-CN"/>
              </w:rPr>
              <w:t>900-003-S17</w:t>
            </w:r>
            <w:r>
              <w:rPr>
                <w:rFonts w:hint="eastAsia"/>
                <w:color w:val="auto"/>
                <w:sz w:val="24"/>
              </w:rPr>
              <w:t xml:space="preserve">。 </w:t>
            </w:r>
          </w:p>
          <w:p w14:paraId="33D6EEA7">
            <w:pPr>
              <w:spacing w:line="360" w:lineRule="auto"/>
              <w:ind w:firstLine="480" w:firstLineChars="200"/>
              <w:rPr>
                <w:color w:val="000000"/>
                <w:sz w:val="24"/>
              </w:rPr>
            </w:pPr>
            <w:r>
              <w:rPr>
                <w:rFonts w:hint="eastAsia"/>
                <w:color w:val="000000"/>
                <w:sz w:val="24"/>
              </w:rPr>
              <w:t>（3）锅炉炉渣及</w:t>
            </w:r>
            <w:r>
              <w:rPr>
                <w:rFonts w:hint="eastAsia"/>
                <w:color w:val="000000" w:themeColor="text1"/>
                <w:sz w:val="24"/>
                <w14:textFill>
                  <w14:solidFill>
                    <w14:schemeClr w14:val="tx1"/>
                  </w14:solidFill>
                </w14:textFill>
              </w:rPr>
              <w:t>布袋除尘器集尘灰</w:t>
            </w:r>
          </w:p>
          <w:p w14:paraId="578E5EF9">
            <w:pPr>
              <w:spacing w:line="360" w:lineRule="auto"/>
              <w:ind w:firstLine="480" w:firstLineChars="200"/>
              <w:rPr>
                <w:color w:val="000000"/>
                <w:sz w:val="24"/>
              </w:rPr>
            </w:pPr>
            <w:r>
              <w:rPr>
                <w:rFonts w:hint="eastAsia"/>
                <w:color w:val="000000"/>
                <w:sz w:val="24"/>
              </w:rPr>
              <w:t>项目备用锅炉为生物质锅炉，以生物质成型燃料为燃料，燃烧产生少量灰渣。本项目灰渣包括锅炉沉积的炉灰和烟气中混合的烟灰。</w:t>
            </w:r>
          </w:p>
          <w:p w14:paraId="0BDE5C4A">
            <w:pPr>
              <w:widowControl/>
              <w:spacing w:line="360" w:lineRule="auto"/>
              <w:ind w:firstLine="480" w:firstLineChars="200"/>
              <w:jc w:val="left"/>
              <w:rPr>
                <w:color w:val="000000"/>
                <w:sz w:val="24"/>
              </w:rPr>
            </w:pPr>
            <w:r>
              <w:rPr>
                <w:rFonts w:hint="eastAsia"/>
                <w:color w:val="000000"/>
                <w:kern w:val="0"/>
                <w:sz w:val="24"/>
                <w:lang w:bidi="ar"/>
              </w:rPr>
              <w:t xml:space="preserve">①炉灰 </w:t>
            </w:r>
          </w:p>
          <w:p w14:paraId="6C873096">
            <w:pPr>
              <w:spacing w:line="360" w:lineRule="auto"/>
              <w:ind w:firstLine="480" w:firstLineChars="200"/>
              <w:rPr>
                <w:color w:val="000000"/>
                <w:sz w:val="24"/>
              </w:rPr>
            </w:pPr>
            <w:r>
              <w:rPr>
                <w:rFonts w:hint="eastAsia"/>
                <w:color w:val="000000"/>
                <w:sz w:val="24"/>
              </w:rPr>
              <w:t>项目锅炉使用外购的生物质成型燃料作为燃料，燃烧后将产生一定的灰渣，类比秸秆的灰分含量，本项目锅炉灰渣量按燃料燃烧量的5%计，项目锅炉燃料燃烧量2200t/a，则项目锅炉灰渣的产生量为110t/a。</w:t>
            </w:r>
          </w:p>
          <w:p w14:paraId="195FE30E">
            <w:pPr>
              <w:spacing w:line="360" w:lineRule="auto"/>
              <w:ind w:firstLine="480" w:firstLineChars="200"/>
              <w:rPr>
                <w:color w:val="000000"/>
                <w:sz w:val="24"/>
              </w:rPr>
            </w:pPr>
            <w:r>
              <w:rPr>
                <w:rFonts w:hint="eastAsia"/>
                <w:color w:val="000000"/>
                <w:sz w:val="24"/>
              </w:rPr>
              <w:t xml:space="preserve">②烟灰 </w:t>
            </w:r>
          </w:p>
          <w:p w14:paraId="0E964D9B">
            <w:pPr>
              <w:spacing w:line="360" w:lineRule="auto"/>
              <w:ind w:firstLine="480" w:firstLineChars="200"/>
              <w:rPr>
                <w:color w:val="000000"/>
                <w:sz w:val="24"/>
              </w:rPr>
            </w:pPr>
            <w:r>
              <w:rPr>
                <w:rFonts w:hint="eastAsia"/>
                <w:color w:val="000000"/>
                <w:sz w:val="24"/>
              </w:rPr>
              <w:t>根据工程分析，锅炉布袋除尘收集烟灰为悬浮灰渣，锅炉烟尘产生量为1.10t/a，布袋除尘除尘效率为99%，则布袋除尘收集的烟灰量约为</w:t>
            </w:r>
            <w:r>
              <w:rPr>
                <w:rFonts w:hint="eastAsia"/>
                <w:color w:val="000000"/>
                <w:kern w:val="0"/>
                <w:sz w:val="24"/>
                <w:lang w:bidi="ar"/>
              </w:rPr>
              <w:t xml:space="preserve">1.089t/a。 </w:t>
            </w:r>
          </w:p>
          <w:p w14:paraId="372BEBA8">
            <w:pPr>
              <w:spacing w:line="360" w:lineRule="auto"/>
              <w:ind w:firstLine="480" w:firstLineChars="200"/>
              <w:rPr>
                <w:sz w:val="24"/>
              </w:rPr>
            </w:pPr>
            <w:r>
              <w:rPr>
                <w:rFonts w:hint="eastAsia"/>
                <w:color w:val="000000"/>
                <w:kern w:val="0"/>
                <w:sz w:val="24"/>
                <w:lang w:bidi="ar"/>
              </w:rPr>
              <w:t>综上，项目</w:t>
            </w:r>
            <w:r>
              <w:rPr>
                <w:rFonts w:hint="eastAsia"/>
                <w:color w:val="000000"/>
                <w:sz w:val="24"/>
              </w:rPr>
              <w:t>锅炉炉渣</w:t>
            </w:r>
            <w:r>
              <w:rPr>
                <w:rFonts w:hint="eastAsia"/>
                <w:color w:val="000000"/>
                <w:kern w:val="0"/>
                <w:sz w:val="24"/>
                <w:lang w:bidi="ar"/>
              </w:rPr>
              <w:t>总量为</w:t>
            </w:r>
            <w:r>
              <w:rPr>
                <w:rFonts w:hint="eastAsia"/>
                <w:color w:val="000000"/>
                <w:sz w:val="24"/>
              </w:rPr>
              <w:t>110t/a</w:t>
            </w:r>
            <w:r>
              <w:rPr>
                <w:rFonts w:hint="eastAsia"/>
                <w:color w:val="000000"/>
                <w:kern w:val="0"/>
                <w:sz w:val="24"/>
                <w:lang w:bidi="ar"/>
              </w:rPr>
              <w:t>。</w:t>
            </w:r>
            <w:r>
              <w:rPr>
                <w:rFonts w:hint="eastAsia"/>
                <w:color w:val="000000"/>
                <w:sz w:val="24"/>
              </w:rPr>
              <w:t>炉渣</w:t>
            </w:r>
            <w:r>
              <w:rPr>
                <w:rFonts w:hint="eastAsia"/>
                <w:color w:val="000000"/>
                <w:kern w:val="0"/>
                <w:sz w:val="24"/>
                <w:lang w:bidi="ar"/>
              </w:rPr>
              <w:t>成分来源于燃料中的无机元素，主要包括Si、Ca、K等无机元素。</w:t>
            </w:r>
            <w:r>
              <w:rPr>
                <w:rFonts w:hint="eastAsia"/>
                <w:color w:val="000000"/>
                <w:sz w:val="24"/>
              </w:rPr>
              <w:t>炉渣</w:t>
            </w:r>
            <w:r>
              <w:rPr>
                <w:rFonts w:hint="eastAsia"/>
                <w:color w:val="000000"/>
                <w:kern w:val="0"/>
                <w:sz w:val="24"/>
                <w:lang w:bidi="ar"/>
              </w:rPr>
              <w:t>由有处理能力单位处理。该措施符合《排污许可证申请与核发技术规范 锅炉》（HJ1032—2019） “6.4 固体废物管理要求”综合利用或外运作为农肥。经查阅《</w:t>
            </w:r>
            <w:r>
              <w:rPr>
                <w:rFonts w:hint="eastAsia"/>
                <w:kern w:val="0"/>
                <w:sz w:val="24"/>
                <w:lang w:bidi="ar"/>
              </w:rPr>
              <w:t>国家危险废物名录》（2021 版），该锅炉灰渣不属于危险废物，为一般工业固体废物。根据</w:t>
            </w:r>
            <w:r>
              <w:rPr>
                <w:rFonts w:hint="eastAsia"/>
                <w:kern w:val="0"/>
                <w:sz w:val="24"/>
                <w:lang w:eastAsia="zh-CN" w:bidi="ar"/>
              </w:rPr>
              <w:t>《固体废物分类与代码目录》</w:t>
            </w:r>
            <w:r>
              <w:rPr>
                <w:rFonts w:hint="eastAsia"/>
                <w:kern w:val="0"/>
                <w:sz w:val="24"/>
                <w:lang w:bidi="ar"/>
              </w:rPr>
              <w:t>，该固体废物代码为</w:t>
            </w:r>
            <w:r>
              <w:rPr>
                <w:rFonts w:hint="eastAsia"/>
                <w:kern w:val="0"/>
                <w:sz w:val="24"/>
                <w:lang w:eastAsia="zh-CN" w:bidi="ar"/>
              </w:rPr>
              <w:t>900-099-S59</w:t>
            </w:r>
            <w:r>
              <w:rPr>
                <w:rFonts w:hint="eastAsia"/>
                <w:kern w:val="0"/>
                <w:sz w:val="24"/>
                <w:lang w:bidi="ar"/>
              </w:rPr>
              <w:t>。</w:t>
            </w:r>
          </w:p>
          <w:p w14:paraId="2AFC5649">
            <w:pPr>
              <w:spacing w:line="360" w:lineRule="auto"/>
              <w:ind w:firstLine="480" w:firstLineChars="200"/>
              <w:rPr>
                <w:color w:val="auto"/>
                <w:sz w:val="24"/>
              </w:rPr>
            </w:pPr>
            <w:r>
              <w:rPr>
                <w:rFonts w:hint="eastAsia"/>
                <w:color w:val="auto"/>
                <w:sz w:val="24"/>
              </w:rPr>
              <w:t>（4）废离子交换树脂</w:t>
            </w:r>
          </w:p>
          <w:p w14:paraId="2D870896">
            <w:pPr>
              <w:spacing w:line="360" w:lineRule="auto"/>
              <w:ind w:firstLine="480" w:firstLineChars="200"/>
              <w:rPr>
                <w:color w:val="auto"/>
                <w:sz w:val="24"/>
              </w:rPr>
            </w:pPr>
            <w:r>
              <w:rPr>
                <w:rFonts w:hint="eastAsia"/>
                <w:color w:val="auto"/>
                <w:sz w:val="24"/>
              </w:rPr>
              <w:t>锅炉软水处理过程中使用到离子交换法软水制备工艺，对树脂进行定期再生。树脂2年更换一次，产生量约为0.3t/a，树脂更换需由厂家上门更换，更换后的废离子交换树脂由原厂家直接回收处理，不在厂内储存，根据</w:t>
            </w:r>
            <w:r>
              <w:rPr>
                <w:rFonts w:hint="eastAsia"/>
                <w:color w:val="auto"/>
                <w:sz w:val="24"/>
                <w:lang w:eastAsia="zh-CN"/>
              </w:rPr>
              <w:t>《固体废物分类与代码目录》</w:t>
            </w:r>
            <w:r>
              <w:rPr>
                <w:rFonts w:hint="eastAsia"/>
                <w:color w:val="auto"/>
                <w:sz w:val="24"/>
              </w:rPr>
              <w:t>，废离子交换树脂代码为</w:t>
            </w:r>
            <w:r>
              <w:rPr>
                <w:rFonts w:hint="eastAsia"/>
                <w:color w:val="auto"/>
                <w:sz w:val="24"/>
                <w:lang w:eastAsia="zh-CN"/>
              </w:rPr>
              <w:t>900-008-S59</w:t>
            </w:r>
            <w:r>
              <w:rPr>
                <w:rFonts w:hint="eastAsia"/>
                <w:color w:val="auto"/>
                <w:sz w:val="24"/>
              </w:rPr>
              <w:t xml:space="preserve">。 </w:t>
            </w:r>
          </w:p>
          <w:p w14:paraId="491B1620">
            <w:pPr>
              <w:spacing w:line="360" w:lineRule="auto"/>
              <w:ind w:firstLine="480" w:firstLineChars="200"/>
              <w:rPr>
                <w:sz w:val="24"/>
              </w:rPr>
            </w:pPr>
            <w:r>
              <w:rPr>
                <w:rFonts w:hint="eastAsia"/>
                <w:sz w:val="24"/>
              </w:rPr>
              <w:t>（</w:t>
            </w:r>
            <w:r>
              <w:rPr>
                <w:rFonts w:hint="eastAsia"/>
                <w:sz w:val="24"/>
                <w:lang w:val="en-US" w:eastAsia="zh-CN"/>
              </w:rPr>
              <w:t>5</w:t>
            </w:r>
            <w:r>
              <w:rPr>
                <w:rFonts w:hint="eastAsia"/>
                <w:sz w:val="24"/>
              </w:rPr>
              <w:t>）</w:t>
            </w:r>
            <w:r>
              <w:rPr>
                <w:rFonts w:hint="eastAsia" w:ascii="Times New Roman" w:hAnsi="Times New Roman"/>
                <w:color w:val="auto"/>
                <w:sz w:val="24"/>
                <w:szCs w:val="24"/>
                <w:u w:val="none"/>
              </w:rPr>
              <w:t>医疗布草</w:t>
            </w:r>
            <w:r>
              <w:rPr>
                <w:rFonts w:hint="eastAsia" w:ascii="Times New Roman" w:hAnsi="Times New Roman"/>
                <w:color w:val="auto"/>
                <w:sz w:val="24"/>
                <w:szCs w:val="24"/>
                <w:u w:val="none"/>
                <w:lang w:eastAsia="zh-CN"/>
              </w:rPr>
              <w:t>分拣废物</w:t>
            </w:r>
          </w:p>
          <w:p w14:paraId="3491B57D">
            <w:pPr>
              <w:spacing w:line="360" w:lineRule="auto"/>
              <w:ind w:firstLine="480" w:firstLineChars="200"/>
              <w:rPr>
                <w:rFonts w:hint="eastAsia"/>
                <w:sz w:val="24"/>
              </w:rPr>
            </w:pPr>
            <w:r>
              <w:rPr>
                <w:rFonts w:hint="eastAsia"/>
                <w:sz w:val="24"/>
              </w:rPr>
              <w:t>医疗布草中分拣工序产生的医疗手套等医疗固废产生量约0.</w:t>
            </w:r>
            <w:r>
              <w:rPr>
                <w:rFonts w:hint="eastAsia"/>
                <w:sz w:val="24"/>
                <w:lang w:val="en-US" w:eastAsia="zh-CN"/>
              </w:rPr>
              <w:t>2</w:t>
            </w:r>
            <w:r>
              <w:rPr>
                <w:rFonts w:hint="eastAsia"/>
                <w:sz w:val="24"/>
              </w:rPr>
              <w:t>t/a，与医院方协议，收集暂存后每次接收脏布草时一并归还给医院方，由医院方交给有资质单位处置；</w:t>
            </w:r>
          </w:p>
          <w:p w14:paraId="5AECACA2">
            <w:pPr>
              <w:numPr>
                <w:ilvl w:val="0"/>
                <w:numId w:val="7"/>
              </w:numPr>
              <w:spacing w:line="360" w:lineRule="auto"/>
              <w:ind w:firstLine="480" w:firstLineChars="200"/>
              <w:rPr>
                <w:rFonts w:hint="eastAsia" w:ascii="Times New Roman" w:hAnsi="Times New Roman"/>
                <w:color w:val="auto"/>
                <w:sz w:val="24"/>
                <w:szCs w:val="24"/>
                <w:u w:val="single"/>
                <w:lang w:eastAsia="zh-CN"/>
              </w:rPr>
            </w:pPr>
            <w:r>
              <w:rPr>
                <w:rFonts w:hint="eastAsia" w:ascii="Times New Roman" w:hAnsi="Times New Roman"/>
                <w:color w:val="auto"/>
                <w:sz w:val="24"/>
                <w:szCs w:val="24"/>
                <w:u w:val="single"/>
                <w:lang w:eastAsia="zh-CN"/>
              </w:rPr>
              <w:t>烘干纤维尘</w:t>
            </w:r>
          </w:p>
          <w:p w14:paraId="437DE6DB">
            <w:pPr>
              <w:spacing w:line="360" w:lineRule="auto"/>
              <w:ind w:firstLine="480" w:firstLineChars="200"/>
              <w:rPr>
                <w:rFonts w:hint="eastAsia" w:ascii="Times New Roman" w:hAnsi="Times New Roman" w:cs="Times New Roman"/>
                <w:sz w:val="24"/>
                <w:u w:val="single"/>
              </w:rPr>
            </w:pPr>
            <w:r>
              <w:rPr>
                <w:rFonts w:hint="eastAsia" w:ascii="Times New Roman" w:hAnsi="Times New Roman" w:cs="Times New Roman"/>
                <w:sz w:val="24"/>
                <w:u w:val="single"/>
                <w:lang w:val="en-US" w:eastAsia="zh-CN"/>
              </w:rPr>
              <w:t>项目布草烘干工序会有部分毛絮产生，通过升级后设备底部自带的毛絮收集设施进行收集，每2h清理一次，根据建设单位提供资料，项目毛絮产生量0.01kg/100kg布草，根据核算，烘干工序主要是对毛巾进行烘干，布草中毛巾占比约为28%，核算得到毛絮产生量约为0.0672t/a。收集后与生活垃圾一并暂存，定期交环卫部门清运。</w:t>
            </w:r>
            <w:r>
              <w:rPr>
                <w:rFonts w:hint="eastAsia" w:ascii="Times New Roman" w:hAnsi="Times New Roman" w:cs="Times New Roman"/>
                <w:sz w:val="24"/>
                <w:u w:val="single"/>
              </w:rPr>
              <w:t>根据</w:t>
            </w:r>
            <w:r>
              <w:rPr>
                <w:rFonts w:hint="eastAsia" w:ascii="Times New Roman" w:hAnsi="Times New Roman" w:cs="Times New Roman"/>
                <w:sz w:val="24"/>
                <w:u w:val="single"/>
                <w:lang w:eastAsia="zh-CN"/>
              </w:rPr>
              <w:t>《固体废物分类与代码目录》</w:t>
            </w:r>
            <w:r>
              <w:rPr>
                <w:rFonts w:hint="eastAsia" w:ascii="Times New Roman" w:hAnsi="Times New Roman" w:cs="Times New Roman"/>
                <w:sz w:val="24"/>
                <w:u w:val="single"/>
              </w:rPr>
              <w:t>，</w:t>
            </w:r>
            <w:r>
              <w:rPr>
                <w:rFonts w:hint="eastAsia" w:ascii="Times New Roman" w:hAnsi="Times New Roman" w:cs="Times New Roman"/>
                <w:sz w:val="24"/>
                <w:u w:val="single"/>
                <w:lang w:eastAsia="zh-CN"/>
              </w:rPr>
              <w:t>烘干纤维尘</w:t>
            </w:r>
            <w:r>
              <w:rPr>
                <w:rFonts w:hint="eastAsia" w:ascii="Times New Roman" w:hAnsi="Times New Roman" w:cs="Times New Roman"/>
                <w:sz w:val="24"/>
                <w:u w:val="single"/>
              </w:rPr>
              <w:t>代码为900-0</w:t>
            </w:r>
            <w:r>
              <w:rPr>
                <w:rFonts w:hint="eastAsia" w:ascii="Times New Roman" w:hAnsi="Times New Roman" w:cs="Times New Roman"/>
                <w:sz w:val="24"/>
                <w:u w:val="single"/>
                <w:lang w:val="en-US" w:eastAsia="zh-CN"/>
              </w:rPr>
              <w:t>99</w:t>
            </w:r>
            <w:r>
              <w:rPr>
                <w:rFonts w:hint="eastAsia" w:ascii="Times New Roman" w:hAnsi="Times New Roman" w:cs="Times New Roman"/>
                <w:sz w:val="24"/>
                <w:u w:val="single"/>
              </w:rPr>
              <w:t>-</w:t>
            </w:r>
            <w:r>
              <w:rPr>
                <w:rFonts w:hint="eastAsia" w:ascii="Times New Roman" w:hAnsi="Times New Roman" w:cs="Times New Roman"/>
                <w:sz w:val="24"/>
                <w:u w:val="single"/>
                <w:lang w:val="en-US" w:eastAsia="zh-CN"/>
              </w:rPr>
              <w:t>S59</w:t>
            </w:r>
            <w:r>
              <w:rPr>
                <w:rFonts w:hint="eastAsia" w:ascii="Times New Roman" w:hAnsi="Times New Roman" w:cs="Times New Roman"/>
                <w:sz w:val="24"/>
                <w:u w:val="single"/>
              </w:rPr>
              <w:t xml:space="preserve">。 </w:t>
            </w:r>
          </w:p>
          <w:p w14:paraId="306122B5">
            <w:pPr>
              <w:spacing w:line="360" w:lineRule="auto"/>
              <w:ind w:firstLine="480" w:firstLineChars="200"/>
              <w:rPr>
                <w:color w:val="auto"/>
                <w:sz w:val="24"/>
                <w:u w:val="single"/>
              </w:rPr>
            </w:pPr>
            <w:r>
              <w:rPr>
                <w:rFonts w:hint="eastAsia"/>
                <w:color w:val="auto"/>
                <w:sz w:val="24"/>
                <w:u w:val="single"/>
              </w:rPr>
              <w:t>（</w:t>
            </w:r>
            <w:r>
              <w:rPr>
                <w:rFonts w:hint="eastAsia"/>
                <w:color w:val="auto"/>
                <w:sz w:val="24"/>
                <w:u w:val="single"/>
                <w:lang w:val="en-US" w:eastAsia="zh-CN"/>
              </w:rPr>
              <w:t>7</w:t>
            </w:r>
            <w:r>
              <w:rPr>
                <w:rFonts w:hint="eastAsia"/>
                <w:color w:val="auto"/>
                <w:sz w:val="24"/>
                <w:u w:val="single"/>
              </w:rPr>
              <w:t>）废水处理站污泥</w:t>
            </w:r>
          </w:p>
          <w:p w14:paraId="197D46C8">
            <w:pPr>
              <w:spacing w:line="360" w:lineRule="auto"/>
              <w:ind w:firstLine="480" w:firstLineChars="200"/>
              <w:rPr>
                <w:color w:val="auto"/>
                <w:sz w:val="24"/>
                <w:u w:val="single"/>
              </w:rPr>
            </w:pPr>
            <w:r>
              <w:rPr>
                <w:rFonts w:hint="eastAsia"/>
                <w:color w:val="auto"/>
                <w:sz w:val="24"/>
                <w:u w:val="single"/>
                <w:lang w:eastAsia="zh-CN"/>
              </w:rPr>
              <w:t>企业依托原有废水处理站，</w:t>
            </w:r>
            <w:r>
              <w:rPr>
                <w:rFonts w:hint="eastAsia"/>
                <w:color w:val="auto"/>
                <w:sz w:val="24"/>
                <w:u w:val="single"/>
              </w:rPr>
              <w:t>污水处理设备污泥清理次数约一年2次，污泥定期清运至垃圾填埋场填埋处理，产生的污泥量根据《集中式污染治理设施产排污系数手册》（2010年修订）计算公式：</w:t>
            </w:r>
          </w:p>
          <w:p w14:paraId="76113601">
            <w:pPr>
              <w:pStyle w:val="38"/>
              <w:rPr>
                <w:color w:val="auto"/>
                <w:u w:val="single"/>
              </w:rPr>
            </w:pPr>
            <w:r>
              <w:rPr>
                <w:color w:val="auto"/>
                <w:u w:val="single"/>
              </w:rPr>
              <w:t>S=rk</w:t>
            </w:r>
            <w:r>
              <w:rPr>
                <w:color w:val="auto"/>
                <w:u w:val="single"/>
                <w:vertAlign w:val="subscript"/>
              </w:rPr>
              <w:t>2</w:t>
            </w:r>
            <w:r>
              <w:rPr>
                <w:color w:val="auto"/>
                <w:u w:val="single"/>
              </w:rPr>
              <w:t>P+k</w:t>
            </w:r>
            <w:r>
              <w:rPr>
                <w:color w:val="auto"/>
                <w:u w:val="single"/>
                <w:vertAlign w:val="subscript"/>
              </w:rPr>
              <w:t>3</w:t>
            </w:r>
            <w:r>
              <w:rPr>
                <w:color w:val="auto"/>
                <w:u w:val="single"/>
              </w:rPr>
              <w:t>C</w:t>
            </w:r>
          </w:p>
          <w:p w14:paraId="0D51ABEB">
            <w:pPr>
              <w:spacing w:line="360" w:lineRule="auto"/>
              <w:ind w:firstLine="480" w:firstLineChars="200"/>
              <w:rPr>
                <w:color w:val="auto"/>
                <w:sz w:val="24"/>
                <w:u w:val="single"/>
              </w:rPr>
            </w:pPr>
            <w:r>
              <w:rPr>
                <w:rFonts w:hint="eastAsia"/>
                <w:color w:val="auto"/>
                <w:sz w:val="24"/>
                <w:u w:val="single"/>
              </w:rPr>
              <w:t>S：污水处理设施含水率80%的污泥产生量，吨/年；</w:t>
            </w:r>
          </w:p>
          <w:p w14:paraId="113D0B0D">
            <w:pPr>
              <w:spacing w:line="360" w:lineRule="auto"/>
              <w:ind w:firstLine="480" w:firstLineChars="200"/>
              <w:rPr>
                <w:color w:val="auto"/>
                <w:sz w:val="24"/>
                <w:u w:val="single"/>
              </w:rPr>
            </w:pPr>
            <w:r>
              <w:rPr>
                <w:rFonts w:hint="eastAsia"/>
                <w:color w:val="auto"/>
                <w:sz w:val="24"/>
                <w:u w:val="single"/>
              </w:rPr>
              <w:t>r：进水悬浮物浓度修正系数，无量纲。进水悬浮物浓度修正系数</w:t>
            </w:r>
            <w:r>
              <w:rPr>
                <w:rFonts w:hint="eastAsia"/>
                <w:color w:val="auto"/>
                <w:sz w:val="24"/>
                <w:u w:val="single"/>
                <w:lang w:eastAsia="zh-CN"/>
              </w:rPr>
              <w:t>，</w:t>
            </w:r>
            <w:r>
              <w:rPr>
                <w:rFonts w:hint="eastAsia"/>
                <w:color w:val="auto"/>
                <w:sz w:val="24"/>
                <w:u w:val="single"/>
              </w:rPr>
              <w:t>无量纲。当进水悬浮物全年平均浓度较低时</w:t>
            </w:r>
            <w:r>
              <w:rPr>
                <w:rFonts w:hint="eastAsia"/>
                <w:color w:val="auto"/>
                <w:sz w:val="24"/>
                <w:u w:val="single"/>
                <w:lang w:eastAsia="zh-CN"/>
              </w:rPr>
              <w:t>（</w:t>
            </w:r>
            <w:r>
              <w:rPr>
                <w:rFonts w:hint="eastAsia"/>
                <w:color w:val="auto"/>
                <w:sz w:val="24"/>
                <w:u w:val="single"/>
              </w:rPr>
              <w:t>≤100mg/L</w:t>
            </w:r>
            <w:r>
              <w:rPr>
                <w:rFonts w:hint="eastAsia"/>
                <w:color w:val="auto"/>
                <w:sz w:val="24"/>
                <w:u w:val="single"/>
                <w:lang w:eastAsia="zh-CN"/>
              </w:rPr>
              <w:t>）</w:t>
            </w:r>
            <w:r>
              <w:rPr>
                <w:rFonts w:hint="eastAsia"/>
                <w:color w:val="auto"/>
                <w:sz w:val="24"/>
                <w:u w:val="single"/>
              </w:rPr>
              <w:t>，取值为1.0；</w:t>
            </w:r>
          </w:p>
          <w:p w14:paraId="6DDD996F">
            <w:pPr>
              <w:spacing w:line="360" w:lineRule="auto"/>
              <w:ind w:firstLine="480" w:firstLineChars="200"/>
              <w:rPr>
                <w:color w:val="auto"/>
                <w:sz w:val="24"/>
                <w:u w:val="single"/>
              </w:rPr>
            </w:pPr>
            <w:r>
              <w:rPr>
                <w:rFonts w:hint="eastAsia"/>
                <w:color w:val="auto"/>
                <w:sz w:val="24"/>
                <w:u w:val="single"/>
              </w:rPr>
              <w:t>k</w:t>
            </w:r>
            <w:r>
              <w:rPr>
                <w:rFonts w:hint="eastAsia"/>
                <w:color w:val="auto"/>
                <w:sz w:val="24"/>
                <w:u w:val="single"/>
                <w:vertAlign w:val="subscript"/>
              </w:rPr>
              <w:t>2</w:t>
            </w:r>
            <w:r>
              <w:rPr>
                <w:rFonts w:hint="eastAsia"/>
                <w:color w:val="auto"/>
                <w:sz w:val="24"/>
                <w:u w:val="single"/>
              </w:rPr>
              <w:t>：城镇污水处理设施的生化污泥产生系数，吨/吨—化学需氧量去除量，本项目采用三级好氧工艺，无污泥消化，因此k</w:t>
            </w:r>
            <w:r>
              <w:rPr>
                <w:rFonts w:hint="eastAsia"/>
                <w:color w:val="auto"/>
                <w:sz w:val="24"/>
                <w:u w:val="single"/>
                <w:vertAlign w:val="subscript"/>
              </w:rPr>
              <w:t>2</w:t>
            </w:r>
            <w:r>
              <w:rPr>
                <w:rFonts w:hint="eastAsia"/>
                <w:color w:val="auto"/>
                <w:sz w:val="24"/>
                <w:u w:val="single"/>
              </w:rPr>
              <w:t>取0.81；</w:t>
            </w:r>
          </w:p>
          <w:p w14:paraId="69541B80">
            <w:pPr>
              <w:spacing w:line="360" w:lineRule="auto"/>
              <w:ind w:firstLine="480" w:firstLineChars="200"/>
              <w:rPr>
                <w:color w:val="auto"/>
                <w:sz w:val="24"/>
                <w:u w:val="single"/>
              </w:rPr>
            </w:pPr>
            <w:r>
              <w:rPr>
                <w:rFonts w:hint="eastAsia"/>
                <w:color w:val="auto"/>
                <w:sz w:val="24"/>
                <w:u w:val="single"/>
              </w:rPr>
              <w:t>k</w:t>
            </w:r>
            <w:r>
              <w:rPr>
                <w:rFonts w:hint="eastAsia"/>
                <w:color w:val="auto"/>
                <w:sz w:val="24"/>
                <w:u w:val="single"/>
                <w:vertAlign w:val="subscript"/>
              </w:rPr>
              <w:t>3</w:t>
            </w:r>
            <w:r>
              <w:rPr>
                <w:rFonts w:hint="eastAsia"/>
                <w:color w:val="auto"/>
                <w:sz w:val="24"/>
                <w:u w:val="single"/>
              </w:rPr>
              <w:t>：城镇污水处理厂或工业废水集中处理设施的化学污泥产生系数，吨/吨—絮凝剂使用量，系数取4.53；</w:t>
            </w:r>
          </w:p>
          <w:p w14:paraId="5AAFF828">
            <w:pPr>
              <w:spacing w:line="360" w:lineRule="auto"/>
              <w:ind w:firstLine="480" w:firstLineChars="200"/>
              <w:rPr>
                <w:color w:val="auto"/>
                <w:sz w:val="24"/>
                <w:u w:val="single"/>
              </w:rPr>
            </w:pPr>
            <w:r>
              <w:rPr>
                <w:rFonts w:hint="eastAsia"/>
                <w:color w:val="auto"/>
                <w:sz w:val="24"/>
                <w:u w:val="single"/>
              </w:rPr>
              <w:t>P：城镇污水处理设施的化学需氧量去除总量，吨/年，本项目每年化学需氧量去除总量为</w:t>
            </w:r>
            <w:r>
              <w:rPr>
                <w:rFonts w:hint="eastAsia"/>
                <w:color w:val="auto"/>
                <w:sz w:val="24"/>
                <w:u w:val="single"/>
                <w:lang w:eastAsia="zh-CN"/>
              </w:rPr>
              <w:t>2.6989t/a</w:t>
            </w:r>
            <w:r>
              <w:rPr>
                <w:rFonts w:hint="eastAsia"/>
                <w:color w:val="auto"/>
                <w:sz w:val="24"/>
                <w:u w:val="single"/>
              </w:rPr>
              <w:t>；</w:t>
            </w:r>
          </w:p>
          <w:p w14:paraId="2BCFFDA2">
            <w:pPr>
              <w:spacing w:line="360" w:lineRule="auto"/>
              <w:ind w:firstLine="480" w:firstLineChars="200"/>
              <w:rPr>
                <w:color w:val="auto"/>
                <w:sz w:val="24"/>
                <w:u w:val="single"/>
              </w:rPr>
            </w:pPr>
            <w:r>
              <w:rPr>
                <w:rFonts w:hint="eastAsia"/>
                <w:color w:val="auto"/>
                <w:sz w:val="24"/>
                <w:u w:val="single"/>
              </w:rPr>
              <w:t>C：污水处理设施的无机紧凝剂使用总量，吨/年，本项目不添加无机絮凝剂。</w:t>
            </w:r>
          </w:p>
          <w:p w14:paraId="6542074A">
            <w:pPr>
              <w:spacing w:line="360" w:lineRule="auto"/>
              <w:ind w:firstLine="480" w:firstLineChars="200"/>
              <w:rPr>
                <w:color w:val="auto"/>
                <w:sz w:val="24"/>
                <w:u w:val="single"/>
              </w:rPr>
            </w:pPr>
            <w:r>
              <w:rPr>
                <w:rFonts w:hint="eastAsia"/>
                <w:color w:val="auto"/>
                <w:sz w:val="24"/>
                <w:u w:val="single"/>
              </w:rPr>
              <w:t>根据公式计算得到，本项目污水处理设施每年产生的污泥量为</w:t>
            </w:r>
            <w:r>
              <w:rPr>
                <w:rFonts w:hint="eastAsia"/>
                <w:color w:val="auto"/>
                <w:sz w:val="24"/>
                <w:u w:val="single"/>
                <w:lang w:eastAsia="zh-CN"/>
              </w:rPr>
              <w:t>10.93</w:t>
            </w:r>
            <w:r>
              <w:rPr>
                <w:rFonts w:hint="eastAsia"/>
                <w:color w:val="auto"/>
                <w:sz w:val="24"/>
                <w:u w:val="single"/>
              </w:rPr>
              <w:t>t/a。</w:t>
            </w:r>
          </w:p>
          <w:p w14:paraId="311EA11D">
            <w:pPr>
              <w:spacing w:line="360" w:lineRule="auto"/>
              <w:ind w:firstLine="480" w:firstLineChars="200"/>
              <w:rPr>
                <w:color w:val="auto"/>
                <w:sz w:val="24"/>
                <w:u w:val="single"/>
              </w:rPr>
            </w:pPr>
            <w:r>
              <w:rPr>
                <w:rFonts w:hint="eastAsia"/>
                <w:color w:val="auto"/>
                <w:sz w:val="24"/>
                <w:u w:val="single"/>
              </w:rPr>
              <w:t>项目洗涤的医用织物在进厂后</w:t>
            </w:r>
            <w:r>
              <w:rPr>
                <w:rFonts w:hint="eastAsia"/>
                <w:color w:val="auto"/>
                <w:sz w:val="24"/>
                <w:u w:val="single"/>
                <w:lang w:eastAsia="zh-CN"/>
              </w:rPr>
              <w:t>虽采用</w:t>
            </w:r>
            <w:r>
              <w:rPr>
                <w:rFonts w:hint="eastAsia"/>
                <w:color w:val="auto"/>
                <w:sz w:val="24"/>
                <w:u w:val="single"/>
                <w:lang w:val="en-US" w:eastAsia="zh-CN"/>
              </w:rPr>
              <w:t>84浸泡消毒后经过</w:t>
            </w:r>
            <w:r>
              <w:rPr>
                <w:rFonts w:hint="eastAsia"/>
                <w:color w:val="auto"/>
                <w:sz w:val="24"/>
                <w:u w:val="single"/>
              </w:rPr>
              <w:t>高温</w:t>
            </w:r>
            <w:r>
              <w:rPr>
                <w:rFonts w:hint="eastAsia"/>
                <w:color w:val="auto"/>
                <w:sz w:val="24"/>
                <w:u w:val="single"/>
                <w:lang w:eastAsia="zh-CN"/>
              </w:rPr>
              <w:t>洗涤</w:t>
            </w:r>
            <w:r>
              <w:rPr>
                <w:rFonts w:hint="eastAsia"/>
                <w:color w:val="auto"/>
                <w:sz w:val="24"/>
                <w:u w:val="single"/>
              </w:rPr>
              <w:t>消毒，</w:t>
            </w:r>
            <w:r>
              <w:rPr>
                <w:rFonts w:hint="eastAsia"/>
                <w:color w:val="auto"/>
                <w:sz w:val="24"/>
                <w:u w:val="single"/>
                <w:lang w:eastAsia="zh-CN"/>
              </w:rPr>
              <w:t>但依旧有可能含有少量</w:t>
            </w:r>
            <w:r>
              <w:rPr>
                <w:rFonts w:hint="eastAsia"/>
                <w:color w:val="auto"/>
                <w:sz w:val="24"/>
                <w:u w:val="single"/>
              </w:rPr>
              <w:t>病菌、病毒等感染性物质，污水处理设施所产生的污泥</w:t>
            </w:r>
            <w:r>
              <w:rPr>
                <w:rFonts w:hint="eastAsia"/>
                <w:color w:val="auto"/>
                <w:sz w:val="24"/>
                <w:u w:val="single"/>
                <w:lang w:eastAsia="zh-CN"/>
              </w:rPr>
              <w:t>作为危废进行管理</w:t>
            </w:r>
            <w:r>
              <w:rPr>
                <w:rFonts w:hint="eastAsia"/>
                <w:color w:val="auto"/>
                <w:sz w:val="24"/>
                <w:u w:val="single"/>
              </w:rPr>
              <w:t>，根据</w:t>
            </w:r>
            <w:r>
              <w:rPr>
                <w:rFonts w:hint="eastAsia"/>
                <w:color w:val="auto"/>
                <w:sz w:val="24"/>
                <w:u w:val="single"/>
                <w:lang w:eastAsia="zh-CN"/>
              </w:rPr>
              <w:t>《</w:t>
            </w:r>
            <w:r>
              <w:rPr>
                <w:rFonts w:hint="eastAsia"/>
                <w:color w:val="auto"/>
                <w:sz w:val="24"/>
                <w:u w:val="single"/>
              </w:rPr>
              <w:t>国家危险废物名录(2025年版)</w:t>
            </w:r>
            <w:r>
              <w:rPr>
                <w:rFonts w:hint="eastAsia"/>
                <w:color w:val="auto"/>
                <w:sz w:val="24"/>
                <w:u w:val="single"/>
                <w:lang w:eastAsia="zh-CN"/>
              </w:rPr>
              <w:t>》</w:t>
            </w:r>
            <w:r>
              <w:rPr>
                <w:rFonts w:hint="eastAsia"/>
                <w:color w:val="auto"/>
                <w:sz w:val="24"/>
                <w:u w:val="single"/>
              </w:rPr>
              <w:t>，污水处理系统中的</w:t>
            </w:r>
            <w:r>
              <w:rPr>
                <w:rFonts w:hint="eastAsia"/>
                <w:color w:val="auto"/>
                <w:sz w:val="24"/>
                <w:u w:val="single"/>
                <w:lang w:eastAsia="zh-CN"/>
              </w:rPr>
              <w:t>危废</w:t>
            </w:r>
            <w:r>
              <w:rPr>
                <w:rFonts w:hint="eastAsia"/>
                <w:color w:val="auto"/>
                <w:sz w:val="24"/>
                <w:u w:val="single"/>
              </w:rPr>
              <w:t>代码为HW49</w:t>
            </w:r>
            <w:r>
              <w:rPr>
                <w:rFonts w:hint="eastAsia"/>
                <w:color w:val="auto"/>
                <w:sz w:val="24"/>
                <w:u w:val="single"/>
                <w:lang w:val="en-US" w:eastAsia="zh-CN"/>
              </w:rPr>
              <w:t xml:space="preserve">  </w:t>
            </w:r>
            <w:r>
              <w:rPr>
                <w:rFonts w:hint="eastAsia"/>
                <w:color w:val="auto"/>
                <w:sz w:val="24"/>
                <w:u w:val="single"/>
              </w:rPr>
              <w:t>772-006-49。</w:t>
            </w:r>
          </w:p>
          <w:p w14:paraId="7F179957">
            <w:pPr>
              <w:pStyle w:val="16"/>
              <w:spacing w:before="0" w:beforeAutospacing="0" w:after="0" w:afterAutospacing="0" w:line="360" w:lineRule="auto"/>
              <w:ind w:firstLine="482" w:firstLineChars="200"/>
              <w:jc w:val="both"/>
              <w:rPr>
                <w:rFonts w:ascii="Times New Roman" w:hAnsi="Times New Roman"/>
                <w:b/>
                <w:bCs/>
                <w:szCs w:val="24"/>
              </w:rPr>
            </w:pPr>
            <w:r>
              <w:rPr>
                <w:rFonts w:ascii="Times New Roman" w:hAnsi="Times New Roman"/>
                <w:b/>
                <w:bCs/>
                <w:szCs w:val="24"/>
                <w:lang w:bidi="ar"/>
              </w:rPr>
              <w:t>2</w:t>
            </w:r>
            <w:r>
              <w:rPr>
                <w:rFonts w:hint="eastAsia" w:cs="宋体"/>
                <w:b/>
                <w:bCs/>
                <w:szCs w:val="24"/>
                <w:lang w:bidi="ar"/>
              </w:rPr>
              <w:t>、项目固体废物产生情况汇总</w:t>
            </w:r>
          </w:p>
          <w:p w14:paraId="4762AD92">
            <w:pPr>
              <w:autoSpaceDE w:val="0"/>
              <w:autoSpaceDN w:val="0"/>
              <w:adjustRightInd w:val="0"/>
              <w:spacing w:line="360" w:lineRule="auto"/>
              <w:ind w:firstLine="440" w:firstLineChars="200"/>
              <w:rPr>
                <w:bCs/>
                <w:spacing w:val="-10"/>
                <w:sz w:val="24"/>
              </w:rPr>
            </w:pPr>
            <w:r>
              <w:rPr>
                <w:bCs/>
                <w:spacing w:val="-10"/>
                <w:sz w:val="24"/>
              </w:rPr>
              <w:t>改建完成后，项目固体废物产排情况一览表见表</w:t>
            </w:r>
            <w:r>
              <w:rPr>
                <w:rFonts w:hint="eastAsia"/>
                <w:bCs/>
                <w:spacing w:val="-10"/>
                <w:sz w:val="24"/>
              </w:rPr>
              <w:t>4-10</w:t>
            </w:r>
            <w:r>
              <w:rPr>
                <w:bCs/>
                <w:spacing w:val="-10"/>
                <w:sz w:val="24"/>
              </w:rPr>
              <w:t>。</w:t>
            </w:r>
          </w:p>
          <w:p w14:paraId="2FA98365">
            <w:pPr>
              <w:spacing w:before="120" w:beforeLines="50"/>
              <w:jc w:val="center"/>
              <w:rPr>
                <w:b/>
                <w:szCs w:val="21"/>
              </w:rPr>
            </w:pPr>
            <w:r>
              <w:rPr>
                <w:b/>
                <w:szCs w:val="21"/>
              </w:rPr>
              <w:t>表4-</w:t>
            </w:r>
            <w:r>
              <w:rPr>
                <w:rFonts w:hint="eastAsia"/>
                <w:b/>
                <w:szCs w:val="21"/>
              </w:rPr>
              <w:t>10</w:t>
            </w:r>
            <w:r>
              <w:rPr>
                <w:b/>
                <w:szCs w:val="21"/>
              </w:rPr>
              <w:t xml:space="preserve">  项目固体废物产生排放情况</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54"/>
              <w:gridCol w:w="516"/>
              <w:gridCol w:w="1285"/>
              <w:gridCol w:w="635"/>
              <w:gridCol w:w="516"/>
              <w:gridCol w:w="576"/>
              <w:gridCol w:w="948"/>
              <w:gridCol w:w="664"/>
              <w:gridCol w:w="1643"/>
              <w:gridCol w:w="978"/>
            </w:tblGrid>
            <w:tr w14:paraId="13AF1BA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15228CDD">
                  <w:pPr>
                    <w:jc w:val="center"/>
                    <w:rPr>
                      <w:b/>
                      <w:sz w:val="21"/>
                      <w:szCs w:val="21"/>
                      <w:u w:val="none"/>
                    </w:rPr>
                  </w:pPr>
                  <w:r>
                    <w:rPr>
                      <w:b/>
                      <w:sz w:val="21"/>
                      <w:szCs w:val="21"/>
                      <w:u w:val="none"/>
                    </w:rPr>
                    <w:t>固体废物名称</w:t>
                  </w:r>
                </w:p>
              </w:tc>
              <w:tc>
                <w:tcPr>
                  <w:tcW w:w="0" w:type="auto"/>
                  <w:shd w:val="clear" w:color="auto" w:fill="auto"/>
                  <w:vAlign w:val="center"/>
                </w:tcPr>
                <w:p w14:paraId="6982C596">
                  <w:pPr>
                    <w:jc w:val="center"/>
                    <w:rPr>
                      <w:b/>
                      <w:sz w:val="21"/>
                      <w:szCs w:val="21"/>
                      <w:u w:val="none"/>
                    </w:rPr>
                  </w:pPr>
                  <w:r>
                    <w:rPr>
                      <w:b/>
                      <w:sz w:val="21"/>
                      <w:szCs w:val="21"/>
                      <w:u w:val="none"/>
                    </w:rPr>
                    <w:t>属性</w:t>
                  </w:r>
                </w:p>
              </w:tc>
              <w:tc>
                <w:tcPr>
                  <w:tcW w:w="1285" w:type="dxa"/>
                  <w:shd w:val="clear" w:color="auto" w:fill="auto"/>
                  <w:vAlign w:val="center"/>
                </w:tcPr>
                <w:p w14:paraId="58E2FA63">
                  <w:pPr>
                    <w:jc w:val="center"/>
                    <w:rPr>
                      <w:b/>
                      <w:sz w:val="21"/>
                      <w:szCs w:val="21"/>
                      <w:u w:val="none"/>
                    </w:rPr>
                  </w:pPr>
                  <w:r>
                    <w:rPr>
                      <w:b/>
                      <w:sz w:val="21"/>
                      <w:szCs w:val="21"/>
                      <w:u w:val="none"/>
                    </w:rPr>
                    <w:t>编码</w:t>
                  </w:r>
                </w:p>
              </w:tc>
              <w:tc>
                <w:tcPr>
                  <w:tcW w:w="635" w:type="dxa"/>
                  <w:shd w:val="clear" w:color="auto" w:fill="auto"/>
                  <w:vAlign w:val="center"/>
                </w:tcPr>
                <w:p w14:paraId="16AC7B37">
                  <w:pPr>
                    <w:jc w:val="center"/>
                    <w:rPr>
                      <w:b/>
                      <w:sz w:val="21"/>
                      <w:szCs w:val="21"/>
                      <w:u w:val="none"/>
                    </w:rPr>
                  </w:pPr>
                  <w:r>
                    <w:rPr>
                      <w:b/>
                      <w:sz w:val="21"/>
                      <w:szCs w:val="21"/>
                      <w:u w:val="none"/>
                    </w:rPr>
                    <w:t>有毒有害物质名称</w:t>
                  </w:r>
                </w:p>
              </w:tc>
              <w:tc>
                <w:tcPr>
                  <w:tcW w:w="0" w:type="auto"/>
                  <w:shd w:val="clear" w:color="auto" w:fill="auto"/>
                  <w:vAlign w:val="center"/>
                </w:tcPr>
                <w:p w14:paraId="71FF98E3">
                  <w:pPr>
                    <w:jc w:val="center"/>
                    <w:rPr>
                      <w:b/>
                      <w:sz w:val="21"/>
                      <w:szCs w:val="21"/>
                      <w:u w:val="none"/>
                    </w:rPr>
                  </w:pPr>
                  <w:r>
                    <w:rPr>
                      <w:b/>
                      <w:sz w:val="21"/>
                      <w:szCs w:val="21"/>
                      <w:u w:val="none"/>
                    </w:rPr>
                    <w:t>物理性质</w:t>
                  </w:r>
                </w:p>
              </w:tc>
              <w:tc>
                <w:tcPr>
                  <w:tcW w:w="0" w:type="auto"/>
                  <w:shd w:val="clear" w:color="auto" w:fill="auto"/>
                  <w:vAlign w:val="center"/>
                </w:tcPr>
                <w:p w14:paraId="7599273C">
                  <w:pPr>
                    <w:jc w:val="center"/>
                    <w:rPr>
                      <w:b/>
                      <w:sz w:val="21"/>
                      <w:szCs w:val="21"/>
                      <w:u w:val="none"/>
                    </w:rPr>
                  </w:pPr>
                  <w:r>
                    <w:rPr>
                      <w:b/>
                      <w:sz w:val="21"/>
                      <w:szCs w:val="21"/>
                      <w:u w:val="none"/>
                    </w:rPr>
                    <w:t>环境危险特性</w:t>
                  </w:r>
                </w:p>
              </w:tc>
              <w:tc>
                <w:tcPr>
                  <w:tcW w:w="0" w:type="auto"/>
                  <w:shd w:val="clear" w:color="auto" w:fill="auto"/>
                  <w:vAlign w:val="center"/>
                </w:tcPr>
                <w:p w14:paraId="0F8322DC">
                  <w:pPr>
                    <w:jc w:val="center"/>
                    <w:rPr>
                      <w:b/>
                      <w:sz w:val="21"/>
                      <w:szCs w:val="21"/>
                      <w:u w:val="none"/>
                    </w:rPr>
                  </w:pPr>
                  <w:r>
                    <w:rPr>
                      <w:b/>
                      <w:sz w:val="21"/>
                      <w:szCs w:val="21"/>
                      <w:u w:val="none"/>
                    </w:rPr>
                    <w:t>年产生量</w:t>
                  </w:r>
                  <w:r>
                    <w:rPr>
                      <w:rFonts w:hint="eastAsia"/>
                      <w:b/>
                      <w:sz w:val="21"/>
                      <w:szCs w:val="21"/>
                      <w:u w:val="none"/>
                    </w:rPr>
                    <w:t>t/a</w:t>
                  </w:r>
                </w:p>
              </w:tc>
              <w:tc>
                <w:tcPr>
                  <w:tcW w:w="0" w:type="auto"/>
                  <w:shd w:val="clear" w:color="auto" w:fill="auto"/>
                  <w:vAlign w:val="center"/>
                </w:tcPr>
                <w:p w14:paraId="34DD015A">
                  <w:pPr>
                    <w:jc w:val="center"/>
                    <w:rPr>
                      <w:b/>
                      <w:sz w:val="21"/>
                      <w:szCs w:val="21"/>
                      <w:u w:val="none"/>
                    </w:rPr>
                  </w:pPr>
                  <w:r>
                    <w:rPr>
                      <w:b/>
                      <w:sz w:val="21"/>
                      <w:szCs w:val="21"/>
                      <w:u w:val="none"/>
                    </w:rPr>
                    <w:t>贮存方式</w:t>
                  </w:r>
                </w:p>
              </w:tc>
              <w:tc>
                <w:tcPr>
                  <w:tcW w:w="0" w:type="auto"/>
                  <w:shd w:val="clear" w:color="auto" w:fill="auto"/>
                  <w:vAlign w:val="center"/>
                </w:tcPr>
                <w:p w14:paraId="1D89B2B6">
                  <w:pPr>
                    <w:jc w:val="center"/>
                    <w:rPr>
                      <w:b/>
                      <w:sz w:val="21"/>
                      <w:szCs w:val="21"/>
                      <w:u w:val="none"/>
                    </w:rPr>
                  </w:pPr>
                  <w:r>
                    <w:rPr>
                      <w:b/>
                      <w:sz w:val="21"/>
                      <w:szCs w:val="21"/>
                      <w:u w:val="none"/>
                    </w:rPr>
                    <w:t>利用处置方式和去向</w:t>
                  </w:r>
                </w:p>
              </w:tc>
              <w:tc>
                <w:tcPr>
                  <w:tcW w:w="0" w:type="auto"/>
                  <w:shd w:val="clear" w:color="auto" w:fill="auto"/>
                  <w:vAlign w:val="center"/>
                </w:tcPr>
                <w:p w14:paraId="4699C1DD">
                  <w:pPr>
                    <w:jc w:val="center"/>
                    <w:rPr>
                      <w:b/>
                      <w:sz w:val="21"/>
                      <w:szCs w:val="21"/>
                      <w:u w:val="none"/>
                    </w:rPr>
                  </w:pPr>
                  <w:r>
                    <w:rPr>
                      <w:b/>
                      <w:sz w:val="21"/>
                      <w:szCs w:val="21"/>
                      <w:u w:val="none"/>
                    </w:rPr>
                    <w:t>利用处理量</w:t>
                  </w:r>
                  <w:r>
                    <w:rPr>
                      <w:rFonts w:hint="eastAsia"/>
                      <w:b/>
                      <w:sz w:val="21"/>
                      <w:szCs w:val="21"/>
                      <w:u w:val="none"/>
                    </w:rPr>
                    <w:t>t/a</w:t>
                  </w:r>
                </w:p>
              </w:tc>
            </w:tr>
            <w:tr w14:paraId="6494A39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3FC4530C">
                  <w:pPr>
                    <w:jc w:val="center"/>
                    <w:rPr>
                      <w:bCs/>
                      <w:spacing w:val="-10"/>
                      <w:sz w:val="21"/>
                      <w:szCs w:val="21"/>
                      <w:u w:val="none"/>
                    </w:rPr>
                  </w:pPr>
                  <w:r>
                    <w:rPr>
                      <w:bCs/>
                      <w:spacing w:val="-10"/>
                      <w:sz w:val="21"/>
                      <w:szCs w:val="21"/>
                      <w:u w:val="none"/>
                    </w:rPr>
                    <w:t>员工办公生活垃圾</w:t>
                  </w:r>
                </w:p>
              </w:tc>
              <w:tc>
                <w:tcPr>
                  <w:tcW w:w="0" w:type="auto"/>
                  <w:shd w:val="clear" w:color="auto" w:fill="auto"/>
                  <w:vAlign w:val="center"/>
                </w:tcPr>
                <w:p w14:paraId="69B2BF7C">
                  <w:pPr>
                    <w:jc w:val="center"/>
                    <w:rPr>
                      <w:sz w:val="21"/>
                      <w:szCs w:val="21"/>
                      <w:u w:val="none"/>
                    </w:rPr>
                  </w:pPr>
                  <w:r>
                    <w:rPr>
                      <w:sz w:val="21"/>
                      <w:szCs w:val="21"/>
                      <w:u w:val="none"/>
                    </w:rPr>
                    <w:t>生活垃圾</w:t>
                  </w:r>
                </w:p>
              </w:tc>
              <w:tc>
                <w:tcPr>
                  <w:tcW w:w="1285" w:type="dxa"/>
                  <w:shd w:val="clear" w:color="auto" w:fill="auto"/>
                  <w:vAlign w:val="center"/>
                </w:tcPr>
                <w:p w14:paraId="0968E6DF">
                  <w:pPr>
                    <w:jc w:val="center"/>
                    <w:rPr>
                      <w:sz w:val="21"/>
                      <w:szCs w:val="21"/>
                      <w:u w:val="none"/>
                    </w:rPr>
                  </w:pPr>
                  <w:r>
                    <w:rPr>
                      <w:rFonts w:hint="eastAsia"/>
                      <w:sz w:val="21"/>
                      <w:szCs w:val="21"/>
                      <w:u w:val="none"/>
                    </w:rPr>
                    <w:t>/</w:t>
                  </w:r>
                </w:p>
              </w:tc>
              <w:tc>
                <w:tcPr>
                  <w:tcW w:w="635" w:type="dxa"/>
                  <w:shd w:val="clear" w:color="auto" w:fill="auto"/>
                  <w:vAlign w:val="center"/>
                </w:tcPr>
                <w:p w14:paraId="186D9EEE">
                  <w:pPr>
                    <w:jc w:val="center"/>
                    <w:rPr>
                      <w:sz w:val="21"/>
                      <w:szCs w:val="21"/>
                      <w:u w:val="none"/>
                    </w:rPr>
                  </w:pPr>
                  <w:r>
                    <w:rPr>
                      <w:rFonts w:hint="eastAsia"/>
                      <w:sz w:val="21"/>
                      <w:szCs w:val="21"/>
                      <w:u w:val="none"/>
                    </w:rPr>
                    <w:t>/</w:t>
                  </w:r>
                </w:p>
              </w:tc>
              <w:tc>
                <w:tcPr>
                  <w:tcW w:w="0" w:type="auto"/>
                  <w:shd w:val="clear" w:color="auto" w:fill="auto"/>
                  <w:vAlign w:val="center"/>
                </w:tcPr>
                <w:p w14:paraId="4076C07E">
                  <w:pPr>
                    <w:jc w:val="center"/>
                    <w:rPr>
                      <w:sz w:val="21"/>
                      <w:szCs w:val="21"/>
                      <w:u w:val="none"/>
                    </w:rPr>
                  </w:pPr>
                  <w:r>
                    <w:rPr>
                      <w:sz w:val="21"/>
                      <w:szCs w:val="21"/>
                      <w:u w:val="none"/>
                    </w:rPr>
                    <w:t>固态</w:t>
                  </w:r>
                </w:p>
              </w:tc>
              <w:tc>
                <w:tcPr>
                  <w:tcW w:w="0" w:type="auto"/>
                  <w:shd w:val="clear" w:color="auto" w:fill="auto"/>
                  <w:vAlign w:val="center"/>
                </w:tcPr>
                <w:p w14:paraId="26C365CF">
                  <w:pPr>
                    <w:jc w:val="center"/>
                    <w:rPr>
                      <w:rFonts w:hint="default" w:eastAsia="宋体"/>
                      <w:sz w:val="21"/>
                      <w:szCs w:val="21"/>
                      <w:u w:val="none"/>
                      <w:lang w:val="en-US" w:eastAsia="zh-CN"/>
                    </w:rPr>
                  </w:pPr>
                  <w:r>
                    <w:rPr>
                      <w:rFonts w:hint="eastAsia"/>
                      <w:sz w:val="21"/>
                      <w:szCs w:val="21"/>
                      <w:u w:val="none"/>
                    </w:rPr>
                    <w:t>/</w:t>
                  </w:r>
                </w:p>
              </w:tc>
              <w:tc>
                <w:tcPr>
                  <w:tcW w:w="0" w:type="auto"/>
                  <w:shd w:val="clear" w:color="auto" w:fill="auto"/>
                  <w:vAlign w:val="center"/>
                </w:tcPr>
                <w:p w14:paraId="31258D58">
                  <w:pPr>
                    <w:jc w:val="center"/>
                    <w:rPr>
                      <w:sz w:val="21"/>
                      <w:szCs w:val="21"/>
                      <w:u w:val="none"/>
                    </w:rPr>
                  </w:pPr>
                  <w:r>
                    <w:rPr>
                      <w:rFonts w:hint="eastAsia"/>
                      <w:sz w:val="21"/>
                      <w:szCs w:val="21"/>
                      <w:u w:val="none"/>
                    </w:rPr>
                    <w:t>12.6</w:t>
                  </w:r>
                </w:p>
              </w:tc>
              <w:tc>
                <w:tcPr>
                  <w:tcW w:w="0" w:type="auto"/>
                  <w:shd w:val="clear" w:color="auto" w:fill="auto"/>
                  <w:vAlign w:val="center"/>
                </w:tcPr>
                <w:p w14:paraId="08AC25F7">
                  <w:pPr>
                    <w:jc w:val="center"/>
                    <w:rPr>
                      <w:sz w:val="21"/>
                      <w:szCs w:val="21"/>
                      <w:u w:val="none"/>
                    </w:rPr>
                  </w:pPr>
                  <w:r>
                    <w:rPr>
                      <w:sz w:val="21"/>
                      <w:szCs w:val="21"/>
                      <w:u w:val="none"/>
                    </w:rPr>
                    <w:t>垃圾桶等</w:t>
                  </w:r>
                </w:p>
              </w:tc>
              <w:tc>
                <w:tcPr>
                  <w:tcW w:w="0" w:type="auto"/>
                  <w:shd w:val="clear" w:color="auto" w:fill="auto"/>
                  <w:vAlign w:val="center"/>
                </w:tcPr>
                <w:p w14:paraId="4F3922A9">
                  <w:pPr>
                    <w:jc w:val="center"/>
                    <w:rPr>
                      <w:sz w:val="21"/>
                      <w:szCs w:val="21"/>
                      <w:u w:val="none"/>
                    </w:rPr>
                  </w:pPr>
                  <w:r>
                    <w:rPr>
                      <w:sz w:val="21"/>
                      <w:szCs w:val="21"/>
                      <w:u w:val="none"/>
                    </w:rPr>
                    <w:t>交环卫部门清运处理</w:t>
                  </w:r>
                </w:p>
              </w:tc>
              <w:tc>
                <w:tcPr>
                  <w:tcW w:w="0" w:type="auto"/>
                  <w:shd w:val="clear" w:color="auto" w:fill="auto"/>
                  <w:vAlign w:val="center"/>
                </w:tcPr>
                <w:p w14:paraId="5DF3947F">
                  <w:pPr>
                    <w:jc w:val="center"/>
                    <w:rPr>
                      <w:sz w:val="21"/>
                      <w:szCs w:val="21"/>
                      <w:u w:val="none"/>
                    </w:rPr>
                  </w:pPr>
                  <w:r>
                    <w:rPr>
                      <w:rFonts w:hint="eastAsia"/>
                      <w:sz w:val="21"/>
                      <w:szCs w:val="21"/>
                      <w:u w:val="none"/>
                    </w:rPr>
                    <w:t>12.6</w:t>
                  </w:r>
                </w:p>
              </w:tc>
            </w:tr>
            <w:tr w14:paraId="2F0A94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35543DA2">
                  <w:pPr>
                    <w:jc w:val="center"/>
                    <w:rPr>
                      <w:bCs/>
                      <w:spacing w:val="-10"/>
                      <w:sz w:val="21"/>
                      <w:szCs w:val="21"/>
                      <w:u w:val="none"/>
                    </w:rPr>
                  </w:pPr>
                  <w:r>
                    <w:rPr>
                      <w:rFonts w:hint="eastAsia"/>
                      <w:bCs/>
                      <w:spacing w:val="-10"/>
                      <w:sz w:val="21"/>
                      <w:szCs w:val="21"/>
                      <w:u w:val="none"/>
                    </w:rPr>
                    <w:t>废原辅材料包装桶（袋）</w:t>
                  </w:r>
                </w:p>
              </w:tc>
              <w:tc>
                <w:tcPr>
                  <w:tcW w:w="0" w:type="auto"/>
                  <w:vMerge w:val="restart"/>
                  <w:shd w:val="clear" w:color="auto" w:fill="auto"/>
                  <w:vAlign w:val="center"/>
                </w:tcPr>
                <w:p w14:paraId="7BCD33A9">
                  <w:pPr>
                    <w:jc w:val="center"/>
                    <w:rPr>
                      <w:bCs/>
                      <w:spacing w:val="-10"/>
                      <w:sz w:val="21"/>
                      <w:szCs w:val="21"/>
                      <w:u w:val="none"/>
                    </w:rPr>
                  </w:pPr>
                  <w:r>
                    <w:rPr>
                      <w:bCs/>
                      <w:spacing w:val="-10"/>
                      <w:sz w:val="21"/>
                      <w:szCs w:val="21"/>
                      <w:u w:val="none"/>
                    </w:rPr>
                    <w:t>一般固废</w:t>
                  </w:r>
                </w:p>
              </w:tc>
              <w:tc>
                <w:tcPr>
                  <w:tcW w:w="1285" w:type="dxa"/>
                  <w:shd w:val="clear" w:color="auto" w:fill="auto"/>
                  <w:vAlign w:val="center"/>
                </w:tcPr>
                <w:p w14:paraId="0A43C2FF">
                  <w:pPr>
                    <w:jc w:val="center"/>
                    <w:rPr>
                      <w:rFonts w:hint="eastAsia" w:eastAsia="宋体"/>
                      <w:bCs/>
                      <w:spacing w:val="-10"/>
                      <w:sz w:val="21"/>
                      <w:szCs w:val="21"/>
                      <w:u w:val="none"/>
                      <w:lang w:eastAsia="zh-CN"/>
                    </w:rPr>
                  </w:pPr>
                  <w:r>
                    <w:rPr>
                      <w:rFonts w:hint="eastAsia"/>
                      <w:bCs/>
                      <w:spacing w:val="-10"/>
                      <w:sz w:val="21"/>
                      <w:szCs w:val="21"/>
                      <w:u w:val="none"/>
                      <w:lang w:eastAsia="zh-CN"/>
                    </w:rPr>
                    <w:t>900-003-S17</w:t>
                  </w:r>
                </w:p>
              </w:tc>
              <w:tc>
                <w:tcPr>
                  <w:tcW w:w="635" w:type="dxa"/>
                  <w:shd w:val="clear" w:color="auto" w:fill="auto"/>
                  <w:vAlign w:val="center"/>
                </w:tcPr>
                <w:p w14:paraId="649C79FD">
                  <w:pPr>
                    <w:jc w:val="center"/>
                    <w:rPr>
                      <w:sz w:val="21"/>
                      <w:szCs w:val="21"/>
                      <w:u w:val="none"/>
                    </w:rPr>
                  </w:pPr>
                  <w:r>
                    <w:rPr>
                      <w:rFonts w:hint="eastAsia"/>
                      <w:sz w:val="21"/>
                      <w:szCs w:val="21"/>
                      <w:u w:val="none"/>
                    </w:rPr>
                    <w:t>/</w:t>
                  </w:r>
                </w:p>
              </w:tc>
              <w:tc>
                <w:tcPr>
                  <w:tcW w:w="0" w:type="auto"/>
                  <w:shd w:val="clear" w:color="auto" w:fill="auto"/>
                  <w:vAlign w:val="center"/>
                </w:tcPr>
                <w:p w14:paraId="6200D871">
                  <w:pPr>
                    <w:jc w:val="center"/>
                    <w:rPr>
                      <w:sz w:val="21"/>
                      <w:szCs w:val="21"/>
                      <w:u w:val="none"/>
                    </w:rPr>
                  </w:pPr>
                  <w:r>
                    <w:rPr>
                      <w:sz w:val="21"/>
                      <w:szCs w:val="21"/>
                      <w:u w:val="none"/>
                    </w:rPr>
                    <w:t>固态</w:t>
                  </w:r>
                </w:p>
              </w:tc>
              <w:tc>
                <w:tcPr>
                  <w:tcW w:w="0" w:type="auto"/>
                  <w:shd w:val="clear" w:color="auto" w:fill="auto"/>
                  <w:vAlign w:val="center"/>
                </w:tcPr>
                <w:p w14:paraId="557C58B7">
                  <w:pPr>
                    <w:jc w:val="center"/>
                    <w:rPr>
                      <w:sz w:val="21"/>
                      <w:szCs w:val="21"/>
                      <w:u w:val="none"/>
                    </w:rPr>
                  </w:pPr>
                  <w:r>
                    <w:rPr>
                      <w:rFonts w:hint="eastAsia"/>
                      <w:sz w:val="21"/>
                      <w:szCs w:val="21"/>
                      <w:u w:val="none"/>
                    </w:rPr>
                    <w:t>/</w:t>
                  </w:r>
                </w:p>
              </w:tc>
              <w:tc>
                <w:tcPr>
                  <w:tcW w:w="0" w:type="auto"/>
                  <w:shd w:val="clear" w:color="auto" w:fill="auto"/>
                  <w:vAlign w:val="center"/>
                </w:tcPr>
                <w:p w14:paraId="1E645360">
                  <w:pPr>
                    <w:jc w:val="center"/>
                    <w:rPr>
                      <w:sz w:val="21"/>
                      <w:szCs w:val="21"/>
                      <w:u w:val="none"/>
                    </w:rPr>
                  </w:pPr>
                  <w:r>
                    <w:rPr>
                      <w:rFonts w:hint="eastAsia"/>
                      <w:sz w:val="21"/>
                      <w:szCs w:val="21"/>
                      <w:u w:val="none"/>
                    </w:rPr>
                    <w:t>0.4</w:t>
                  </w:r>
                </w:p>
              </w:tc>
              <w:tc>
                <w:tcPr>
                  <w:tcW w:w="0" w:type="auto"/>
                  <w:vMerge w:val="restart"/>
                  <w:shd w:val="clear" w:color="auto" w:fill="auto"/>
                  <w:vAlign w:val="center"/>
                </w:tcPr>
                <w:p w14:paraId="09DF5D20">
                  <w:pPr>
                    <w:jc w:val="center"/>
                    <w:rPr>
                      <w:sz w:val="21"/>
                      <w:szCs w:val="21"/>
                      <w:u w:val="none"/>
                    </w:rPr>
                  </w:pPr>
                  <w:r>
                    <w:rPr>
                      <w:sz w:val="21"/>
                      <w:szCs w:val="21"/>
                      <w:u w:val="none"/>
                    </w:rPr>
                    <w:t>一般固废暂存间</w:t>
                  </w:r>
                </w:p>
              </w:tc>
              <w:tc>
                <w:tcPr>
                  <w:tcW w:w="0" w:type="auto"/>
                  <w:shd w:val="clear" w:color="auto" w:fill="auto"/>
                  <w:vAlign w:val="center"/>
                </w:tcPr>
                <w:p w14:paraId="59044088">
                  <w:pPr>
                    <w:jc w:val="center"/>
                    <w:rPr>
                      <w:sz w:val="21"/>
                      <w:szCs w:val="21"/>
                      <w:u w:val="none"/>
                    </w:rPr>
                  </w:pPr>
                  <w:r>
                    <w:rPr>
                      <w:rFonts w:hint="eastAsia"/>
                      <w:sz w:val="21"/>
                      <w:szCs w:val="21"/>
                      <w:u w:val="none"/>
                    </w:rPr>
                    <w:t>外售综合利用</w:t>
                  </w:r>
                </w:p>
              </w:tc>
              <w:tc>
                <w:tcPr>
                  <w:tcW w:w="0" w:type="auto"/>
                  <w:shd w:val="clear" w:color="auto" w:fill="auto"/>
                  <w:vAlign w:val="center"/>
                </w:tcPr>
                <w:p w14:paraId="132C8C2F">
                  <w:pPr>
                    <w:jc w:val="center"/>
                    <w:rPr>
                      <w:sz w:val="21"/>
                      <w:szCs w:val="21"/>
                      <w:u w:val="none"/>
                    </w:rPr>
                  </w:pPr>
                  <w:r>
                    <w:rPr>
                      <w:rFonts w:hint="eastAsia"/>
                      <w:sz w:val="21"/>
                      <w:szCs w:val="21"/>
                      <w:u w:val="none"/>
                    </w:rPr>
                    <w:t>0.4</w:t>
                  </w:r>
                </w:p>
              </w:tc>
            </w:tr>
            <w:tr w14:paraId="3E24C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43E94FA1">
                  <w:pPr>
                    <w:jc w:val="center"/>
                    <w:rPr>
                      <w:bCs/>
                      <w:spacing w:val="-10"/>
                      <w:sz w:val="21"/>
                      <w:szCs w:val="21"/>
                      <w:u w:val="none"/>
                    </w:rPr>
                  </w:pPr>
                  <w:r>
                    <w:rPr>
                      <w:rFonts w:hint="eastAsia"/>
                      <w:bCs/>
                      <w:spacing w:val="-10"/>
                      <w:sz w:val="21"/>
                      <w:szCs w:val="21"/>
                      <w:u w:val="none"/>
                    </w:rPr>
                    <w:t>锅炉炉渣及布袋除尘器集尘灰</w:t>
                  </w:r>
                </w:p>
              </w:tc>
              <w:tc>
                <w:tcPr>
                  <w:tcW w:w="0" w:type="auto"/>
                  <w:vMerge w:val="continue"/>
                  <w:shd w:val="clear" w:color="auto" w:fill="auto"/>
                  <w:vAlign w:val="center"/>
                </w:tcPr>
                <w:p w14:paraId="68A0A9A7">
                  <w:pPr>
                    <w:jc w:val="center"/>
                    <w:rPr>
                      <w:bCs/>
                      <w:spacing w:val="-10"/>
                      <w:sz w:val="21"/>
                      <w:szCs w:val="21"/>
                      <w:u w:val="none"/>
                    </w:rPr>
                  </w:pPr>
                </w:p>
              </w:tc>
              <w:tc>
                <w:tcPr>
                  <w:tcW w:w="1285" w:type="dxa"/>
                  <w:shd w:val="clear" w:color="auto" w:fill="auto"/>
                  <w:vAlign w:val="center"/>
                </w:tcPr>
                <w:p w14:paraId="76996785">
                  <w:pPr>
                    <w:jc w:val="center"/>
                    <w:rPr>
                      <w:rFonts w:hint="eastAsia" w:eastAsia="宋体"/>
                      <w:bCs/>
                      <w:spacing w:val="-10"/>
                      <w:sz w:val="21"/>
                      <w:szCs w:val="21"/>
                      <w:u w:val="none"/>
                      <w:lang w:eastAsia="zh-CN"/>
                    </w:rPr>
                  </w:pPr>
                  <w:r>
                    <w:rPr>
                      <w:rFonts w:hint="eastAsia"/>
                      <w:bCs/>
                      <w:spacing w:val="-10"/>
                      <w:sz w:val="21"/>
                      <w:szCs w:val="21"/>
                      <w:u w:val="none"/>
                      <w:lang w:eastAsia="zh-CN"/>
                    </w:rPr>
                    <w:t>900-099-S59</w:t>
                  </w:r>
                </w:p>
              </w:tc>
              <w:tc>
                <w:tcPr>
                  <w:tcW w:w="635" w:type="dxa"/>
                  <w:shd w:val="clear" w:color="auto" w:fill="auto"/>
                  <w:vAlign w:val="center"/>
                </w:tcPr>
                <w:p w14:paraId="7625632E">
                  <w:pPr>
                    <w:jc w:val="center"/>
                    <w:rPr>
                      <w:sz w:val="21"/>
                      <w:szCs w:val="21"/>
                      <w:u w:val="none"/>
                    </w:rPr>
                  </w:pPr>
                  <w:r>
                    <w:rPr>
                      <w:rFonts w:hint="eastAsia"/>
                      <w:sz w:val="21"/>
                      <w:szCs w:val="21"/>
                      <w:u w:val="none"/>
                    </w:rPr>
                    <w:t>/</w:t>
                  </w:r>
                </w:p>
              </w:tc>
              <w:tc>
                <w:tcPr>
                  <w:tcW w:w="0" w:type="auto"/>
                  <w:shd w:val="clear" w:color="auto" w:fill="auto"/>
                  <w:vAlign w:val="center"/>
                </w:tcPr>
                <w:p w14:paraId="135AE44F">
                  <w:pPr>
                    <w:jc w:val="center"/>
                    <w:rPr>
                      <w:sz w:val="21"/>
                      <w:szCs w:val="21"/>
                      <w:u w:val="none"/>
                    </w:rPr>
                  </w:pPr>
                  <w:r>
                    <w:rPr>
                      <w:sz w:val="21"/>
                      <w:szCs w:val="21"/>
                      <w:u w:val="none"/>
                    </w:rPr>
                    <w:t>固态</w:t>
                  </w:r>
                </w:p>
              </w:tc>
              <w:tc>
                <w:tcPr>
                  <w:tcW w:w="0" w:type="auto"/>
                  <w:shd w:val="clear" w:color="auto" w:fill="auto"/>
                  <w:vAlign w:val="center"/>
                </w:tcPr>
                <w:p w14:paraId="20F56346">
                  <w:pPr>
                    <w:jc w:val="center"/>
                    <w:rPr>
                      <w:sz w:val="21"/>
                      <w:szCs w:val="21"/>
                      <w:u w:val="none"/>
                    </w:rPr>
                  </w:pPr>
                  <w:r>
                    <w:rPr>
                      <w:rFonts w:hint="eastAsia"/>
                      <w:sz w:val="21"/>
                      <w:szCs w:val="21"/>
                      <w:u w:val="none"/>
                    </w:rPr>
                    <w:t>/</w:t>
                  </w:r>
                </w:p>
              </w:tc>
              <w:tc>
                <w:tcPr>
                  <w:tcW w:w="0" w:type="auto"/>
                  <w:shd w:val="clear" w:color="auto" w:fill="auto"/>
                  <w:vAlign w:val="center"/>
                </w:tcPr>
                <w:p w14:paraId="00EE2D3B">
                  <w:pPr>
                    <w:jc w:val="center"/>
                    <w:rPr>
                      <w:sz w:val="21"/>
                      <w:szCs w:val="21"/>
                      <w:u w:val="none"/>
                    </w:rPr>
                  </w:pPr>
                  <w:r>
                    <w:rPr>
                      <w:rFonts w:hint="eastAsia"/>
                      <w:sz w:val="21"/>
                      <w:szCs w:val="21"/>
                      <w:u w:val="none"/>
                    </w:rPr>
                    <w:t>111.089</w:t>
                  </w:r>
                </w:p>
              </w:tc>
              <w:tc>
                <w:tcPr>
                  <w:tcW w:w="0" w:type="auto"/>
                  <w:vMerge w:val="continue"/>
                  <w:shd w:val="clear" w:color="auto" w:fill="auto"/>
                  <w:vAlign w:val="center"/>
                </w:tcPr>
                <w:p w14:paraId="4C49D7C5">
                  <w:pPr>
                    <w:jc w:val="center"/>
                    <w:rPr>
                      <w:sz w:val="21"/>
                      <w:szCs w:val="21"/>
                      <w:u w:val="none"/>
                    </w:rPr>
                  </w:pPr>
                </w:p>
              </w:tc>
              <w:tc>
                <w:tcPr>
                  <w:tcW w:w="0" w:type="auto"/>
                  <w:shd w:val="clear" w:color="auto" w:fill="auto"/>
                  <w:vAlign w:val="center"/>
                </w:tcPr>
                <w:p w14:paraId="47E78845">
                  <w:pPr>
                    <w:jc w:val="center"/>
                    <w:rPr>
                      <w:sz w:val="21"/>
                      <w:szCs w:val="21"/>
                      <w:u w:val="none"/>
                    </w:rPr>
                  </w:pPr>
                  <w:r>
                    <w:rPr>
                      <w:rFonts w:hint="eastAsia"/>
                      <w:sz w:val="21"/>
                      <w:szCs w:val="21"/>
                      <w:u w:val="none"/>
                    </w:rPr>
                    <w:t>用于农肥</w:t>
                  </w:r>
                </w:p>
              </w:tc>
              <w:tc>
                <w:tcPr>
                  <w:tcW w:w="0" w:type="auto"/>
                  <w:shd w:val="clear" w:color="auto" w:fill="auto"/>
                  <w:vAlign w:val="center"/>
                </w:tcPr>
                <w:p w14:paraId="18638CFF">
                  <w:pPr>
                    <w:jc w:val="center"/>
                    <w:rPr>
                      <w:sz w:val="21"/>
                      <w:szCs w:val="21"/>
                      <w:u w:val="none"/>
                    </w:rPr>
                  </w:pPr>
                  <w:r>
                    <w:rPr>
                      <w:rFonts w:hint="eastAsia"/>
                      <w:sz w:val="21"/>
                      <w:szCs w:val="21"/>
                      <w:u w:val="none"/>
                    </w:rPr>
                    <w:t>111.089</w:t>
                  </w:r>
                </w:p>
              </w:tc>
            </w:tr>
            <w:tr w14:paraId="4CCF7D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23471E6B">
                  <w:pPr>
                    <w:jc w:val="center"/>
                    <w:rPr>
                      <w:bCs/>
                      <w:spacing w:val="-10"/>
                      <w:sz w:val="21"/>
                      <w:szCs w:val="21"/>
                      <w:u w:val="none"/>
                    </w:rPr>
                  </w:pPr>
                  <w:r>
                    <w:rPr>
                      <w:rFonts w:hint="eastAsia"/>
                      <w:bCs/>
                      <w:spacing w:val="-10"/>
                      <w:sz w:val="21"/>
                      <w:szCs w:val="21"/>
                      <w:u w:val="none"/>
                    </w:rPr>
                    <w:t>废离子交换树脂</w:t>
                  </w:r>
                </w:p>
              </w:tc>
              <w:tc>
                <w:tcPr>
                  <w:tcW w:w="0" w:type="auto"/>
                  <w:vMerge w:val="continue"/>
                  <w:shd w:val="clear" w:color="auto" w:fill="auto"/>
                  <w:vAlign w:val="center"/>
                </w:tcPr>
                <w:p w14:paraId="7A66A7E3">
                  <w:pPr>
                    <w:jc w:val="center"/>
                    <w:rPr>
                      <w:bCs/>
                      <w:spacing w:val="-10"/>
                      <w:sz w:val="21"/>
                      <w:szCs w:val="21"/>
                      <w:u w:val="none"/>
                    </w:rPr>
                  </w:pPr>
                </w:p>
              </w:tc>
              <w:tc>
                <w:tcPr>
                  <w:tcW w:w="1285" w:type="dxa"/>
                  <w:shd w:val="clear" w:color="auto" w:fill="auto"/>
                  <w:vAlign w:val="center"/>
                </w:tcPr>
                <w:p w14:paraId="4F43B86F">
                  <w:pPr>
                    <w:jc w:val="center"/>
                    <w:rPr>
                      <w:rFonts w:hint="eastAsia" w:eastAsia="宋体"/>
                      <w:bCs/>
                      <w:spacing w:val="-10"/>
                      <w:sz w:val="21"/>
                      <w:szCs w:val="21"/>
                      <w:u w:val="none"/>
                      <w:lang w:eastAsia="zh-CN"/>
                    </w:rPr>
                  </w:pPr>
                  <w:r>
                    <w:rPr>
                      <w:rFonts w:hint="eastAsia"/>
                      <w:bCs/>
                      <w:spacing w:val="-10"/>
                      <w:sz w:val="21"/>
                      <w:szCs w:val="21"/>
                      <w:u w:val="none"/>
                      <w:lang w:eastAsia="zh-CN"/>
                    </w:rPr>
                    <w:t>900-008-S59</w:t>
                  </w:r>
                </w:p>
              </w:tc>
              <w:tc>
                <w:tcPr>
                  <w:tcW w:w="635" w:type="dxa"/>
                  <w:shd w:val="clear" w:color="auto" w:fill="auto"/>
                  <w:vAlign w:val="center"/>
                </w:tcPr>
                <w:p w14:paraId="740755A9">
                  <w:pPr>
                    <w:jc w:val="center"/>
                    <w:rPr>
                      <w:sz w:val="21"/>
                      <w:szCs w:val="21"/>
                      <w:u w:val="none"/>
                    </w:rPr>
                  </w:pPr>
                  <w:r>
                    <w:rPr>
                      <w:rFonts w:hint="eastAsia"/>
                      <w:sz w:val="21"/>
                      <w:szCs w:val="21"/>
                      <w:u w:val="none"/>
                    </w:rPr>
                    <w:t>/</w:t>
                  </w:r>
                </w:p>
              </w:tc>
              <w:tc>
                <w:tcPr>
                  <w:tcW w:w="0" w:type="auto"/>
                  <w:shd w:val="clear" w:color="auto" w:fill="auto"/>
                  <w:vAlign w:val="center"/>
                </w:tcPr>
                <w:p w14:paraId="586E1E58">
                  <w:pPr>
                    <w:jc w:val="center"/>
                    <w:rPr>
                      <w:sz w:val="21"/>
                      <w:szCs w:val="21"/>
                      <w:u w:val="none"/>
                    </w:rPr>
                  </w:pPr>
                  <w:r>
                    <w:rPr>
                      <w:sz w:val="21"/>
                      <w:szCs w:val="21"/>
                      <w:u w:val="none"/>
                    </w:rPr>
                    <w:t>固态</w:t>
                  </w:r>
                </w:p>
              </w:tc>
              <w:tc>
                <w:tcPr>
                  <w:tcW w:w="0" w:type="auto"/>
                  <w:shd w:val="clear" w:color="auto" w:fill="auto"/>
                  <w:vAlign w:val="center"/>
                </w:tcPr>
                <w:p w14:paraId="138EE9D1">
                  <w:pPr>
                    <w:jc w:val="center"/>
                    <w:rPr>
                      <w:rFonts w:hint="eastAsia" w:eastAsia="宋体"/>
                      <w:sz w:val="21"/>
                      <w:szCs w:val="21"/>
                      <w:u w:val="none"/>
                      <w:lang w:val="en-US" w:eastAsia="zh-CN"/>
                    </w:rPr>
                  </w:pPr>
                  <w:r>
                    <w:rPr>
                      <w:rFonts w:hint="eastAsia"/>
                      <w:sz w:val="21"/>
                      <w:szCs w:val="21"/>
                      <w:u w:val="none"/>
                      <w:lang w:val="en-US" w:eastAsia="zh-CN"/>
                    </w:rPr>
                    <w:t>/</w:t>
                  </w:r>
                </w:p>
              </w:tc>
              <w:tc>
                <w:tcPr>
                  <w:tcW w:w="0" w:type="auto"/>
                  <w:shd w:val="clear" w:color="auto" w:fill="auto"/>
                  <w:vAlign w:val="center"/>
                </w:tcPr>
                <w:p w14:paraId="6CACB437">
                  <w:pPr>
                    <w:jc w:val="center"/>
                    <w:rPr>
                      <w:sz w:val="21"/>
                      <w:szCs w:val="21"/>
                      <w:u w:val="none"/>
                    </w:rPr>
                  </w:pPr>
                  <w:r>
                    <w:rPr>
                      <w:rFonts w:hint="eastAsia"/>
                      <w:sz w:val="21"/>
                      <w:szCs w:val="21"/>
                      <w:u w:val="none"/>
                    </w:rPr>
                    <w:t>0.3</w:t>
                  </w:r>
                </w:p>
              </w:tc>
              <w:tc>
                <w:tcPr>
                  <w:tcW w:w="0" w:type="auto"/>
                  <w:vMerge w:val="continue"/>
                  <w:shd w:val="clear" w:color="auto" w:fill="auto"/>
                  <w:vAlign w:val="center"/>
                </w:tcPr>
                <w:p w14:paraId="388A9226">
                  <w:pPr>
                    <w:jc w:val="center"/>
                    <w:rPr>
                      <w:sz w:val="21"/>
                      <w:szCs w:val="21"/>
                      <w:u w:val="none"/>
                    </w:rPr>
                  </w:pPr>
                </w:p>
              </w:tc>
              <w:tc>
                <w:tcPr>
                  <w:tcW w:w="0" w:type="auto"/>
                  <w:shd w:val="clear" w:color="auto" w:fill="auto"/>
                  <w:vAlign w:val="center"/>
                </w:tcPr>
                <w:p w14:paraId="3715927F">
                  <w:pPr>
                    <w:jc w:val="center"/>
                    <w:rPr>
                      <w:sz w:val="21"/>
                      <w:szCs w:val="21"/>
                      <w:u w:val="none"/>
                    </w:rPr>
                  </w:pPr>
                  <w:r>
                    <w:rPr>
                      <w:rFonts w:hint="eastAsia"/>
                      <w:sz w:val="21"/>
                      <w:szCs w:val="21"/>
                      <w:u w:val="none"/>
                    </w:rPr>
                    <w:t>由原厂家直接回收处理</w:t>
                  </w:r>
                </w:p>
              </w:tc>
              <w:tc>
                <w:tcPr>
                  <w:tcW w:w="0" w:type="auto"/>
                  <w:shd w:val="clear" w:color="auto" w:fill="auto"/>
                  <w:vAlign w:val="center"/>
                </w:tcPr>
                <w:p w14:paraId="51A1F20B">
                  <w:pPr>
                    <w:jc w:val="center"/>
                    <w:rPr>
                      <w:sz w:val="21"/>
                      <w:szCs w:val="21"/>
                      <w:u w:val="none"/>
                    </w:rPr>
                  </w:pPr>
                  <w:r>
                    <w:rPr>
                      <w:rFonts w:hint="eastAsia"/>
                      <w:sz w:val="21"/>
                      <w:szCs w:val="21"/>
                      <w:u w:val="none"/>
                    </w:rPr>
                    <w:t>0.3</w:t>
                  </w:r>
                </w:p>
              </w:tc>
            </w:tr>
            <w:tr w14:paraId="40FB21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7414DC0E">
                  <w:pPr>
                    <w:jc w:val="center"/>
                    <w:rPr>
                      <w:rFonts w:hint="eastAsia" w:ascii="Times New Roman" w:hAnsi="Times New Roman" w:eastAsia="宋体" w:cs="Times New Roman"/>
                      <w:kern w:val="2"/>
                      <w:sz w:val="21"/>
                      <w:szCs w:val="21"/>
                      <w:u w:val="none"/>
                      <w:lang w:val="en-US" w:eastAsia="zh-CN" w:bidi="ar-SA"/>
                    </w:rPr>
                  </w:pPr>
                  <w:r>
                    <w:rPr>
                      <w:rFonts w:hint="eastAsia"/>
                      <w:sz w:val="21"/>
                      <w:szCs w:val="21"/>
                      <w:u w:val="none"/>
                      <w:lang w:eastAsia="zh-CN"/>
                    </w:rPr>
                    <w:t>纤维絮</w:t>
                  </w:r>
                </w:p>
              </w:tc>
              <w:tc>
                <w:tcPr>
                  <w:tcW w:w="0" w:type="auto"/>
                  <w:vMerge w:val="continue"/>
                  <w:shd w:val="clear" w:color="auto" w:fill="auto"/>
                  <w:vAlign w:val="center"/>
                </w:tcPr>
                <w:p w14:paraId="41C05740">
                  <w:pPr>
                    <w:jc w:val="center"/>
                    <w:rPr>
                      <w:rFonts w:hint="eastAsia" w:ascii="Times New Roman" w:hAnsi="Times New Roman" w:eastAsia="宋体" w:cs="Times New Roman"/>
                      <w:bCs/>
                      <w:spacing w:val="-10"/>
                      <w:kern w:val="2"/>
                      <w:sz w:val="21"/>
                      <w:szCs w:val="21"/>
                      <w:u w:val="none"/>
                      <w:lang w:val="en-US" w:eastAsia="zh-CN" w:bidi="ar-SA"/>
                    </w:rPr>
                  </w:pPr>
                </w:p>
              </w:tc>
              <w:tc>
                <w:tcPr>
                  <w:tcW w:w="1285" w:type="dxa"/>
                  <w:shd w:val="clear" w:color="auto" w:fill="auto"/>
                  <w:vAlign w:val="center"/>
                </w:tcPr>
                <w:p w14:paraId="637637E6">
                  <w:pPr>
                    <w:jc w:val="center"/>
                    <w:rPr>
                      <w:rFonts w:hint="eastAsia" w:ascii="Times New Roman" w:hAnsi="Times New Roman" w:eastAsia="宋体" w:cs="Times New Roman"/>
                      <w:bCs/>
                      <w:spacing w:val="-10"/>
                      <w:kern w:val="2"/>
                      <w:sz w:val="21"/>
                      <w:szCs w:val="21"/>
                      <w:u w:val="none"/>
                      <w:lang w:val="en-US" w:eastAsia="zh-CN" w:bidi="ar-SA"/>
                    </w:rPr>
                  </w:pPr>
                  <w:r>
                    <w:rPr>
                      <w:rFonts w:hint="eastAsia"/>
                      <w:bCs/>
                      <w:spacing w:val="-10"/>
                      <w:sz w:val="21"/>
                      <w:szCs w:val="21"/>
                      <w:u w:val="none"/>
                      <w:lang w:eastAsia="zh-CN"/>
                    </w:rPr>
                    <w:t>900-099-S59</w:t>
                  </w:r>
                </w:p>
              </w:tc>
              <w:tc>
                <w:tcPr>
                  <w:tcW w:w="635" w:type="dxa"/>
                  <w:shd w:val="clear" w:color="auto" w:fill="auto"/>
                  <w:vAlign w:val="center"/>
                </w:tcPr>
                <w:p w14:paraId="519CC6C4">
                  <w:pPr>
                    <w:jc w:val="center"/>
                    <w:rPr>
                      <w:rFonts w:hint="eastAsia" w:ascii="Times New Roman" w:hAnsi="Times New Roman" w:eastAsia="宋体" w:cs="Times New Roman"/>
                      <w:kern w:val="2"/>
                      <w:sz w:val="21"/>
                      <w:szCs w:val="21"/>
                      <w:u w:val="none"/>
                      <w:lang w:val="en-US" w:eastAsia="zh-CN" w:bidi="ar-SA"/>
                    </w:rPr>
                  </w:pPr>
                  <w:r>
                    <w:rPr>
                      <w:rFonts w:hint="eastAsia"/>
                      <w:sz w:val="21"/>
                      <w:szCs w:val="21"/>
                      <w:u w:val="none"/>
                    </w:rPr>
                    <w:t>/</w:t>
                  </w:r>
                </w:p>
              </w:tc>
              <w:tc>
                <w:tcPr>
                  <w:tcW w:w="0" w:type="auto"/>
                  <w:shd w:val="clear" w:color="auto" w:fill="auto"/>
                  <w:vAlign w:val="center"/>
                </w:tcPr>
                <w:p w14:paraId="439F514F">
                  <w:pPr>
                    <w:jc w:val="center"/>
                    <w:rPr>
                      <w:rFonts w:hint="eastAsia" w:ascii="Times New Roman" w:hAnsi="Times New Roman" w:eastAsia="宋体" w:cs="Times New Roman"/>
                      <w:kern w:val="2"/>
                      <w:sz w:val="21"/>
                      <w:szCs w:val="21"/>
                      <w:u w:val="none"/>
                      <w:lang w:val="en-US" w:eastAsia="zh-CN" w:bidi="ar-SA"/>
                    </w:rPr>
                  </w:pPr>
                  <w:r>
                    <w:rPr>
                      <w:sz w:val="21"/>
                      <w:szCs w:val="21"/>
                      <w:u w:val="none"/>
                    </w:rPr>
                    <w:t>固态</w:t>
                  </w:r>
                </w:p>
              </w:tc>
              <w:tc>
                <w:tcPr>
                  <w:tcW w:w="0" w:type="auto"/>
                  <w:shd w:val="clear" w:color="auto" w:fill="auto"/>
                  <w:vAlign w:val="center"/>
                </w:tcPr>
                <w:p w14:paraId="35547AE1">
                  <w:pPr>
                    <w:jc w:val="center"/>
                    <w:rPr>
                      <w:rFonts w:hint="eastAsia" w:ascii="Times New Roman" w:hAnsi="Times New Roman" w:eastAsia="宋体" w:cs="Times New Roman"/>
                      <w:kern w:val="2"/>
                      <w:sz w:val="21"/>
                      <w:szCs w:val="21"/>
                      <w:u w:val="none"/>
                      <w:lang w:val="en-US" w:eastAsia="zh-CN" w:bidi="ar-SA"/>
                    </w:rPr>
                  </w:pPr>
                  <w:r>
                    <w:rPr>
                      <w:rFonts w:hint="eastAsia"/>
                      <w:sz w:val="21"/>
                      <w:szCs w:val="21"/>
                      <w:u w:val="none"/>
                      <w:lang w:val="en-US" w:eastAsia="zh-CN"/>
                    </w:rPr>
                    <w:t>/</w:t>
                  </w:r>
                </w:p>
              </w:tc>
              <w:tc>
                <w:tcPr>
                  <w:tcW w:w="0" w:type="auto"/>
                  <w:shd w:val="clear" w:color="auto" w:fill="auto"/>
                  <w:vAlign w:val="center"/>
                </w:tcPr>
                <w:p w14:paraId="50AD93E3">
                  <w:pPr>
                    <w:jc w:val="center"/>
                    <w:rPr>
                      <w:rFonts w:hint="default" w:ascii="Times New Roman" w:hAnsi="Times New Roman" w:eastAsia="宋体" w:cs="Times New Roman"/>
                      <w:kern w:val="2"/>
                      <w:sz w:val="21"/>
                      <w:szCs w:val="21"/>
                      <w:u w:val="none"/>
                      <w:lang w:val="en-US" w:eastAsia="zh-CN" w:bidi="ar-SA"/>
                    </w:rPr>
                  </w:pPr>
                  <w:r>
                    <w:rPr>
                      <w:rFonts w:hint="eastAsia"/>
                      <w:sz w:val="21"/>
                      <w:szCs w:val="21"/>
                      <w:u w:val="none"/>
                    </w:rPr>
                    <w:t>0.</w:t>
                  </w:r>
                  <w:r>
                    <w:rPr>
                      <w:rFonts w:hint="eastAsia"/>
                      <w:sz w:val="21"/>
                      <w:szCs w:val="21"/>
                      <w:u w:val="none"/>
                      <w:lang w:val="en-US" w:eastAsia="zh-CN"/>
                    </w:rPr>
                    <w:t>0672</w:t>
                  </w:r>
                </w:p>
              </w:tc>
              <w:tc>
                <w:tcPr>
                  <w:tcW w:w="0" w:type="auto"/>
                  <w:shd w:val="clear" w:color="auto" w:fill="auto"/>
                  <w:vAlign w:val="center"/>
                </w:tcPr>
                <w:p w14:paraId="4D385357">
                  <w:pPr>
                    <w:jc w:val="center"/>
                    <w:rPr>
                      <w:rFonts w:hint="eastAsia" w:ascii="Times New Roman" w:hAnsi="Times New Roman" w:eastAsia="宋体" w:cs="Times New Roman"/>
                      <w:kern w:val="2"/>
                      <w:sz w:val="21"/>
                      <w:szCs w:val="21"/>
                      <w:u w:val="none"/>
                      <w:lang w:val="en-US" w:eastAsia="zh-CN" w:bidi="ar-SA"/>
                    </w:rPr>
                  </w:pPr>
                  <w:r>
                    <w:rPr>
                      <w:rFonts w:hint="eastAsia" w:cs="Times New Roman"/>
                      <w:kern w:val="2"/>
                      <w:sz w:val="21"/>
                      <w:szCs w:val="21"/>
                      <w:u w:val="none"/>
                      <w:lang w:val="en-US" w:eastAsia="zh-CN" w:bidi="ar-SA"/>
                    </w:rPr>
                    <w:t>与生活垃圾一并暂存</w:t>
                  </w:r>
                </w:p>
              </w:tc>
              <w:tc>
                <w:tcPr>
                  <w:tcW w:w="0" w:type="auto"/>
                  <w:shd w:val="clear" w:color="auto" w:fill="auto"/>
                  <w:vAlign w:val="center"/>
                </w:tcPr>
                <w:p w14:paraId="4D2AF4B6">
                  <w:pPr>
                    <w:jc w:val="center"/>
                    <w:rPr>
                      <w:rFonts w:hint="eastAsia" w:ascii="Times New Roman" w:hAnsi="Times New Roman" w:eastAsia="宋体" w:cs="Times New Roman"/>
                      <w:kern w:val="2"/>
                      <w:sz w:val="21"/>
                      <w:szCs w:val="21"/>
                      <w:u w:val="none"/>
                      <w:lang w:val="en-US" w:eastAsia="zh-CN" w:bidi="ar-SA"/>
                    </w:rPr>
                  </w:pPr>
                  <w:r>
                    <w:rPr>
                      <w:sz w:val="21"/>
                      <w:szCs w:val="21"/>
                      <w:u w:val="none"/>
                    </w:rPr>
                    <w:t>交环卫部门清运处理</w:t>
                  </w:r>
                </w:p>
              </w:tc>
              <w:tc>
                <w:tcPr>
                  <w:tcW w:w="0" w:type="auto"/>
                  <w:shd w:val="clear" w:color="auto" w:fill="auto"/>
                  <w:vAlign w:val="center"/>
                </w:tcPr>
                <w:p w14:paraId="20561A77">
                  <w:pPr>
                    <w:jc w:val="center"/>
                    <w:rPr>
                      <w:rFonts w:hint="eastAsia" w:ascii="Times New Roman" w:hAnsi="Times New Roman" w:eastAsia="宋体" w:cs="Times New Roman"/>
                      <w:kern w:val="2"/>
                      <w:sz w:val="21"/>
                      <w:szCs w:val="21"/>
                      <w:u w:val="none"/>
                      <w:lang w:val="en-US" w:eastAsia="zh-CN" w:bidi="ar-SA"/>
                    </w:rPr>
                  </w:pPr>
                  <w:r>
                    <w:rPr>
                      <w:rFonts w:hint="eastAsia"/>
                      <w:sz w:val="21"/>
                      <w:szCs w:val="21"/>
                      <w:u w:val="none"/>
                    </w:rPr>
                    <w:t>0.</w:t>
                  </w:r>
                  <w:r>
                    <w:rPr>
                      <w:rFonts w:hint="eastAsia"/>
                      <w:sz w:val="21"/>
                      <w:szCs w:val="21"/>
                      <w:u w:val="none"/>
                      <w:lang w:val="en-US" w:eastAsia="zh-CN"/>
                    </w:rPr>
                    <w:t>0672</w:t>
                  </w:r>
                </w:p>
              </w:tc>
            </w:tr>
            <w:tr w14:paraId="6A721D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6B45077C">
                  <w:pPr>
                    <w:jc w:val="center"/>
                    <w:rPr>
                      <w:rFonts w:hint="eastAsia" w:eastAsia="宋体"/>
                      <w:bCs/>
                      <w:spacing w:val="-10"/>
                      <w:sz w:val="21"/>
                      <w:szCs w:val="21"/>
                      <w:u w:val="none"/>
                      <w:lang w:eastAsia="zh-CN"/>
                    </w:rPr>
                  </w:pPr>
                  <w:r>
                    <w:rPr>
                      <w:rFonts w:hint="eastAsia" w:ascii="Times New Roman" w:hAnsi="Times New Roman"/>
                      <w:sz w:val="21"/>
                      <w:szCs w:val="21"/>
                      <w:u w:val="none"/>
                    </w:rPr>
                    <w:t>医疗布草</w:t>
                  </w:r>
                  <w:r>
                    <w:rPr>
                      <w:rFonts w:hint="eastAsia" w:ascii="Times New Roman" w:hAnsi="Times New Roman"/>
                      <w:sz w:val="21"/>
                      <w:szCs w:val="21"/>
                      <w:u w:val="none"/>
                      <w:lang w:eastAsia="zh-CN"/>
                    </w:rPr>
                    <w:t>分拣废物</w:t>
                  </w:r>
                </w:p>
              </w:tc>
              <w:tc>
                <w:tcPr>
                  <w:tcW w:w="0" w:type="auto"/>
                  <w:shd w:val="clear" w:color="auto" w:fill="auto"/>
                  <w:vAlign w:val="center"/>
                </w:tcPr>
                <w:p w14:paraId="4B0A3E95">
                  <w:pPr>
                    <w:jc w:val="center"/>
                    <w:rPr>
                      <w:rFonts w:hint="eastAsia" w:eastAsia="宋体"/>
                      <w:bCs/>
                      <w:spacing w:val="-10"/>
                      <w:sz w:val="21"/>
                      <w:szCs w:val="21"/>
                      <w:u w:val="none"/>
                      <w:lang w:eastAsia="zh-CN"/>
                    </w:rPr>
                  </w:pPr>
                  <w:r>
                    <w:rPr>
                      <w:rFonts w:hint="eastAsia"/>
                      <w:bCs/>
                      <w:spacing w:val="-10"/>
                      <w:sz w:val="21"/>
                      <w:szCs w:val="21"/>
                      <w:u w:val="none"/>
                      <w:lang w:eastAsia="zh-CN"/>
                    </w:rPr>
                    <w:t>危险废物</w:t>
                  </w:r>
                </w:p>
              </w:tc>
              <w:tc>
                <w:tcPr>
                  <w:tcW w:w="1285" w:type="dxa"/>
                  <w:shd w:val="clear" w:color="auto" w:fill="auto"/>
                  <w:vAlign w:val="center"/>
                </w:tcPr>
                <w:p w14:paraId="16F89A41">
                  <w:pPr>
                    <w:jc w:val="center"/>
                    <w:rPr>
                      <w:rFonts w:hint="eastAsia" w:eastAsia="宋体"/>
                      <w:bCs/>
                      <w:spacing w:val="-10"/>
                      <w:sz w:val="21"/>
                      <w:szCs w:val="21"/>
                      <w:u w:val="none"/>
                    </w:rPr>
                  </w:pPr>
                  <w:r>
                    <w:rPr>
                      <w:rFonts w:hint="eastAsia" w:eastAsia="宋体"/>
                      <w:bCs/>
                      <w:spacing w:val="-10"/>
                      <w:sz w:val="21"/>
                      <w:szCs w:val="21"/>
                      <w:u w:val="none"/>
                      <w:lang w:val="en-US" w:eastAsia="zh-CN"/>
                    </w:rPr>
                    <w:t xml:space="preserve">HW01  </w:t>
                  </w:r>
                  <w:r>
                    <w:rPr>
                      <w:rFonts w:hint="eastAsia" w:eastAsia="宋体"/>
                      <w:bCs/>
                      <w:spacing w:val="-10"/>
                      <w:sz w:val="21"/>
                      <w:szCs w:val="21"/>
                      <w:u w:val="none"/>
                    </w:rPr>
                    <w:t>841-001-01</w:t>
                  </w:r>
                </w:p>
              </w:tc>
              <w:tc>
                <w:tcPr>
                  <w:tcW w:w="635" w:type="dxa"/>
                  <w:shd w:val="clear" w:color="auto" w:fill="auto"/>
                  <w:vAlign w:val="center"/>
                </w:tcPr>
                <w:p w14:paraId="2F0FAC7F">
                  <w:pPr>
                    <w:jc w:val="center"/>
                    <w:rPr>
                      <w:rFonts w:hint="eastAsia" w:ascii="Times New Roman" w:hAnsi="Times New Roman" w:eastAsia="宋体" w:cs="Times New Roman"/>
                      <w:kern w:val="2"/>
                      <w:sz w:val="21"/>
                      <w:szCs w:val="21"/>
                      <w:u w:val="none"/>
                      <w:lang w:val="en-US" w:eastAsia="zh-CN" w:bidi="ar-SA"/>
                    </w:rPr>
                  </w:pPr>
                  <w:r>
                    <w:rPr>
                      <w:rFonts w:hint="eastAsia"/>
                      <w:sz w:val="21"/>
                      <w:szCs w:val="21"/>
                      <w:u w:val="none"/>
                    </w:rPr>
                    <w:t>/</w:t>
                  </w:r>
                </w:p>
              </w:tc>
              <w:tc>
                <w:tcPr>
                  <w:tcW w:w="0" w:type="auto"/>
                  <w:shd w:val="clear" w:color="auto" w:fill="auto"/>
                  <w:vAlign w:val="center"/>
                </w:tcPr>
                <w:p w14:paraId="4F0752DC">
                  <w:pPr>
                    <w:jc w:val="center"/>
                    <w:rPr>
                      <w:rFonts w:ascii="Times New Roman" w:hAnsi="Times New Roman" w:eastAsia="宋体" w:cs="Times New Roman"/>
                      <w:kern w:val="2"/>
                      <w:sz w:val="21"/>
                      <w:szCs w:val="21"/>
                      <w:u w:val="none"/>
                      <w:lang w:val="en-US" w:eastAsia="zh-CN" w:bidi="ar-SA"/>
                    </w:rPr>
                  </w:pPr>
                  <w:r>
                    <w:rPr>
                      <w:rFonts w:hint="eastAsia"/>
                      <w:sz w:val="21"/>
                      <w:szCs w:val="21"/>
                      <w:u w:val="none"/>
                      <w:lang w:eastAsia="zh-CN"/>
                    </w:rPr>
                    <w:t>半</w:t>
                  </w:r>
                  <w:r>
                    <w:rPr>
                      <w:sz w:val="21"/>
                      <w:szCs w:val="21"/>
                      <w:u w:val="none"/>
                    </w:rPr>
                    <w:t>固态</w:t>
                  </w:r>
                </w:p>
              </w:tc>
              <w:tc>
                <w:tcPr>
                  <w:tcW w:w="0" w:type="auto"/>
                  <w:shd w:val="clear" w:color="auto" w:fill="auto"/>
                  <w:vAlign w:val="center"/>
                </w:tcPr>
                <w:p w14:paraId="08B1629E">
                  <w:pPr>
                    <w:jc w:val="center"/>
                    <w:rPr>
                      <w:rFonts w:hint="eastAsia" w:eastAsia="宋体"/>
                      <w:sz w:val="21"/>
                      <w:szCs w:val="21"/>
                      <w:u w:val="none"/>
                      <w:lang w:val="en-US" w:eastAsia="zh-CN"/>
                    </w:rPr>
                  </w:pPr>
                  <w:r>
                    <w:rPr>
                      <w:rFonts w:hint="eastAsia"/>
                      <w:sz w:val="21"/>
                      <w:szCs w:val="21"/>
                      <w:u w:val="none"/>
                      <w:lang w:val="en-US" w:eastAsia="zh-CN"/>
                    </w:rPr>
                    <w:t>In</w:t>
                  </w:r>
                </w:p>
              </w:tc>
              <w:tc>
                <w:tcPr>
                  <w:tcW w:w="0" w:type="auto"/>
                  <w:shd w:val="clear" w:color="auto" w:fill="auto"/>
                  <w:vAlign w:val="center"/>
                </w:tcPr>
                <w:p w14:paraId="7155FC5B">
                  <w:pPr>
                    <w:jc w:val="center"/>
                    <w:rPr>
                      <w:rFonts w:hint="default" w:eastAsia="宋体"/>
                      <w:sz w:val="21"/>
                      <w:szCs w:val="21"/>
                      <w:u w:val="none"/>
                      <w:lang w:val="en-US" w:eastAsia="zh-CN"/>
                    </w:rPr>
                  </w:pPr>
                  <w:r>
                    <w:rPr>
                      <w:rFonts w:hint="eastAsia"/>
                      <w:sz w:val="21"/>
                      <w:szCs w:val="21"/>
                      <w:u w:val="none"/>
                      <w:lang w:val="en-US" w:eastAsia="zh-CN"/>
                    </w:rPr>
                    <w:t>0.2</w:t>
                  </w:r>
                </w:p>
              </w:tc>
              <w:tc>
                <w:tcPr>
                  <w:tcW w:w="0" w:type="auto"/>
                  <w:shd w:val="clear" w:color="auto" w:fill="auto"/>
                  <w:vAlign w:val="center"/>
                </w:tcPr>
                <w:p w14:paraId="165152DD">
                  <w:pPr>
                    <w:jc w:val="center"/>
                    <w:rPr>
                      <w:rFonts w:hint="default" w:eastAsia="宋体"/>
                      <w:sz w:val="21"/>
                      <w:szCs w:val="21"/>
                      <w:u w:val="none"/>
                      <w:lang w:val="en-US" w:eastAsia="zh-CN"/>
                    </w:rPr>
                  </w:pPr>
                  <w:r>
                    <w:rPr>
                      <w:rFonts w:hint="eastAsia"/>
                      <w:sz w:val="21"/>
                      <w:szCs w:val="21"/>
                      <w:u w:val="none"/>
                      <w:lang w:val="en-US" w:eastAsia="zh-CN"/>
                    </w:rPr>
                    <w:t>危废暂存间</w:t>
                  </w:r>
                </w:p>
              </w:tc>
              <w:tc>
                <w:tcPr>
                  <w:tcW w:w="0" w:type="auto"/>
                  <w:shd w:val="clear" w:color="auto" w:fill="auto"/>
                  <w:vAlign w:val="center"/>
                </w:tcPr>
                <w:p w14:paraId="5711BB9B">
                  <w:pPr>
                    <w:jc w:val="center"/>
                    <w:rPr>
                      <w:rFonts w:hint="eastAsia"/>
                      <w:sz w:val="21"/>
                      <w:szCs w:val="21"/>
                      <w:u w:val="none"/>
                    </w:rPr>
                  </w:pPr>
                  <w:r>
                    <w:rPr>
                      <w:rFonts w:hint="eastAsia" w:ascii="Times New Roman" w:hAnsi="Times New Roman"/>
                      <w:sz w:val="21"/>
                      <w:szCs w:val="21"/>
                      <w:u w:val="none"/>
                    </w:rPr>
                    <w:t>收集暂存后每次接收脏布草时一并归还给医院方，由医院方交给有资质单位处置；</w:t>
                  </w:r>
                </w:p>
              </w:tc>
              <w:tc>
                <w:tcPr>
                  <w:tcW w:w="0" w:type="auto"/>
                  <w:shd w:val="clear" w:color="auto" w:fill="auto"/>
                  <w:vAlign w:val="center"/>
                </w:tcPr>
                <w:p w14:paraId="733A5FA1">
                  <w:pPr>
                    <w:jc w:val="center"/>
                    <w:rPr>
                      <w:rFonts w:hint="default" w:eastAsia="宋体"/>
                      <w:sz w:val="21"/>
                      <w:szCs w:val="21"/>
                      <w:u w:val="none"/>
                      <w:lang w:val="en-US" w:eastAsia="zh-CN"/>
                    </w:rPr>
                  </w:pPr>
                  <w:r>
                    <w:rPr>
                      <w:rFonts w:hint="eastAsia"/>
                      <w:sz w:val="21"/>
                      <w:szCs w:val="21"/>
                      <w:u w:val="none"/>
                      <w:lang w:val="en-US" w:eastAsia="zh-CN"/>
                    </w:rPr>
                    <w:t>0.2</w:t>
                  </w:r>
                </w:p>
              </w:tc>
            </w:tr>
            <w:tr w14:paraId="13C52C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0" w:type="auto"/>
                  <w:shd w:val="clear" w:color="auto" w:fill="auto"/>
                  <w:vAlign w:val="center"/>
                </w:tcPr>
                <w:p w14:paraId="66E87BDD">
                  <w:pPr>
                    <w:jc w:val="center"/>
                    <w:rPr>
                      <w:rFonts w:hint="eastAsia"/>
                      <w:bCs/>
                      <w:color w:val="auto"/>
                      <w:spacing w:val="-10"/>
                      <w:sz w:val="21"/>
                      <w:szCs w:val="21"/>
                      <w:u w:val="none"/>
                    </w:rPr>
                  </w:pPr>
                  <w:r>
                    <w:rPr>
                      <w:rFonts w:hint="eastAsia"/>
                      <w:bCs/>
                      <w:color w:val="auto"/>
                      <w:spacing w:val="-10"/>
                      <w:sz w:val="21"/>
                      <w:szCs w:val="21"/>
                      <w:u w:val="none"/>
                    </w:rPr>
                    <w:t>废水处理站污泥</w:t>
                  </w:r>
                </w:p>
              </w:tc>
              <w:tc>
                <w:tcPr>
                  <w:tcW w:w="0" w:type="auto"/>
                  <w:shd w:val="clear" w:color="auto" w:fill="auto"/>
                  <w:vAlign w:val="center"/>
                </w:tcPr>
                <w:p w14:paraId="70D6F31A">
                  <w:pPr>
                    <w:jc w:val="center"/>
                    <w:rPr>
                      <w:rFonts w:hint="default" w:eastAsia="宋体"/>
                      <w:bCs/>
                      <w:color w:val="auto"/>
                      <w:spacing w:val="-10"/>
                      <w:sz w:val="21"/>
                      <w:szCs w:val="21"/>
                      <w:u w:val="none"/>
                      <w:lang w:val="en-US" w:eastAsia="zh-CN"/>
                    </w:rPr>
                  </w:pPr>
                  <w:r>
                    <w:rPr>
                      <w:rFonts w:hint="eastAsia"/>
                      <w:bCs/>
                      <w:color w:val="auto"/>
                      <w:spacing w:val="-10"/>
                      <w:sz w:val="21"/>
                      <w:szCs w:val="21"/>
                      <w:u w:val="none"/>
                      <w:lang w:val="en-US" w:eastAsia="zh-CN"/>
                    </w:rPr>
                    <w:t>待检验</w:t>
                  </w:r>
                </w:p>
              </w:tc>
              <w:tc>
                <w:tcPr>
                  <w:tcW w:w="1285" w:type="dxa"/>
                  <w:shd w:val="clear" w:color="auto" w:fill="auto"/>
                  <w:vAlign w:val="center"/>
                </w:tcPr>
                <w:p w14:paraId="6BDF4D88">
                  <w:pPr>
                    <w:jc w:val="center"/>
                    <w:rPr>
                      <w:rFonts w:hint="eastAsia" w:eastAsia="宋体"/>
                      <w:bCs/>
                      <w:color w:val="auto"/>
                      <w:spacing w:val="-10"/>
                      <w:sz w:val="21"/>
                      <w:szCs w:val="21"/>
                      <w:u w:val="none"/>
                      <w:lang w:val="en-US" w:eastAsia="zh-CN"/>
                    </w:rPr>
                  </w:pPr>
                  <w:r>
                    <w:rPr>
                      <w:rFonts w:hint="eastAsia" w:eastAsia="宋体"/>
                      <w:bCs/>
                      <w:color w:val="auto"/>
                      <w:spacing w:val="-10"/>
                      <w:sz w:val="21"/>
                      <w:szCs w:val="21"/>
                      <w:u w:val="none"/>
                    </w:rPr>
                    <w:t>HW</w:t>
                  </w:r>
                  <w:r>
                    <w:rPr>
                      <w:rFonts w:hint="eastAsia" w:eastAsia="宋体"/>
                      <w:bCs/>
                      <w:color w:val="auto"/>
                      <w:spacing w:val="-10"/>
                      <w:sz w:val="21"/>
                      <w:szCs w:val="21"/>
                      <w:u w:val="none"/>
                      <w:lang w:val="en-US" w:eastAsia="zh-CN"/>
                    </w:rPr>
                    <w:t>49</w:t>
                  </w:r>
                </w:p>
                <w:p w14:paraId="572BDEFD">
                  <w:pPr>
                    <w:jc w:val="center"/>
                    <w:rPr>
                      <w:rFonts w:hint="eastAsia" w:eastAsia="宋体"/>
                      <w:bCs/>
                      <w:color w:val="auto"/>
                      <w:spacing w:val="-10"/>
                      <w:sz w:val="21"/>
                      <w:szCs w:val="21"/>
                      <w:u w:val="none"/>
                      <w:lang w:val="en-US" w:eastAsia="zh-CN"/>
                    </w:rPr>
                  </w:pPr>
                  <w:r>
                    <w:rPr>
                      <w:rFonts w:hint="eastAsia" w:eastAsia="宋体"/>
                      <w:bCs/>
                      <w:color w:val="auto"/>
                      <w:spacing w:val="-10"/>
                      <w:sz w:val="21"/>
                      <w:szCs w:val="21"/>
                      <w:u w:val="none"/>
                      <w:lang w:val="en-US" w:eastAsia="zh-CN"/>
                    </w:rPr>
                    <w:t>772-006-49</w:t>
                  </w:r>
                </w:p>
              </w:tc>
              <w:tc>
                <w:tcPr>
                  <w:tcW w:w="635" w:type="dxa"/>
                  <w:shd w:val="clear" w:color="auto" w:fill="auto"/>
                  <w:vAlign w:val="center"/>
                </w:tcPr>
                <w:p w14:paraId="098E86BA">
                  <w:pPr>
                    <w:jc w:val="center"/>
                    <w:rPr>
                      <w:rFonts w:hint="eastAsia" w:ascii="Times New Roman" w:hAnsi="Times New Roman" w:eastAsia="宋体" w:cs="Times New Roman"/>
                      <w:color w:val="auto"/>
                      <w:kern w:val="2"/>
                      <w:sz w:val="21"/>
                      <w:szCs w:val="21"/>
                      <w:u w:val="none"/>
                      <w:lang w:val="en-US" w:eastAsia="zh-CN" w:bidi="ar-SA"/>
                    </w:rPr>
                  </w:pPr>
                  <w:r>
                    <w:rPr>
                      <w:rFonts w:hint="eastAsia"/>
                      <w:color w:val="auto"/>
                      <w:sz w:val="21"/>
                      <w:szCs w:val="21"/>
                      <w:u w:val="none"/>
                    </w:rPr>
                    <w:t>/</w:t>
                  </w:r>
                </w:p>
              </w:tc>
              <w:tc>
                <w:tcPr>
                  <w:tcW w:w="0" w:type="auto"/>
                  <w:shd w:val="clear" w:color="auto" w:fill="auto"/>
                  <w:vAlign w:val="center"/>
                </w:tcPr>
                <w:p w14:paraId="09BDD70F">
                  <w:pPr>
                    <w:jc w:val="center"/>
                    <w:rPr>
                      <w:rFonts w:hint="eastAsia" w:ascii="Times New Roman" w:hAnsi="Times New Roman" w:eastAsia="宋体" w:cs="Times New Roman"/>
                      <w:color w:val="auto"/>
                      <w:kern w:val="2"/>
                      <w:sz w:val="21"/>
                      <w:szCs w:val="21"/>
                      <w:u w:val="none"/>
                      <w:lang w:val="en-US" w:eastAsia="zh-CN" w:bidi="ar-SA"/>
                    </w:rPr>
                  </w:pPr>
                  <w:r>
                    <w:rPr>
                      <w:rFonts w:hint="eastAsia"/>
                      <w:color w:val="auto"/>
                      <w:sz w:val="21"/>
                      <w:szCs w:val="21"/>
                      <w:u w:val="none"/>
                    </w:rPr>
                    <w:t>半</w:t>
                  </w:r>
                  <w:r>
                    <w:rPr>
                      <w:color w:val="auto"/>
                      <w:sz w:val="21"/>
                      <w:szCs w:val="21"/>
                      <w:u w:val="none"/>
                    </w:rPr>
                    <w:t>固态</w:t>
                  </w:r>
                </w:p>
              </w:tc>
              <w:tc>
                <w:tcPr>
                  <w:tcW w:w="0" w:type="auto"/>
                  <w:shd w:val="clear" w:color="auto" w:fill="auto"/>
                  <w:vAlign w:val="center"/>
                </w:tcPr>
                <w:p w14:paraId="016D2D32">
                  <w:pPr>
                    <w:jc w:val="center"/>
                    <w:rPr>
                      <w:rFonts w:ascii="Times New Roman" w:hAnsi="Times New Roman" w:eastAsia="宋体" w:cs="Times New Roman"/>
                      <w:color w:val="auto"/>
                      <w:kern w:val="2"/>
                      <w:sz w:val="21"/>
                      <w:szCs w:val="21"/>
                      <w:u w:val="none"/>
                      <w:lang w:val="en-US" w:eastAsia="zh-CN" w:bidi="ar-SA"/>
                    </w:rPr>
                  </w:pPr>
                </w:p>
              </w:tc>
              <w:tc>
                <w:tcPr>
                  <w:tcW w:w="0" w:type="auto"/>
                  <w:shd w:val="clear" w:color="auto" w:fill="auto"/>
                  <w:vAlign w:val="center"/>
                </w:tcPr>
                <w:p w14:paraId="69217BDE">
                  <w:pPr>
                    <w:jc w:val="center"/>
                    <w:rPr>
                      <w:rFonts w:hint="eastAsia" w:ascii="Times New Roman" w:hAnsi="Times New Roman" w:eastAsia="宋体" w:cs="Times New Roman"/>
                      <w:color w:val="auto"/>
                      <w:kern w:val="2"/>
                      <w:sz w:val="21"/>
                      <w:szCs w:val="21"/>
                      <w:u w:val="none"/>
                      <w:lang w:val="en-US" w:eastAsia="zh-CN" w:bidi="ar-SA"/>
                    </w:rPr>
                  </w:pPr>
                  <w:r>
                    <w:rPr>
                      <w:rFonts w:hint="eastAsia"/>
                      <w:color w:val="auto"/>
                      <w:sz w:val="21"/>
                      <w:szCs w:val="21"/>
                      <w:u w:val="none"/>
                      <w:lang w:eastAsia="zh-CN"/>
                    </w:rPr>
                    <w:t>10.93</w:t>
                  </w:r>
                </w:p>
              </w:tc>
              <w:tc>
                <w:tcPr>
                  <w:tcW w:w="0" w:type="auto"/>
                  <w:shd w:val="clear" w:color="auto" w:fill="auto"/>
                  <w:vAlign w:val="center"/>
                </w:tcPr>
                <w:p w14:paraId="3A232505">
                  <w:pPr>
                    <w:jc w:val="center"/>
                    <w:rPr>
                      <w:rFonts w:ascii="Times New Roman" w:hAnsi="Times New Roman" w:eastAsia="宋体" w:cs="Times New Roman"/>
                      <w:color w:val="auto"/>
                      <w:kern w:val="2"/>
                      <w:sz w:val="21"/>
                      <w:szCs w:val="21"/>
                      <w:u w:val="none"/>
                      <w:lang w:val="en-US" w:eastAsia="zh-CN" w:bidi="ar-SA"/>
                    </w:rPr>
                  </w:pPr>
                  <w:r>
                    <w:rPr>
                      <w:rFonts w:hint="eastAsia"/>
                      <w:color w:val="auto"/>
                      <w:sz w:val="21"/>
                      <w:szCs w:val="21"/>
                      <w:u w:val="none"/>
                      <w:lang w:val="en-US" w:eastAsia="zh-CN"/>
                    </w:rPr>
                    <w:t>危废暂存间</w:t>
                  </w:r>
                </w:p>
              </w:tc>
              <w:tc>
                <w:tcPr>
                  <w:tcW w:w="0" w:type="auto"/>
                  <w:shd w:val="clear" w:color="auto" w:fill="auto"/>
                  <w:vAlign w:val="center"/>
                </w:tcPr>
                <w:p w14:paraId="5055A336">
                  <w:pPr>
                    <w:jc w:val="center"/>
                    <w:rPr>
                      <w:rFonts w:hint="eastAsia"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待鉴定分析后，根据属性妥善处置</w:t>
                  </w:r>
                </w:p>
              </w:tc>
              <w:tc>
                <w:tcPr>
                  <w:tcW w:w="0" w:type="auto"/>
                  <w:shd w:val="clear" w:color="auto" w:fill="auto"/>
                  <w:vAlign w:val="center"/>
                </w:tcPr>
                <w:p w14:paraId="792102D7">
                  <w:pPr>
                    <w:jc w:val="center"/>
                    <w:rPr>
                      <w:rFonts w:hint="eastAsia" w:ascii="Times New Roman" w:hAnsi="Times New Roman" w:eastAsia="宋体" w:cs="Times New Roman"/>
                      <w:color w:val="auto"/>
                      <w:kern w:val="2"/>
                      <w:sz w:val="21"/>
                      <w:szCs w:val="21"/>
                      <w:u w:val="none"/>
                      <w:lang w:val="en-US" w:eastAsia="zh-CN" w:bidi="ar-SA"/>
                    </w:rPr>
                  </w:pPr>
                  <w:r>
                    <w:rPr>
                      <w:rFonts w:hint="eastAsia"/>
                      <w:color w:val="auto"/>
                      <w:sz w:val="21"/>
                      <w:szCs w:val="21"/>
                      <w:u w:val="none"/>
                      <w:lang w:eastAsia="zh-CN"/>
                    </w:rPr>
                    <w:t>10.93</w:t>
                  </w:r>
                </w:p>
              </w:tc>
            </w:tr>
          </w:tbl>
          <w:p w14:paraId="0321C361">
            <w:pPr>
              <w:pStyle w:val="9"/>
              <w:spacing w:after="0" w:line="360" w:lineRule="auto"/>
              <w:ind w:left="0" w:leftChars="0"/>
              <w:jc w:val="center"/>
              <w:rPr>
                <w:b/>
                <w:color w:val="auto"/>
                <w:sz w:val="21"/>
                <w:szCs w:val="18"/>
                <w:u w:val="none" w:color="auto"/>
              </w:rPr>
            </w:pPr>
            <w:r>
              <w:rPr>
                <w:b/>
                <w:color w:val="auto"/>
                <w:sz w:val="21"/>
                <w:szCs w:val="18"/>
                <w:u w:val="none" w:color="auto"/>
              </w:rPr>
              <w:t>表4-</w:t>
            </w:r>
            <w:r>
              <w:rPr>
                <w:rFonts w:hint="eastAsia"/>
                <w:b/>
                <w:color w:val="auto"/>
                <w:sz w:val="21"/>
                <w:szCs w:val="18"/>
                <w:u w:val="none" w:color="auto"/>
              </w:rPr>
              <w:t>11</w:t>
            </w:r>
            <w:r>
              <w:rPr>
                <w:b/>
                <w:color w:val="auto"/>
                <w:sz w:val="21"/>
                <w:szCs w:val="18"/>
                <w:u w:val="none" w:color="auto"/>
              </w:rPr>
              <w:t xml:space="preserve">  危险废物汇总表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01"/>
              <w:gridCol w:w="1157"/>
              <w:gridCol w:w="1372"/>
              <w:gridCol w:w="860"/>
              <w:gridCol w:w="502"/>
              <w:gridCol w:w="746"/>
              <w:gridCol w:w="746"/>
              <w:gridCol w:w="749"/>
              <w:gridCol w:w="2202"/>
            </w:tblGrid>
            <w:tr w14:paraId="50F4B8C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46" w:hRule="atLeast"/>
              </w:trPr>
              <w:tc>
                <w:tcPr>
                  <w:tcW w:w="501" w:type="dxa"/>
                  <w:noWrap w:val="0"/>
                  <w:vAlign w:val="center"/>
                </w:tcPr>
                <w:p w14:paraId="4CD99BFA">
                  <w:pPr>
                    <w:jc w:val="center"/>
                    <w:rPr>
                      <w:b/>
                      <w:bCs/>
                      <w:color w:val="auto"/>
                      <w:szCs w:val="21"/>
                      <w:u w:val="none" w:color="auto"/>
                    </w:rPr>
                  </w:pPr>
                  <w:r>
                    <w:rPr>
                      <w:b/>
                      <w:bCs/>
                      <w:color w:val="auto"/>
                      <w:szCs w:val="21"/>
                      <w:u w:val="none" w:color="auto"/>
                    </w:rPr>
                    <w:t>序号</w:t>
                  </w:r>
                </w:p>
              </w:tc>
              <w:tc>
                <w:tcPr>
                  <w:tcW w:w="1157" w:type="dxa"/>
                  <w:noWrap w:val="0"/>
                  <w:vAlign w:val="center"/>
                </w:tcPr>
                <w:p w14:paraId="6958E4B1">
                  <w:pPr>
                    <w:jc w:val="center"/>
                    <w:rPr>
                      <w:b/>
                      <w:bCs/>
                      <w:color w:val="auto"/>
                      <w:szCs w:val="21"/>
                      <w:u w:val="none" w:color="auto"/>
                    </w:rPr>
                  </w:pPr>
                  <w:r>
                    <w:rPr>
                      <w:b/>
                      <w:bCs/>
                      <w:color w:val="auto"/>
                      <w:szCs w:val="21"/>
                      <w:u w:val="none" w:color="auto"/>
                    </w:rPr>
                    <w:t>名称</w:t>
                  </w:r>
                </w:p>
              </w:tc>
              <w:tc>
                <w:tcPr>
                  <w:tcW w:w="1372" w:type="dxa"/>
                  <w:noWrap w:val="0"/>
                  <w:vAlign w:val="center"/>
                </w:tcPr>
                <w:p w14:paraId="48396338">
                  <w:pPr>
                    <w:jc w:val="center"/>
                    <w:rPr>
                      <w:b/>
                      <w:bCs/>
                      <w:color w:val="auto"/>
                      <w:szCs w:val="21"/>
                      <w:u w:val="none" w:color="auto"/>
                    </w:rPr>
                  </w:pPr>
                  <w:r>
                    <w:rPr>
                      <w:b/>
                      <w:bCs/>
                      <w:color w:val="auto"/>
                      <w:szCs w:val="21"/>
                      <w:u w:val="none" w:color="auto"/>
                    </w:rPr>
                    <w:t>危废类别及代码</w:t>
                  </w:r>
                </w:p>
              </w:tc>
              <w:tc>
                <w:tcPr>
                  <w:tcW w:w="860" w:type="dxa"/>
                  <w:noWrap w:val="0"/>
                  <w:vAlign w:val="center"/>
                </w:tcPr>
                <w:p w14:paraId="073293BB">
                  <w:pPr>
                    <w:jc w:val="center"/>
                    <w:rPr>
                      <w:b/>
                      <w:bCs/>
                      <w:color w:val="auto"/>
                      <w:szCs w:val="21"/>
                      <w:u w:val="none" w:color="auto"/>
                    </w:rPr>
                  </w:pPr>
                  <w:r>
                    <w:rPr>
                      <w:b/>
                      <w:bCs/>
                      <w:color w:val="auto"/>
                      <w:szCs w:val="21"/>
                      <w:u w:val="none" w:color="auto"/>
                    </w:rPr>
                    <w:t>来源</w:t>
                  </w:r>
                </w:p>
              </w:tc>
              <w:tc>
                <w:tcPr>
                  <w:tcW w:w="502" w:type="dxa"/>
                  <w:noWrap w:val="0"/>
                  <w:vAlign w:val="center"/>
                </w:tcPr>
                <w:p w14:paraId="473CF10C">
                  <w:pPr>
                    <w:jc w:val="center"/>
                    <w:rPr>
                      <w:b/>
                      <w:bCs/>
                      <w:color w:val="auto"/>
                      <w:szCs w:val="21"/>
                      <w:u w:val="none" w:color="auto"/>
                    </w:rPr>
                  </w:pPr>
                  <w:r>
                    <w:rPr>
                      <w:b/>
                      <w:bCs/>
                      <w:color w:val="auto"/>
                      <w:szCs w:val="21"/>
                      <w:u w:val="none" w:color="auto"/>
                    </w:rPr>
                    <w:t>形态</w:t>
                  </w:r>
                </w:p>
              </w:tc>
              <w:tc>
                <w:tcPr>
                  <w:tcW w:w="746" w:type="dxa"/>
                  <w:noWrap w:val="0"/>
                  <w:vAlign w:val="center"/>
                </w:tcPr>
                <w:p w14:paraId="6C3358C7">
                  <w:pPr>
                    <w:jc w:val="center"/>
                    <w:rPr>
                      <w:b/>
                      <w:bCs/>
                      <w:color w:val="auto"/>
                      <w:szCs w:val="21"/>
                      <w:u w:val="none" w:color="auto"/>
                    </w:rPr>
                  </w:pPr>
                  <w:r>
                    <w:rPr>
                      <w:b/>
                      <w:bCs/>
                      <w:color w:val="auto"/>
                      <w:szCs w:val="21"/>
                      <w:u w:val="none" w:color="auto"/>
                    </w:rPr>
                    <w:t>产生量</w:t>
                  </w:r>
                </w:p>
              </w:tc>
              <w:tc>
                <w:tcPr>
                  <w:tcW w:w="746" w:type="dxa"/>
                  <w:noWrap w:val="0"/>
                  <w:vAlign w:val="center"/>
                </w:tcPr>
                <w:p w14:paraId="745A2024">
                  <w:pPr>
                    <w:jc w:val="center"/>
                    <w:rPr>
                      <w:b/>
                      <w:bCs/>
                      <w:color w:val="auto"/>
                      <w:szCs w:val="21"/>
                      <w:u w:val="none" w:color="auto"/>
                    </w:rPr>
                  </w:pPr>
                  <w:r>
                    <w:rPr>
                      <w:b/>
                      <w:bCs/>
                      <w:color w:val="auto"/>
                      <w:szCs w:val="21"/>
                      <w:u w:val="none" w:color="auto"/>
                    </w:rPr>
                    <w:t>处理量</w:t>
                  </w:r>
                </w:p>
              </w:tc>
              <w:tc>
                <w:tcPr>
                  <w:tcW w:w="749" w:type="dxa"/>
                  <w:noWrap w:val="0"/>
                  <w:vAlign w:val="center"/>
                </w:tcPr>
                <w:p w14:paraId="571214EF">
                  <w:pPr>
                    <w:jc w:val="center"/>
                    <w:rPr>
                      <w:b/>
                      <w:bCs/>
                      <w:color w:val="auto"/>
                      <w:szCs w:val="21"/>
                      <w:u w:val="none" w:color="auto"/>
                    </w:rPr>
                  </w:pPr>
                  <w:r>
                    <w:rPr>
                      <w:b/>
                      <w:bCs/>
                      <w:color w:val="auto"/>
                      <w:szCs w:val="21"/>
                      <w:u w:val="none" w:color="auto"/>
                    </w:rPr>
                    <w:t>危险特性</w:t>
                  </w:r>
                </w:p>
              </w:tc>
              <w:tc>
                <w:tcPr>
                  <w:tcW w:w="2202" w:type="dxa"/>
                  <w:noWrap w:val="0"/>
                  <w:vAlign w:val="center"/>
                </w:tcPr>
                <w:p w14:paraId="34EF975F">
                  <w:pPr>
                    <w:jc w:val="center"/>
                    <w:rPr>
                      <w:b/>
                      <w:bCs/>
                      <w:color w:val="auto"/>
                      <w:szCs w:val="21"/>
                      <w:u w:val="none" w:color="auto"/>
                    </w:rPr>
                  </w:pPr>
                  <w:r>
                    <w:rPr>
                      <w:b/>
                      <w:bCs/>
                      <w:color w:val="auto"/>
                      <w:szCs w:val="21"/>
                      <w:u w:val="none" w:color="auto"/>
                    </w:rPr>
                    <w:t>污染防治措施</w:t>
                  </w:r>
                </w:p>
              </w:tc>
            </w:tr>
            <w:tr w14:paraId="2F6D169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99" w:hRule="atLeast"/>
              </w:trPr>
              <w:tc>
                <w:tcPr>
                  <w:tcW w:w="501" w:type="dxa"/>
                  <w:noWrap w:val="0"/>
                  <w:vAlign w:val="center"/>
                </w:tcPr>
                <w:p w14:paraId="370B3D02">
                  <w:pPr>
                    <w:pStyle w:val="54"/>
                    <w:rPr>
                      <w:rFonts w:hint="eastAsia" w:ascii="Times New Roman" w:hAnsi="Times New Roman" w:cs="Times New Roman"/>
                      <w:b w:val="0"/>
                      <w:bCs w:val="0"/>
                      <w:color w:val="auto"/>
                      <w:u w:val="none" w:color="auto"/>
                    </w:rPr>
                  </w:pPr>
                  <w:r>
                    <w:rPr>
                      <w:rFonts w:hint="eastAsia" w:ascii="Times New Roman" w:hAnsi="Times New Roman" w:cs="Times New Roman"/>
                      <w:b w:val="0"/>
                      <w:bCs w:val="0"/>
                      <w:color w:val="auto"/>
                      <w:u w:val="none" w:color="auto"/>
                    </w:rPr>
                    <w:t>1</w:t>
                  </w:r>
                </w:p>
              </w:tc>
              <w:tc>
                <w:tcPr>
                  <w:tcW w:w="1157" w:type="dxa"/>
                  <w:shd w:val="clear" w:color="auto" w:fill="auto"/>
                  <w:noWrap w:val="0"/>
                  <w:vAlign w:val="center"/>
                </w:tcPr>
                <w:p w14:paraId="54E4840C">
                  <w:pPr>
                    <w:jc w:val="center"/>
                    <w:rPr>
                      <w:rFonts w:hint="eastAsia" w:ascii="Times New Roman" w:hAnsi="Times New Roman" w:eastAsia="宋体" w:cs="Times New Roman"/>
                      <w:bCs/>
                      <w:spacing w:val="-10"/>
                      <w:kern w:val="2"/>
                      <w:sz w:val="21"/>
                      <w:szCs w:val="21"/>
                      <w:u w:val="none" w:color="auto"/>
                      <w:lang w:val="en-US" w:eastAsia="zh-CN" w:bidi="ar-SA"/>
                    </w:rPr>
                  </w:pPr>
                  <w:r>
                    <w:rPr>
                      <w:rFonts w:hint="eastAsia" w:ascii="Times New Roman" w:hAnsi="Times New Roman"/>
                      <w:sz w:val="21"/>
                      <w:szCs w:val="21"/>
                      <w:u w:val="none" w:color="auto"/>
                    </w:rPr>
                    <w:t>医疗布草</w:t>
                  </w:r>
                  <w:r>
                    <w:rPr>
                      <w:rFonts w:hint="eastAsia" w:ascii="Times New Roman" w:hAnsi="Times New Roman"/>
                      <w:sz w:val="21"/>
                      <w:szCs w:val="21"/>
                      <w:u w:val="none" w:color="auto"/>
                      <w:lang w:eastAsia="zh-CN"/>
                    </w:rPr>
                    <w:t>分拣废物</w:t>
                  </w:r>
                </w:p>
              </w:tc>
              <w:tc>
                <w:tcPr>
                  <w:tcW w:w="1372" w:type="dxa"/>
                  <w:noWrap w:val="0"/>
                  <w:vAlign w:val="center"/>
                </w:tcPr>
                <w:p w14:paraId="6C0E20B4">
                  <w:pPr>
                    <w:jc w:val="center"/>
                    <w:rPr>
                      <w:color w:val="auto"/>
                      <w:kern w:val="2"/>
                      <w:sz w:val="21"/>
                      <w:szCs w:val="21"/>
                      <w:u w:val="none" w:color="auto"/>
                      <w:lang w:val="en-US" w:eastAsia="zh-CN" w:bidi="ar-SA"/>
                    </w:rPr>
                  </w:pPr>
                  <w:r>
                    <w:rPr>
                      <w:rFonts w:hint="eastAsia" w:eastAsia="宋体"/>
                      <w:bCs/>
                      <w:spacing w:val="-10"/>
                      <w:sz w:val="21"/>
                      <w:szCs w:val="21"/>
                      <w:u w:val="none"/>
                      <w:lang w:val="en-US" w:eastAsia="zh-CN"/>
                    </w:rPr>
                    <w:t xml:space="preserve">HW01  </w:t>
                  </w:r>
                  <w:r>
                    <w:rPr>
                      <w:rFonts w:hint="eastAsia" w:eastAsia="宋体"/>
                      <w:bCs/>
                      <w:spacing w:val="-10"/>
                      <w:sz w:val="21"/>
                      <w:szCs w:val="21"/>
                      <w:u w:val="none"/>
                    </w:rPr>
                    <w:t>841-001-01</w:t>
                  </w:r>
                </w:p>
              </w:tc>
              <w:tc>
                <w:tcPr>
                  <w:tcW w:w="860" w:type="dxa"/>
                  <w:noWrap w:val="0"/>
                  <w:vAlign w:val="center"/>
                </w:tcPr>
                <w:p w14:paraId="61885D32">
                  <w:pPr>
                    <w:pStyle w:val="54"/>
                    <w:rPr>
                      <w:rFonts w:hint="eastAsia" w:ascii="Times New Roman" w:hAnsi="Times New Roman" w:eastAsia="宋体" w:cs="Times New Roman"/>
                      <w:b w:val="0"/>
                      <w:bCs w:val="0"/>
                      <w:color w:val="auto"/>
                      <w:u w:val="none" w:color="auto"/>
                      <w:lang w:eastAsia="zh-CN"/>
                    </w:rPr>
                  </w:pPr>
                  <w:r>
                    <w:rPr>
                      <w:rFonts w:hint="eastAsia" w:ascii="Times New Roman" w:hAnsi="Times New Roman" w:cs="Times New Roman"/>
                      <w:b w:val="0"/>
                      <w:bCs w:val="0"/>
                      <w:color w:val="auto"/>
                      <w:u w:val="none" w:color="auto"/>
                      <w:lang w:eastAsia="zh-CN"/>
                    </w:rPr>
                    <w:t>医疗布草洗涤</w:t>
                  </w:r>
                </w:p>
              </w:tc>
              <w:tc>
                <w:tcPr>
                  <w:tcW w:w="502" w:type="dxa"/>
                  <w:noWrap w:val="0"/>
                  <w:vAlign w:val="center"/>
                </w:tcPr>
                <w:p w14:paraId="62D48E3F">
                  <w:pPr>
                    <w:jc w:val="center"/>
                    <w:rPr>
                      <w:rFonts w:hint="eastAsia"/>
                      <w:color w:val="auto"/>
                      <w:kern w:val="2"/>
                      <w:sz w:val="21"/>
                      <w:szCs w:val="21"/>
                      <w:u w:val="none" w:color="auto"/>
                      <w:lang w:val="en-US" w:eastAsia="zh-CN" w:bidi="ar-SA"/>
                    </w:rPr>
                  </w:pPr>
                  <w:r>
                    <w:rPr>
                      <w:color w:val="auto"/>
                      <w:szCs w:val="21"/>
                      <w:u w:val="none" w:color="auto"/>
                    </w:rPr>
                    <w:t>固态</w:t>
                  </w:r>
                </w:p>
              </w:tc>
              <w:tc>
                <w:tcPr>
                  <w:tcW w:w="746" w:type="dxa"/>
                  <w:noWrap w:val="0"/>
                  <w:vAlign w:val="center"/>
                </w:tcPr>
                <w:p w14:paraId="0B209773">
                  <w:pPr>
                    <w:jc w:val="center"/>
                    <w:rPr>
                      <w:rFonts w:hint="default" w:eastAsia="宋体"/>
                      <w:color w:val="auto"/>
                      <w:kern w:val="2"/>
                      <w:sz w:val="21"/>
                      <w:szCs w:val="21"/>
                      <w:u w:val="none" w:color="auto"/>
                      <w:lang w:val="en-US" w:eastAsia="zh-CN" w:bidi="ar-SA"/>
                    </w:rPr>
                  </w:pPr>
                  <w:r>
                    <w:rPr>
                      <w:rFonts w:hint="eastAsia"/>
                      <w:color w:val="auto"/>
                      <w:sz w:val="21"/>
                      <w:szCs w:val="21"/>
                      <w:u w:val="none" w:color="auto"/>
                      <w:lang w:val="en-US" w:eastAsia="zh-CN"/>
                    </w:rPr>
                    <w:t>0.2</w:t>
                  </w:r>
                </w:p>
              </w:tc>
              <w:tc>
                <w:tcPr>
                  <w:tcW w:w="746" w:type="dxa"/>
                  <w:noWrap w:val="0"/>
                  <w:vAlign w:val="center"/>
                </w:tcPr>
                <w:p w14:paraId="5947B3C1">
                  <w:pPr>
                    <w:jc w:val="center"/>
                    <w:rPr>
                      <w:rFonts w:hint="default"/>
                      <w:color w:val="auto"/>
                      <w:kern w:val="2"/>
                      <w:sz w:val="21"/>
                      <w:szCs w:val="21"/>
                      <w:u w:val="none" w:color="auto"/>
                      <w:lang w:val="en-US" w:eastAsia="zh-CN" w:bidi="ar-SA"/>
                    </w:rPr>
                  </w:pPr>
                  <w:r>
                    <w:rPr>
                      <w:rFonts w:hint="eastAsia"/>
                      <w:color w:val="auto"/>
                      <w:kern w:val="2"/>
                      <w:sz w:val="21"/>
                      <w:szCs w:val="21"/>
                      <w:u w:val="none" w:color="auto"/>
                      <w:lang w:val="en-US" w:eastAsia="zh-CN" w:bidi="ar-SA"/>
                    </w:rPr>
                    <w:t>0.2</w:t>
                  </w:r>
                </w:p>
              </w:tc>
              <w:tc>
                <w:tcPr>
                  <w:tcW w:w="749" w:type="dxa"/>
                  <w:noWrap w:val="0"/>
                  <w:vAlign w:val="center"/>
                </w:tcPr>
                <w:p w14:paraId="2E18272C">
                  <w:pPr>
                    <w:jc w:val="center"/>
                    <w:rPr>
                      <w:color w:val="auto"/>
                      <w:kern w:val="2"/>
                      <w:sz w:val="21"/>
                      <w:szCs w:val="21"/>
                      <w:u w:val="none" w:color="auto"/>
                      <w:lang w:val="en-US" w:eastAsia="zh-CN" w:bidi="ar-SA"/>
                    </w:rPr>
                  </w:pPr>
                  <w:r>
                    <w:rPr>
                      <w:rFonts w:hint="eastAsia"/>
                      <w:color w:val="auto"/>
                      <w:szCs w:val="21"/>
                      <w:u w:val="none" w:color="auto"/>
                      <w:lang w:val="en-US" w:eastAsia="zh-CN"/>
                    </w:rPr>
                    <w:t>T/</w:t>
                  </w:r>
                  <w:r>
                    <w:rPr>
                      <w:rFonts w:hint="eastAsia"/>
                      <w:color w:val="auto"/>
                      <w:szCs w:val="21"/>
                      <w:u w:val="none" w:color="auto"/>
                    </w:rPr>
                    <w:t>In</w:t>
                  </w:r>
                </w:p>
              </w:tc>
              <w:tc>
                <w:tcPr>
                  <w:tcW w:w="2202" w:type="dxa"/>
                  <w:noWrap w:val="0"/>
                  <w:vAlign w:val="center"/>
                </w:tcPr>
                <w:p w14:paraId="70143648">
                  <w:pPr>
                    <w:pStyle w:val="54"/>
                    <w:rPr>
                      <w:rFonts w:ascii="Times New Roman" w:hAnsi="Times New Roman" w:cs="Times New Roman"/>
                      <w:b w:val="0"/>
                      <w:bCs w:val="0"/>
                      <w:color w:val="auto"/>
                      <w:u w:val="none" w:color="auto"/>
                    </w:rPr>
                  </w:pPr>
                  <w:r>
                    <w:rPr>
                      <w:rFonts w:hint="eastAsia" w:ascii="Times New Roman" w:hAnsi="Times New Roman"/>
                      <w:b w:val="0"/>
                      <w:bCs w:val="0"/>
                      <w:sz w:val="21"/>
                      <w:szCs w:val="21"/>
                      <w:u w:val="none"/>
                    </w:rPr>
                    <w:t>收集暂存后每次接收脏布草时一并归还给医院方，由医院方交给有资质单位处置；</w:t>
                  </w:r>
                </w:p>
              </w:tc>
            </w:tr>
            <w:tr w14:paraId="04D1322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799" w:hRule="atLeast"/>
              </w:trPr>
              <w:tc>
                <w:tcPr>
                  <w:tcW w:w="501" w:type="dxa"/>
                  <w:noWrap w:val="0"/>
                  <w:vAlign w:val="center"/>
                </w:tcPr>
                <w:p w14:paraId="60AE0E46">
                  <w:pPr>
                    <w:pStyle w:val="54"/>
                    <w:rPr>
                      <w:rFonts w:hint="eastAsia" w:ascii="Times New Roman" w:hAnsi="Times New Roman" w:cs="Times New Roman"/>
                      <w:b w:val="0"/>
                      <w:bCs w:val="0"/>
                      <w:color w:val="auto"/>
                      <w:u w:val="none" w:color="auto"/>
                    </w:rPr>
                  </w:pPr>
                  <w:r>
                    <w:rPr>
                      <w:rFonts w:hint="eastAsia" w:ascii="Times New Roman" w:hAnsi="Times New Roman" w:cs="Times New Roman"/>
                      <w:b w:val="0"/>
                      <w:bCs w:val="0"/>
                      <w:color w:val="auto"/>
                      <w:u w:val="none" w:color="auto"/>
                    </w:rPr>
                    <w:t>2</w:t>
                  </w:r>
                </w:p>
              </w:tc>
              <w:tc>
                <w:tcPr>
                  <w:tcW w:w="1157" w:type="dxa"/>
                  <w:shd w:val="clear" w:color="auto" w:fill="auto"/>
                  <w:noWrap w:val="0"/>
                  <w:vAlign w:val="center"/>
                </w:tcPr>
                <w:p w14:paraId="7041B129">
                  <w:pPr>
                    <w:jc w:val="center"/>
                    <w:rPr>
                      <w:rFonts w:hint="eastAsia" w:ascii="Times New Roman" w:hAnsi="Times New Roman" w:eastAsia="宋体" w:cs="Times New Roman"/>
                      <w:bCs/>
                      <w:color w:val="auto"/>
                      <w:spacing w:val="-10"/>
                      <w:kern w:val="2"/>
                      <w:sz w:val="21"/>
                      <w:szCs w:val="21"/>
                      <w:u w:val="none" w:color="auto"/>
                      <w:lang w:val="en-US" w:eastAsia="zh-CN" w:bidi="ar-SA"/>
                    </w:rPr>
                  </w:pPr>
                  <w:r>
                    <w:rPr>
                      <w:rFonts w:hint="eastAsia"/>
                      <w:bCs/>
                      <w:color w:val="auto"/>
                      <w:spacing w:val="-10"/>
                      <w:sz w:val="21"/>
                      <w:szCs w:val="21"/>
                      <w:u w:val="none" w:color="auto"/>
                    </w:rPr>
                    <w:t>废水处理站污泥</w:t>
                  </w:r>
                </w:p>
              </w:tc>
              <w:tc>
                <w:tcPr>
                  <w:tcW w:w="1372" w:type="dxa"/>
                  <w:noWrap w:val="0"/>
                  <w:vAlign w:val="center"/>
                </w:tcPr>
                <w:p w14:paraId="01DEA449">
                  <w:pPr>
                    <w:jc w:val="center"/>
                    <w:rPr>
                      <w:rFonts w:hint="eastAsia" w:eastAsia="宋体"/>
                      <w:bCs/>
                      <w:color w:val="auto"/>
                      <w:spacing w:val="-10"/>
                      <w:sz w:val="21"/>
                      <w:szCs w:val="21"/>
                      <w:u w:val="none"/>
                      <w:lang w:val="en-US" w:eastAsia="zh-CN"/>
                    </w:rPr>
                  </w:pPr>
                  <w:r>
                    <w:rPr>
                      <w:rFonts w:hint="eastAsia" w:eastAsia="宋体"/>
                      <w:bCs/>
                      <w:color w:val="auto"/>
                      <w:spacing w:val="-10"/>
                      <w:sz w:val="21"/>
                      <w:szCs w:val="21"/>
                      <w:u w:val="none"/>
                    </w:rPr>
                    <w:t>HW</w:t>
                  </w:r>
                  <w:r>
                    <w:rPr>
                      <w:rFonts w:hint="eastAsia" w:eastAsia="宋体"/>
                      <w:bCs/>
                      <w:color w:val="auto"/>
                      <w:spacing w:val="-10"/>
                      <w:sz w:val="21"/>
                      <w:szCs w:val="21"/>
                      <w:u w:val="none"/>
                      <w:lang w:val="en-US" w:eastAsia="zh-CN"/>
                    </w:rPr>
                    <w:t>49</w:t>
                  </w:r>
                </w:p>
                <w:p w14:paraId="769D972D">
                  <w:pPr>
                    <w:jc w:val="center"/>
                    <w:rPr>
                      <w:color w:val="auto"/>
                      <w:kern w:val="2"/>
                      <w:sz w:val="21"/>
                      <w:szCs w:val="21"/>
                      <w:u w:val="none" w:color="auto"/>
                      <w:lang w:val="en-US" w:eastAsia="zh-CN" w:bidi="ar-SA"/>
                    </w:rPr>
                  </w:pPr>
                  <w:r>
                    <w:rPr>
                      <w:rFonts w:hint="eastAsia" w:eastAsia="宋体"/>
                      <w:bCs/>
                      <w:color w:val="auto"/>
                      <w:spacing w:val="-10"/>
                      <w:sz w:val="21"/>
                      <w:szCs w:val="21"/>
                      <w:u w:val="none"/>
                      <w:lang w:val="en-US" w:eastAsia="zh-CN"/>
                    </w:rPr>
                    <w:t>772-006-49</w:t>
                  </w:r>
                </w:p>
              </w:tc>
              <w:tc>
                <w:tcPr>
                  <w:tcW w:w="860" w:type="dxa"/>
                  <w:noWrap w:val="0"/>
                  <w:vAlign w:val="center"/>
                </w:tcPr>
                <w:p w14:paraId="37DB5A04">
                  <w:pPr>
                    <w:pStyle w:val="54"/>
                    <w:rPr>
                      <w:rFonts w:hint="default" w:ascii="Times New Roman" w:hAnsi="Times New Roman" w:eastAsia="宋体" w:cs="Times New Roman"/>
                      <w:b w:val="0"/>
                      <w:bCs w:val="0"/>
                      <w:color w:val="auto"/>
                      <w:u w:val="none" w:color="auto"/>
                      <w:lang w:val="en-US" w:eastAsia="zh-CN"/>
                    </w:rPr>
                  </w:pPr>
                  <w:r>
                    <w:rPr>
                      <w:rFonts w:hint="eastAsia" w:ascii="Times New Roman" w:hAnsi="Times New Roman" w:cs="Times New Roman"/>
                      <w:b w:val="0"/>
                      <w:bCs w:val="0"/>
                      <w:color w:val="auto"/>
                      <w:u w:val="none" w:color="auto"/>
                      <w:lang w:val="en-US" w:eastAsia="zh-CN"/>
                    </w:rPr>
                    <w:t>废水处理站</w:t>
                  </w:r>
                </w:p>
              </w:tc>
              <w:tc>
                <w:tcPr>
                  <w:tcW w:w="502" w:type="dxa"/>
                  <w:noWrap w:val="0"/>
                  <w:vAlign w:val="center"/>
                </w:tcPr>
                <w:p w14:paraId="0052AA2C">
                  <w:pPr>
                    <w:jc w:val="center"/>
                    <w:rPr>
                      <w:rFonts w:hint="eastAsia"/>
                      <w:color w:val="auto"/>
                      <w:kern w:val="2"/>
                      <w:sz w:val="21"/>
                      <w:szCs w:val="21"/>
                      <w:u w:val="none" w:color="auto"/>
                      <w:lang w:val="en-US" w:eastAsia="zh-CN" w:bidi="ar-SA"/>
                    </w:rPr>
                  </w:pPr>
                  <w:r>
                    <w:rPr>
                      <w:rFonts w:hint="eastAsia"/>
                      <w:color w:val="auto"/>
                      <w:szCs w:val="21"/>
                      <w:u w:val="none" w:color="auto"/>
                      <w:lang w:eastAsia="zh-CN"/>
                    </w:rPr>
                    <w:t>半</w:t>
                  </w:r>
                  <w:r>
                    <w:rPr>
                      <w:color w:val="auto"/>
                      <w:szCs w:val="21"/>
                      <w:u w:val="none" w:color="auto"/>
                    </w:rPr>
                    <w:t>固态</w:t>
                  </w:r>
                </w:p>
              </w:tc>
              <w:tc>
                <w:tcPr>
                  <w:tcW w:w="746" w:type="dxa"/>
                  <w:noWrap w:val="0"/>
                  <w:vAlign w:val="center"/>
                </w:tcPr>
                <w:p w14:paraId="74E15FAC">
                  <w:pPr>
                    <w:jc w:val="center"/>
                    <w:rPr>
                      <w:rFonts w:hint="default" w:eastAsia="宋体"/>
                      <w:color w:val="auto"/>
                      <w:kern w:val="2"/>
                      <w:sz w:val="21"/>
                      <w:szCs w:val="21"/>
                      <w:u w:val="none" w:color="auto"/>
                      <w:lang w:val="en-US" w:eastAsia="zh-CN" w:bidi="ar-SA"/>
                    </w:rPr>
                  </w:pPr>
                  <w:r>
                    <w:rPr>
                      <w:rFonts w:hint="eastAsia"/>
                      <w:color w:val="auto"/>
                      <w:kern w:val="2"/>
                      <w:sz w:val="21"/>
                      <w:szCs w:val="21"/>
                      <w:u w:val="none" w:color="auto"/>
                      <w:lang w:val="en-US" w:eastAsia="zh-CN" w:bidi="ar-SA"/>
                    </w:rPr>
                    <w:t>10.93</w:t>
                  </w:r>
                </w:p>
              </w:tc>
              <w:tc>
                <w:tcPr>
                  <w:tcW w:w="746" w:type="dxa"/>
                  <w:noWrap w:val="0"/>
                  <w:vAlign w:val="center"/>
                </w:tcPr>
                <w:p w14:paraId="3E64E61F">
                  <w:pPr>
                    <w:jc w:val="center"/>
                    <w:rPr>
                      <w:rFonts w:hint="eastAsia" w:eastAsia="宋体"/>
                      <w:color w:val="auto"/>
                      <w:kern w:val="2"/>
                      <w:sz w:val="21"/>
                      <w:szCs w:val="21"/>
                      <w:u w:val="none" w:color="auto"/>
                      <w:lang w:val="en-US" w:eastAsia="zh-CN" w:bidi="ar-SA"/>
                    </w:rPr>
                  </w:pPr>
                  <w:r>
                    <w:rPr>
                      <w:rFonts w:hint="eastAsia"/>
                      <w:color w:val="auto"/>
                      <w:kern w:val="2"/>
                      <w:sz w:val="21"/>
                      <w:szCs w:val="21"/>
                      <w:u w:val="none" w:color="auto"/>
                      <w:lang w:val="en-US" w:eastAsia="zh-CN" w:bidi="ar-SA"/>
                    </w:rPr>
                    <w:t>10.93</w:t>
                  </w:r>
                </w:p>
              </w:tc>
              <w:tc>
                <w:tcPr>
                  <w:tcW w:w="749" w:type="dxa"/>
                  <w:noWrap w:val="0"/>
                  <w:vAlign w:val="center"/>
                </w:tcPr>
                <w:p w14:paraId="22AC43A1">
                  <w:pPr>
                    <w:jc w:val="center"/>
                    <w:rPr>
                      <w:color w:val="auto"/>
                      <w:kern w:val="2"/>
                      <w:sz w:val="21"/>
                      <w:szCs w:val="21"/>
                      <w:u w:val="none" w:color="auto"/>
                      <w:lang w:val="en-US" w:eastAsia="zh-CN" w:bidi="ar-SA"/>
                    </w:rPr>
                  </w:pPr>
                  <w:r>
                    <w:rPr>
                      <w:rFonts w:hint="eastAsia"/>
                      <w:color w:val="auto"/>
                      <w:szCs w:val="21"/>
                      <w:u w:val="none" w:color="auto"/>
                      <w:lang w:val="en-US" w:eastAsia="zh-CN"/>
                    </w:rPr>
                    <w:t>T/</w:t>
                  </w:r>
                  <w:r>
                    <w:rPr>
                      <w:rFonts w:hint="eastAsia"/>
                      <w:color w:val="auto"/>
                      <w:szCs w:val="21"/>
                      <w:u w:val="none" w:color="auto"/>
                    </w:rPr>
                    <w:t>In</w:t>
                  </w:r>
                </w:p>
              </w:tc>
              <w:tc>
                <w:tcPr>
                  <w:tcW w:w="2202" w:type="dxa"/>
                  <w:noWrap w:val="0"/>
                  <w:vAlign w:val="center"/>
                </w:tcPr>
                <w:p w14:paraId="0FF0FC81">
                  <w:pPr>
                    <w:pStyle w:val="54"/>
                    <w:rPr>
                      <w:rFonts w:hint="eastAsia" w:ascii="Times New Roman" w:hAnsi="Times New Roman" w:eastAsia="宋体" w:cs="Times New Roman"/>
                      <w:b w:val="0"/>
                      <w:bCs w:val="0"/>
                      <w:color w:val="auto"/>
                      <w:u w:val="none" w:color="auto"/>
                      <w:lang w:eastAsia="zh-CN"/>
                    </w:rPr>
                  </w:pPr>
                  <w:r>
                    <w:rPr>
                      <w:rFonts w:hint="eastAsia" w:ascii="Times New Roman" w:hAnsi="Times New Roman" w:cs="Times New Roman"/>
                      <w:b w:val="0"/>
                      <w:bCs w:val="0"/>
                      <w:color w:val="auto"/>
                      <w:u w:val="none" w:color="auto"/>
                      <w:lang w:eastAsia="zh-CN"/>
                    </w:rPr>
                    <w:t>委托水泥厂协同处置</w:t>
                  </w:r>
                </w:p>
              </w:tc>
            </w:tr>
          </w:tbl>
          <w:p w14:paraId="2568E2B1">
            <w:pPr>
              <w:tabs>
                <w:tab w:val="left" w:pos="3608"/>
              </w:tabs>
              <w:spacing w:line="360" w:lineRule="auto"/>
              <w:ind w:firstLine="480" w:firstLineChars="200"/>
              <w:rPr>
                <w:rFonts w:hint="eastAsia"/>
                <w:color w:val="auto"/>
                <w:sz w:val="24"/>
                <w:u w:val="none" w:color="auto"/>
              </w:rPr>
            </w:pPr>
            <w:r>
              <w:rPr>
                <w:color w:val="auto"/>
                <w:sz w:val="24"/>
                <w:u w:val="none" w:color="auto"/>
              </w:rPr>
              <w:t>综上分析，本项目在采取合理措施情况下，固体废物对环境不会造成明显影响</w:t>
            </w:r>
            <w:r>
              <w:rPr>
                <w:rFonts w:hint="eastAsia"/>
                <w:color w:val="auto"/>
                <w:sz w:val="24"/>
                <w:u w:val="none" w:color="auto"/>
              </w:rPr>
              <w:t>。</w:t>
            </w:r>
          </w:p>
          <w:p w14:paraId="6C8F7D77">
            <w:pPr>
              <w:snapToGrid w:val="0"/>
              <w:spacing w:before="120" w:beforeLines="50" w:line="360" w:lineRule="auto"/>
              <w:ind w:firstLine="2108" w:firstLineChars="1000"/>
              <w:rPr>
                <w:b/>
                <w:color w:val="auto"/>
                <w:szCs w:val="21"/>
                <w:u w:val="none" w:color="auto"/>
              </w:rPr>
            </w:pPr>
            <w:r>
              <w:rPr>
                <w:b/>
                <w:color w:val="auto"/>
                <w:szCs w:val="21"/>
                <w:u w:val="none" w:color="auto"/>
              </w:rPr>
              <w:t>表</w:t>
            </w:r>
            <w:r>
              <w:rPr>
                <w:rFonts w:hint="eastAsia"/>
                <w:b/>
                <w:color w:val="auto"/>
                <w:szCs w:val="21"/>
                <w:u w:val="none" w:color="auto"/>
              </w:rPr>
              <w:t>4-11</w:t>
            </w:r>
            <w:r>
              <w:rPr>
                <w:b/>
                <w:color w:val="auto"/>
                <w:szCs w:val="21"/>
                <w:u w:val="none" w:color="auto"/>
              </w:rPr>
              <w:t xml:space="preserve"> 建设项目危险废物贮存场所基本情况表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2"/>
              <w:gridCol w:w="916"/>
              <w:gridCol w:w="1524"/>
              <w:gridCol w:w="1199"/>
              <w:gridCol w:w="1365"/>
              <w:gridCol w:w="780"/>
              <w:gridCol w:w="806"/>
              <w:gridCol w:w="894"/>
              <w:gridCol w:w="799"/>
            </w:tblGrid>
            <w:tr w14:paraId="44D90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2" w:type="dxa"/>
                  <w:noWrap w:val="0"/>
                  <w:vAlign w:val="center"/>
                </w:tcPr>
                <w:p w14:paraId="6961FF7C">
                  <w:pPr>
                    <w:adjustRightInd w:val="0"/>
                    <w:snapToGrid w:val="0"/>
                    <w:jc w:val="center"/>
                    <w:textAlignment w:val="baseline"/>
                    <w:rPr>
                      <w:bCs/>
                      <w:color w:val="auto"/>
                      <w:kern w:val="0"/>
                      <w:szCs w:val="21"/>
                      <w:u w:val="none" w:color="auto"/>
                    </w:rPr>
                  </w:pPr>
                  <w:r>
                    <w:rPr>
                      <w:bCs/>
                      <w:color w:val="auto"/>
                      <w:kern w:val="0"/>
                      <w:szCs w:val="21"/>
                      <w:u w:val="none" w:color="auto"/>
                    </w:rPr>
                    <w:t>序号</w:t>
                  </w:r>
                </w:p>
              </w:tc>
              <w:tc>
                <w:tcPr>
                  <w:tcW w:w="916" w:type="dxa"/>
                  <w:noWrap w:val="0"/>
                  <w:vAlign w:val="center"/>
                </w:tcPr>
                <w:p w14:paraId="0315B5EF">
                  <w:pPr>
                    <w:adjustRightInd w:val="0"/>
                    <w:snapToGrid w:val="0"/>
                    <w:jc w:val="center"/>
                    <w:textAlignment w:val="baseline"/>
                    <w:rPr>
                      <w:bCs/>
                      <w:color w:val="auto"/>
                      <w:kern w:val="0"/>
                      <w:szCs w:val="21"/>
                      <w:u w:val="none" w:color="auto"/>
                    </w:rPr>
                  </w:pPr>
                  <w:r>
                    <w:rPr>
                      <w:bCs/>
                      <w:color w:val="auto"/>
                      <w:kern w:val="0"/>
                      <w:szCs w:val="21"/>
                      <w:u w:val="none" w:color="auto"/>
                    </w:rPr>
                    <w:t>贮存场所名称</w:t>
                  </w:r>
                </w:p>
              </w:tc>
              <w:tc>
                <w:tcPr>
                  <w:tcW w:w="1524" w:type="dxa"/>
                  <w:noWrap w:val="0"/>
                  <w:vAlign w:val="center"/>
                </w:tcPr>
                <w:p w14:paraId="467735AB">
                  <w:pPr>
                    <w:adjustRightInd w:val="0"/>
                    <w:snapToGrid w:val="0"/>
                    <w:jc w:val="center"/>
                    <w:textAlignment w:val="baseline"/>
                    <w:rPr>
                      <w:bCs/>
                      <w:color w:val="auto"/>
                      <w:kern w:val="0"/>
                      <w:szCs w:val="21"/>
                      <w:u w:val="none" w:color="auto"/>
                    </w:rPr>
                  </w:pPr>
                  <w:r>
                    <w:rPr>
                      <w:bCs/>
                      <w:color w:val="auto"/>
                      <w:kern w:val="0"/>
                      <w:szCs w:val="21"/>
                      <w:u w:val="none" w:color="auto"/>
                    </w:rPr>
                    <w:t>危险废物名称</w:t>
                  </w:r>
                </w:p>
              </w:tc>
              <w:tc>
                <w:tcPr>
                  <w:tcW w:w="1199" w:type="dxa"/>
                  <w:noWrap w:val="0"/>
                  <w:vAlign w:val="center"/>
                </w:tcPr>
                <w:p w14:paraId="3D5DD1A8">
                  <w:pPr>
                    <w:adjustRightInd w:val="0"/>
                    <w:snapToGrid w:val="0"/>
                    <w:jc w:val="center"/>
                    <w:textAlignment w:val="baseline"/>
                    <w:rPr>
                      <w:bCs/>
                      <w:color w:val="auto"/>
                      <w:kern w:val="0"/>
                      <w:szCs w:val="21"/>
                      <w:u w:val="none" w:color="auto"/>
                    </w:rPr>
                  </w:pPr>
                  <w:r>
                    <w:rPr>
                      <w:bCs/>
                      <w:color w:val="auto"/>
                      <w:kern w:val="0"/>
                      <w:szCs w:val="21"/>
                      <w:u w:val="none" w:color="auto"/>
                    </w:rPr>
                    <w:t>危险废物类别</w:t>
                  </w:r>
                </w:p>
              </w:tc>
              <w:tc>
                <w:tcPr>
                  <w:tcW w:w="1365" w:type="dxa"/>
                  <w:noWrap w:val="0"/>
                  <w:vAlign w:val="center"/>
                </w:tcPr>
                <w:p w14:paraId="7E42D925">
                  <w:pPr>
                    <w:adjustRightInd w:val="0"/>
                    <w:snapToGrid w:val="0"/>
                    <w:jc w:val="center"/>
                    <w:textAlignment w:val="baseline"/>
                    <w:rPr>
                      <w:bCs/>
                      <w:color w:val="auto"/>
                      <w:kern w:val="0"/>
                      <w:szCs w:val="21"/>
                      <w:u w:val="none" w:color="auto"/>
                    </w:rPr>
                  </w:pPr>
                  <w:r>
                    <w:rPr>
                      <w:bCs/>
                      <w:color w:val="auto"/>
                      <w:kern w:val="0"/>
                      <w:szCs w:val="21"/>
                      <w:u w:val="none" w:color="auto"/>
                    </w:rPr>
                    <w:t>危险废物代码</w:t>
                  </w:r>
                </w:p>
              </w:tc>
              <w:tc>
                <w:tcPr>
                  <w:tcW w:w="780" w:type="dxa"/>
                  <w:noWrap w:val="0"/>
                  <w:vAlign w:val="center"/>
                </w:tcPr>
                <w:p w14:paraId="03E2FB7E">
                  <w:pPr>
                    <w:adjustRightInd w:val="0"/>
                    <w:snapToGrid w:val="0"/>
                    <w:jc w:val="center"/>
                    <w:textAlignment w:val="baseline"/>
                    <w:rPr>
                      <w:bCs/>
                      <w:color w:val="auto"/>
                      <w:kern w:val="0"/>
                      <w:szCs w:val="21"/>
                      <w:u w:val="none" w:color="auto"/>
                    </w:rPr>
                  </w:pPr>
                  <w:r>
                    <w:rPr>
                      <w:bCs/>
                      <w:color w:val="auto"/>
                      <w:kern w:val="0"/>
                      <w:szCs w:val="21"/>
                      <w:u w:val="none" w:color="auto"/>
                    </w:rPr>
                    <w:t>占地面积</w:t>
                  </w:r>
                </w:p>
              </w:tc>
              <w:tc>
                <w:tcPr>
                  <w:tcW w:w="806" w:type="dxa"/>
                  <w:noWrap w:val="0"/>
                  <w:vAlign w:val="center"/>
                </w:tcPr>
                <w:p w14:paraId="78511D26">
                  <w:pPr>
                    <w:adjustRightInd w:val="0"/>
                    <w:snapToGrid w:val="0"/>
                    <w:jc w:val="center"/>
                    <w:textAlignment w:val="baseline"/>
                    <w:rPr>
                      <w:bCs/>
                      <w:color w:val="auto"/>
                      <w:kern w:val="0"/>
                      <w:szCs w:val="21"/>
                      <w:u w:val="none" w:color="auto"/>
                    </w:rPr>
                  </w:pPr>
                  <w:r>
                    <w:rPr>
                      <w:bCs/>
                      <w:color w:val="auto"/>
                      <w:kern w:val="0"/>
                      <w:szCs w:val="21"/>
                      <w:u w:val="none" w:color="auto"/>
                    </w:rPr>
                    <w:t>贮存方式</w:t>
                  </w:r>
                </w:p>
              </w:tc>
              <w:tc>
                <w:tcPr>
                  <w:tcW w:w="894" w:type="dxa"/>
                  <w:noWrap w:val="0"/>
                  <w:vAlign w:val="center"/>
                </w:tcPr>
                <w:p w14:paraId="4A4969A1">
                  <w:pPr>
                    <w:adjustRightInd w:val="0"/>
                    <w:snapToGrid w:val="0"/>
                    <w:jc w:val="center"/>
                    <w:textAlignment w:val="baseline"/>
                    <w:rPr>
                      <w:bCs/>
                      <w:color w:val="auto"/>
                      <w:kern w:val="0"/>
                      <w:szCs w:val="21"/>
                      <w:u w:val="none" w:color="auto"/>
                    </w:rPr>
                  </w:pPr>
                  <w:r>
                    <w:rPr>
                      <w:bCs/>
                      <w:color w:val="auto"/>
                      <w:kern w:val="0"/>
                      <w:szCs w:val="21"/>
                      <w:u w:val="none" w:color="auto"/>
                    </w:rPr>
                    <w:t>贮存能力</w:t>
                  </w:r>
                </w:p>
              </w:tc>
              <w:tc>
                <w:tcPr>
                  <w:tcW w:w="799" w:type="dxa"/>
                  <w:noWrap w:val="0"/>
                  <w:vAlign w:val="center"/>
                </w:tcPr>
                <w:p w14:paraId="2F6A6F6B">
                  <w:pPr>
                    <w:adjustRightInd w:val="0"/>
                    <w:snapToGrid w:val="0"/>
                    <w:jc w:val="center"/>
                    <w:textAlignment w:val="baseline"/>
                    <w:rPr>
                      <w:bCs/>
                      <w:color w:val="auto"/>
                      <w:kern w:val="0"/>
                      <w:szCs w:val="21"/>
                      <w:u w:val="none" w:color="auto"/>
                    </w:rPr>
                  </w:pPr>
                  <w:r>
                    <w:rPr>
                      <w:bCs/>
                      <w:color w:val="auto"/>
                      <w:kern w:val="0"/>
                      <w:szCs w:val="21"/>
                      <w:u w:val="none" w:color="auto"/>
                    </w:rPr>
                    <w:t>贮存周期</w:t>
                  </w:r>
                </w:p>
              </w:tc>
            </w:tr>
            <w:tr w14:paraId="37A26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2" w:type="dxa"/>
                  <w:noWrap w:val="0"/>
                  <w:vAlign w:val="center"/>
                </w:tcPr>
                <w:p w14:paraId="100C3EB6">
                  <w:pPr>
                    <w:pStyle w:val="54"/>
                    <w:ind w:firstLine="0" w:firstLineChars="0"/>
                    <w:rPr>
                      <w:rFonts w:hint="eastAsia" w:ascii="Times New Roman" w:hAnsi="Times New Roman" w:eastAsia="宋体" w:cs="Times New Roman"/>
                      <w:b w:val="0"/>
                      <w:bCs w:val="0"/>
                      <w:color w:val="auto"/>
                      <w:kern w:val="2"/>
                      <w:sz w:val="21"/>
                      <w:szCs w:val="21"/>
                      <w:u w:val="none" w:color="auto"/>
                      <w:lang w:val="en-US" w:eastAsia="zh-CN" w:bidi="ar-SA"/>
                    </w:rPr>
                  </w:pPr>
                  <w:r>
                    <w:rPr>
                      <w:rFonts w:hint="eastAsia" w:ascii="Times New Roman" w:hAnsi="Times New Roman" w:cs="Times New Roman"/>
                      <w:b w:val="0"/>
                      <w:bCs w:val="0"/>
                      <w:color w:val="auto"/>
                      <w:u w:val="none" w:color="auto"/>
                    </w:rPr>
                    <w:t>1</w:t>
                  </w:r>
                </w:p>
              </w:tc>
              <w:tc>
                <w:tcPr>
                  <w:tcW w:w="916" w:type="dxa"/>
                  <w:vMerge w:val="restart"/>
                  <w:noWrap w:val="0"/>
                  <w:vAlign w:val="center"/>
                </w:tcPr>
                <w:p w14:paraId="2AC58AF5">
                  <w:pPr>
                    <w:adjustRightInd w:val="0"/>
                    <w:snapToGrid w:val="0"/>
                    <w:jc w:val="center"/>
                    <w:textAlignment w:val="baseline"/>
                    <w:rPr>
                      <w:rFonts w:hint="default" w:eastAsia="宋体"/>
                      <w:bCs/>
                      <w:color w:val="auto"/>
                      <w:kern w:val="0"/>
                      <w:szCs w:val="21"/>
                      <w:u w:val="none" w:color="auto"/>
                      <w:lang w:val="en-US" w:eastAsia="zh-CN"/>
                    </w:rPr>
                  </w:pPr>
                  <w:r>
                    <w:rPr>
                      <w:rFonts w:hint="eastAsia"/>
                      <w:bCs/>
                      <w:color w:val="auto"/>
                      <w:kern w:val="0"/>
                      <w:szCs w:val="21"/>
                      <w:u w:val="none" w:color="auto"/>
                      <w:lang w:val="en-US" w:eastAsia="zh-CN"/>
                    </w:rPr>
                    <w:t>危废暂存间</w:t>
                  </w:r>
                </w:p>
              </w:tc>
              <w:tc>
                <w:tcPr>
                  <w:tcW w:w="1524" w:type="dxa"/>
                  <w:noWrap w:val="0"/>
                  <w:vAlign w:val="center"/>
                </w:tcPr>
                <w:p w14:paraId="0A80DAB0">
                  <w:pPr>
                    <w:jc w:val="center"/>
                    <w:rPr>
                      <w:rFonts w:hint="eastAsia"/>
                      <w:color w:val="auto"/>
                      <w:kern w:val="2"/>
                      <w:sz w:val="21"/>
                      <w:szCs w:val="21"/>
                      <w:u w:val="none" w:color="auto"/>
                      <w:lang w:val="en-US" w:eastAsia="zh-CN" w:bidi="ar-SA"/>
                    </w:rPr>
                  </w:pPr>
                  <w:r>
                    <w:rPr>
                      <w:rFonts w:hint="eastAsia" w:ascii="Times New Roman" w:hAnsi="Times New Roman"/>
                      <w:color w:val="auto"/>
                      <w:sz w:val="21"/>
                      <w:szCs w:val="21"/>
                      <w:u w:val="none" w:color="auto"/>
                    </w:rPr>
                    <w:t>医疗布草</w:t>
                  </w:r>
                  <w:r>
                    <w:rPr>
                      <w:rFonts w:hint="eastAsia" w:ascii="Times New Roman" w:hAnsi="Times New Roman"/>
                      <w:color w:val="auto"/>
                      <w:sz w:val="21"/>
                      <w:szCs w:val="21"/>
                      <w:u w:val="none" w:color="auto"/>
                      <w:lang w:eastAsia="zh-CN"/>
                    </w:rPr>
                    <w:t>分拣废物</w:t>
                  </w:r>
                </w:p>
              </w:tc>
              <w:tc>
                <w:tcPr>
                  <w:tcW w:w="1199" w:type="dxa"/>
                  <w:noWrap w:val="0"/>
                  <w:vAlign w:val="center"/>
                </w:tcPr>
                <w:p w14:paraId="0BF1C398">
                  <w:pPr>
                    <w:pStyle w:val="55"/>
                    <w:rPr>
                      <w:rFonts w:hint="default" w:eastAsia="宋体"/>
                      <w:bCs/>
                      <w:color w:val="auto"/>
                      <w:sz w:val="21"/>
                      <w:szCs w:val="21"/>
                      <w:u w:val="none" w:color="auto"/>
                      <w:lang w:val="en-US" w:eastAsia="zh-CN"/>
                    </w:rPr>
                  </w:pPr>
                  <w:r>
                    <w:rPr>
                      <w:bCs/>
                      <w:color w:val="auto"/>
                      <w:sz w:val="21"/>
                      <w:szCs w:val="21"/>
                      <w:u w:val="none" w:color="auto"/>
                    </w:rPr>
                    <w:t>HW</w:t>
                  </w:r>
                  <w:r>
                    <w:rPr>
                      <w:rFonts w:hint="eastAsia"/>
                      <w:bCs/>
                      <w:color w:val="auto"/>
                      <w:sz w:val="21"/>
                      <w:szCs w:val="21"/>
                      <w:u w:val="none" w:color="auto"/>
                      <w:lang w:val="en-US" w:eastAsia="zh-CN"/>
                    </w:rPr>
                    <w:t>01</w:t>
                  </w:r>
                </w:p>
              </w:tc>
              <w:tc>
                <w:tcPr>
                  <w:tcW w:w="1365" w:type="dxa"/>
                  <w:noWrap w:val="0"/>
                  <w:vAlign w:val="center"/>
                </w:tcPr>
                <w:p w14:paraId="02B630DD">
                  <w:pPr>
                    <w:jc w:val="center"/>
                    <w:rPr>
                      <w:rFonts w:hint="eastAsia"/>
                      <w:color w:val="auto"/>
                      <w:kern w:val="2"/>
                      <w:sz w:val="21"/>
                      <w:szCs w:val="21"/>
                      <w:u w:val="none" w:color="auto"/>
                      <w:lang w:val="en-US" w:eastAsia="zh-CN" w:bidi="ar-SA"/>
                    </w:rPr>
                  </w:pPr>
                  <w:r>
                    <w:rPr>
                      <w:rFonts w:hint="eastAsia" w:eastAsia="宋体"/>
                      <w:bCs/>
                      <w:color w:val="auto"/>
                      <w:spacing w:val="-10"/>
                      <w:sz w:val="21"/>
                      <w:szCs w:val="21"/>
                      <w:u w:val="none"/>
                      <w:lang w:val="en-US" w:eastAsia="zh-CN"/>
                    </w:rPr>
                    <w:t xml:space="preserve">HW01  </w:t>
                  </w:r>
                  <w:r>
                    <w:rPr>
                      <w:rFonts w:hint="eastAsia" w:eastAsia="宋体"/>
                      <w:bCs/>
                      <w:color w:val="auto"/>
                      <w:spacing w:val="-10"/>
                      <w:sz w:val="21"/>
                      <w:szCs w:val="21"/>
                      <w:u w:val="none"/>
                    </w:rPr>
                    <w:t>841-001-01</w:t>
                  </w:r>
                </w:p>
              </w:tc>
              <w:tc>
                <w:tcPr>
                  <w:tcW w:w="780" w:type="dxa"/>
                  <w:vMerge w:val="restart"/>
                  <w:noWrap w:val="0"/>
                  <w:vAlign w:val="center"/>
                </w:tcPr>
                <w:p w14:paraId="02C0E35D">
                  <w:pPr>
                    <w:adjustRightInd w:val="0"/>
                    <w:snapToGrid w:val="0"/>
                    <w:jc w:val="center"/>
                    <w:textAlignment w:val="baseline"/>
                    <w:rPr>
                      <w:bCs/>
                      <w:color w:val="auto"/>
                      <w:kern w:val="0"/>
                      <w:szCs w:val="21"/>
                      <w:u w:val="none" w:color="auto"/>
                    </w:rPr>
                  </w:pPr>
                  <w:r>
                    <w:rPr>
                      <w:rFonts w:hint="eastAsia"/>
                      <w:bCs/>
                      <w:color w:val="auto"/>
                      <w:kern w:val="0"/>
                      <w:szCs w:val="21"/>
                      <w:u w:val="none" w:color="auto"/>
                      <w:lang w:val="en-US" w:eastAsia="zh-CN"/>
                    </w:rPr>
                    <w:t>40</w:t>
                  </w:r>
                  <w:r>
                    <w:rPr>
                      <w:bCs/>
                      <w:color w:val="auto"/>
                      <w:kern w:val="0"/>
                      <w:szCs w:val="21"/>
                      <w:u w:val="none" w:color="auto"/>
                    </w:rPr>
                    <w:t>m</w:t>
                  </w:r>
                  <w:r>
                    <w:rPr>
                      <w:bCs/>
                      <w:color w:val="auto"/>
                      <w:kern w:val="0"/>
                      <w:szCs w:val="21"/>
                      <w:u w:val="none" w:color="auto"/>
                      <w:vertAlign w:val="superscript"/>
                    </w:rPr>
                    <w:t>2</w:t>
                  </w:r>
                </w:p>
              </w:tc>
              <w:tc>
                <w:tcPr>
                  <w:tcW w:w="806" w:type="dxa"/>
                  <w:noWrap w:val="0"/>
                  <w:vAlign w:val="center"/>
                </w:tcPr>
                <w:p w14:paraId="5318E87E">
                  <w:pPr>
                    <w:adjustRightInd w:val="0"/>
                    <w:snapToGrid w:val="0"/>
                    <w:jc w:val="center"/>
                    <w:textAlignment w:val="baseline"/>
                    <w:rPr>
                      <w:rFonts w:hint="eastAsia" w:ascii="Times New Roman" w:hAnsi="Times New Roman" w:eastAsia="宋体" w:cs="Times New Roman"/>
                      <w:color w:val="auto"/>
                      <w:u w:val="none" w:color="auto"/>
                      <w:lang w:val="en-US" w:eastAsia="zh-CN"/>
                    </w:rPr>
                  </w:pPr>
                  <w:r>
                    <w:rPr>
                      <w:rFonts w:hint="eastAsia" w:ascii="Times New Roman" w:hAnsi="Times New Roman" w:eastAsia="宋体" w:cs="Times New Roman"/>
                      <w:color w:val="auto"/>
                      <w:u w:val="none" w:color="auto"/>
                      <w:lang w:val="en-US" w:eastAsia="zh-CN"/>
                    </w:rPr>
                    <w:t>袋装</w:t>
                  </w:r>
                </w:p>
              </w:tc>
              <w:tc>
                <w:tcPr>
                  <w:tcW w:w="894" w:type="dxa"/>
                  <w:vMerge w:val="restart"/>
                  <w:noWrap w:val="0"/>
                  <w:vAlign w:val="center"/>
                </w:tcPr>
                <w:p w14:paraId="23649AF3">
                  <w:pPr>
                    <w:adjustRightInd w:val="0"/>
                    <w:snapToGrid w:val="0"/>
                    <w:jc w:val="center"/>
                    <w:textAlignment w:val="baseline"/>
                    <w:rPr>
                      <w:rFonts w:hint="eastAsia" w:eastAsia="宋体"/>
                      <w:bCs/>
                      <w:color w:val="auto"/>
                      <w:kern w:val="0"/>
                      <w:szCs w:val="21"/>
                      <w:u w:val="none" w:color="auto"/>
                      <w:lang w:val="en-US" w:eastAsia="zh-CN"/>
                    </w:rPr>
                  </w:pPr>
                  <w:r>
                    <w:rPr>
                      <w:rFonts w:hint="eastAsia"/>
                      <w:bCs/>
                      <w:color w:val="auto"/>
                      <w:kern w:val="0"/>
                      <w:szCs w:val="21"/>
                      <w:u w:val="none" w:color="auto"/>
                      <w:lang w:val="en-US" w:eastAsia="zh-CN"/>
                    </w:rPr>
                    <w:t>60</w:t>
                  </w:r>
                  <w:r>
                    <w:rPr>
                      <w:bCs/>
                      <w:color w:val="auto"/>
                      <w:kern w:val="0"/>
                      <w:szCs w:val="21"/>
                      <w:u w:val="none" w:color="auto"/>
                    </w:rPr>
                    <w:t>m</w:t>
                  </w:r>
                  <w:r>
                    <w:rPr>
                      <w:rFonts w:hint="eastAsia"/>
                      <w:bCs/>
                      <w:color w:val="auto"/>
                      <w:kern w:val="0"/>
                      <w:szCs w:val="21"/>
                      <w:u w:val="none" w:color="auto"/>
                      <w:vertAlign w:val="superscript"/>
                      <w:lang w:val="en-US" w:eastAsia="zh-CN"/>
                    </w:rPr>
                    <w:t>3</w:t>
                  </w:r>
                </w:p>
              </w:tc>
              <w:tc>
                <w:tcPr>
                  <w:tcW w:w="799" w:type="dxa"/>
                  <w:noWrap w:val="0"/>
                  <w:vAlign w:val="center"/>
                </w:tcPr>
                <w:p w14:paraId="6ED5ADBF">
                  <w:pPr>
                    <w:adjustRightInd w:val="0"/>
                    <w:snapToGrid w:val="0"/>
                    <w:jc w:val="center"/>
                    <w:textAlignment w:val="baseline"/>
                    <w:rPr>
                      <w:rFonts w:hint="default" w:eastAsia="宋体"/>
                      <w:bCs/>
                      <w:color w:val="auto"/>
                      <w:kern w:val="0"/>
                      <w:szCs w:val="21"/>
                      <w:u w:val="none" w:color="auto"/>
                      <w:lang w:val="en-US" w:eastAsia="zh-CN"/>
                    </w:rPr>
                  </w:pPr>
                  <w:r>
                    <w:rPr>
                      <w:rFonts w:hint="eastAsia"/>
                      <w:bCs/>
                      <w:color w:val="auto"/>
                      <w:kern w:val="0"/>
                      <w:szCs w:val="21"/>
                      <w:u w:val="none" w:color="auto"/>
                      <w:lang w:val="en-US" w:eastAsia="zh-CN"/>
                    </w:rPr>
                    <w:t>30天</w:t>
                  </w:r>
                </w:p>
              </w:tc>
            </w:tr>
            <w:tr w14:paraId="0148F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2" w:type="dxa"/>
                  <w:noWrap w:val="0"/>
                  <w:vAlign w:val="center"/>
                </w:tcPr>
                <w:p w14:paraId="5852CD23">
                  <w:pPr>
                    <w:pStyle w:val="54"/>
                    <w:ind w:firstLine="0" w:firstLineChars="0"/>
                    <w:rPr>
                      <w:rFonts w:hint="eastAsia" w:ascii="Times New Roman" w:hAnsi="Times New Roman" w:eastAsia="宋体" w:cs="Times New Roman"/>
                      <w:b w:val="0"/>
                      <w:bCs w:val="0"/>
                      <w:color w:val="auto"/>
                      <w:kern w:val="2"/>
                      <w:sz w:val="21"/>
                      <w:szCs w:val="21"/>
                      <w:u w:val="none" w:color="auto"/>
                      <w:lang w:val="en-US" w:eastAsia="zh-CN" w:bidi="ar-SA"/>
                    </w:rPr>
                  </w:pPr>
                  <w:r>
                    <w:rPr>
                      <w:rFonts w:hint="eastAsia" w:ascii="Times New Roman" w:hAnsi="Times New Roman" w:cs="Times New Roman"/>
                      <w:b w:val="0"/>
                      <w:bCs w:val="0"/>
                      <w:color w:val="auto"/>
                      <w:u w:val="none" w:color="auto"/>
                    </w:rPr>
                    <w:t>2</w:t>
                  </w:r>
                </w:p>
                <w:p w14:paraId="76BFD47E">
                  <w:pPr>
                    <w:adjustRightInd w:val="0"/>
                    <w:snapToGrid w:val="0"/>
                    <w:jc w:val="center"/>
                    <w:textAlignment w:val="baseline"/>
                    <w:rPr>
                      <w:bCs/>
                      <w:color w:val="auto"/>
                      <w:kern w:val="0"/>
                      <w:szCs w:val="21"/>
                      <w:u w:val="none" w:color="auto"/>
                    </w:rPr>
                  </w:pPr>
                  <w:r>
                    <w:rPr>
                      <w:rFonts w:hint="eastAsia" w:ascii="Times New Roman" w:hAnsi="Times New Roman" w:cs="Times New Roman"/>
                      <w:b w:val="0"/>
                      <w:bCs w:val="0"/>
                      <w:color w:val="auto"/>
                      <w:u w:val="none" w:color="auto"/>
                    </w:rPr>
                    <w:t>3</w:t>
                  </w:r>
                </w:p>
              </w:tc>
              <w:tc>
                <w:tcPr>
                  <w:tcW w:w="916" w:type="dxa"/>
                  <w:vMerge w:val="continue"/>
                  <w:noWrap w:val="0"/>
                  <w:vAlign w:val="center"/>
                </w:tcPr>
                <w:p w14:paraId="4122FC56">
                  <w:pPr>
                    <w:adjustRightInd w:val="0"/>
                    <w:snapToGrid w:val="0"/>
                    <w:jc w:val="center"/>
                    <w:textAlignment w:val="baseline"/>
                    <w:rPr>
                      <w:rFonts w:hint="eastAsia"/>
                      <w:bCs/>
                      <w:color w:val="auto"/>
                      <w:kern w:val="0"/>
                      <w:szCs w:val="21"/>
                      <w:u w:val="none" w:color="auto"/>
                    </w:rPr>
                  </w:pPr>
                </w:p>
              </w:tc>
              <w:tc>
                <w:tcPr>
                  <w:tcW w:w="1524" w:type="dxa"/>
                  <w:noWrap w:val="0"/>
                  <w:vAlign w:val="center"/>
                </w:tcPr>
                <w:p w14:paraId="54168831">
                  <w:pPr>
                    <w:jc w:val="center"/>
                    <w:rPr>
                      <w:rFonts w:hint="eastAsia"/>
                      <w:color w:val="auto"/>
                      <w:kern w:val="2"/>
                      <w:sz w:val="21"/>
                      <w:szCs w:val="21"/>
                      <w:u w:val="none" w:color="auto"/>
                      <w:lang w:val="en-US" w:eastAsia="zh-CN" w:bidi="ar-SA"/>
                    </w:rPr>
                  </w:pPr>
                  <w:r>
                    <w:rPr>
                      <w:rFonts w:hint="eastAsia"/>
                      <w:bCs/>
                      <w:color w:val="auto"/>
                      <w:spacing w:val="-10"/>
                      <w:sz w:val="21"/>
                      <w:szCs w:val="21"/>
                      <w:u w:val="none" w:color="auto"/>
                    </w:rPr>
                    <w:t>废水处理站污泥</w:t>
                  </w:r>
                </w:p>
              </w:tc>
              <w:tc>
                <w:tcPr>
                  <w:tcW w:w="1199" w:type="dxa"/>
                  <w:noWrap w:val="0"/>
                  <w:vAlign w:val="center"/>
                </w:tcPr>
                <w:p w14:paraId="3236F919">
                  <w:pPr>
                    <w:jc w:val="center"/>
                    <w:rPr>
                      <w:rFonts w:hint="default" w:eastAsia="宋体"/>
                      <w:bCs/>
                      <w:color w:val="auto"/>
                      <w:sz w:val="21"/>
                      <w:szCs w:val="21"/>
                      <w:u w:val="none" w:color="auto"/>
                      <w:lang w:val="en-US" w:eastAsia="zh-CN"/>
                    </w:rPr>
                  </w:pPr>
                  <w:r>
                    <w:rPr>
                      <w:bCs/>
                      <w:color w:val="auto"/>
                      <w:sz w:val="21"/>
                      <w:szCs w:val="21"/>
                      <w:u w:val="none" w:color="auto"/>
                    </w:rPr>
                    <w:t>HW</w:t>
                  </w:r>
                  <w:r>
                    <w:rPr>
                      <w:rFonts w:hint="eastAsia"/>
                      <w:color w:val="auto"/>
                      <w:szCs w:val="21"/>
                      <w:u w:val="none" w:color="auto"/>
                      <w:lang w:val="en-US" w:eastAsia="zh-CN"/>
                    </w:rPr>
                    <w:t>49</w:t>
                  </w:r>
                </w:p>
              </w:tc>
              <w:tc>
                <w:tcPr>
                  <w:tcW w:w="1365" w:type="dxa"/>
                  <w:noWrap w:val="0"/>
                  <w:vAlign w:val="center"/>
                </w:tcPr>
                <w:p w14:paraId="34E74278">
                  <w:pPr>
                    <w:jc w:val="center"/>
                    <w:rPr>
                      <w:rFonts w:hint="eastAsia" w:eastAsia="宋体"/>
                      <w:bCs/>
                      <w:color w:val="auto"/>
                      <w:spacing w:val="-10"/>
                      <w:sz w:val="21"/>
                      <w:szCs w:val="21"/>
                      <w:u w:val="none"/>
                      <w:lang w:val="en-US" w:eastAsia="zh-CN"/>
                    </w:rPr>
                  </w:pPr>
                  <w:r>
                    <w:rPr>
                      <w:rFonts w:hint="eastAsia" w:eastAsia="宋体"/>
                      <w:bCs/>
                      <w:color w:val="auto"/>
                      <w:spacing w:val="-10"/>
                      <w:sz w:val="21"/>
                      <w:szCs w:val="21"/>
                      <w:u w:val="none"/>
                    </w:rPr>
                    <w:t>HW</w:t>
                  </w:r>
                  <w:r>
                    <w:rPr>
                      <w:rFonts w:hint="eastAsia" w:eastAsia="宋体"/>
                      <w:bCs/>
                      <w:color w:val="auto"/>
                      <w:spacing w:val="-10"/>
                      <w:sz w:val="21"/>
                      <w:szCs w:val="21"/>
                      <w:u w:val="none"/>
                      <w:lang w:val="en-US" w:eastAsia="zh-CN"/>
                    </w:rPr>
                    <w:t>49</w:t>
                  </w:r>
                </w:p>
                <w:p w14:paraId="398391E4">
                  <w:pPr>
                    <w:jc w:val="center"/>
                    <w:rPr>
                      <w:rFonts w:hint="eastAsia" w:eastAsia="宋体"/>
                      <w:color w:val="auto"/>
                      <w:kern w:val="2"/>
                      <w:sz w:val="21"/>
                      <w:szCs w:val="21"/>
                      <w:u w:val="none" w:color="auto"/>
                      <w:lang w:val="en-US" w:eastAsia="zh-CN" w:bidi="ar-SA"/>
                    </w:rPr>
                  </w:pPr>
                  <w:r>
                    <w:rPr>
                      <w:rFonts w:hint="eastAsia" w:eastAsia="宋体"/>
                      <w:bCs/>
                      <w:color w:val="auto"/>
                      <w:spacing w:val="-10"/>
                      <w:sz w:val="21"/>
                      <w:szCs w:val="21"/>
                      <w:u w:val="none"/>
                      <w:lang w:val="en-US" w:eastAsia="zh-CN"/>
                    </w:rPr>
                    <w:t>772-006-49</w:t>
                  </w:r>
                </w:p>
              </w:tc>
              <w:tc>
                <w:tcPr>
                  <w:tcW w:w="780" w:type="dxa"/>
                  <w:vMerge w:val="continue"/>
                  <w:noWrap w:val="0"/>
                  <w:vAlign w:val="center"/>
                </w:tcPr>
                <w:p w14:paraId="29BE185B">
                  <w:pPr>
                    <w:adjustRightInd w:val="0"/>
                    <w:snapToGrid w:val="0"/>
                    <w:jc w:val="center"/>
                    <w:textAlignment w:val="baseline"/>
                    <w:rPr>
                      <w:bCs/>
                      <w:color w:val="auto"/>
                      <w:kern w:val="0"/>
                      <w:szCs w:val="21"/>
                      <w:u w:val="none" w:color="auto"/>
                    </w:rPr>
                  </w:pPr>
                </w:p>
              </w:tc>
              <w:tc>
                <w:tcPr>
                  <w:tcW w:w="806" w:type="dxa"/>
                  <w:noWrap w:val="0"/>
                  <w:vAlign w:val="center"/>
                </w:tcPr>
                <w:p w14:paraId="77CC357E">
                  <w:pPr>
                    <w:adjustRightInd w:val="0"/>
                    <w:snapToGrid w:val="0"/>
                    <w:jc w:val="center"/>
                    <w:textAlignment w:val="baseline"/>
                    <w:rPr>
                      <w:rFonts w:hint="default" w:ascii="Times New Roman" w:hAnsi="Times New Roman" w:eastAsia="宋体" w:cs="Times New Roman"/>
                      <w:color w:val="auto"/>
                      <w:u w:val="none" w:color="auto"/>
                      <w:lang w:val="en-US" w:eastAsia="zh-CN"/>
                    </w:rPr>
                  </w:pPr>
                  <w:r>
                    <w:rPr>
                      <w:rFonts w:hint="eastAsia" w:eastAsia="宋体" w:cs="Times New Roman"/>
                      <w:color w:val="auto"/>
                      <w:u w:val="none" w:color="auto"/>
                      <w:lang w:val="en-US" w:eastAsia="zh-CN"/>
                    </w:rPr>
                    <w:t>桶装</w:t>
                  </w:r>
                </w:p>
              </w:tc>
              <w:tc>
                <w:tcPr>
                  <w:tcW w:w="894" w:type="dxa"/>
                  <w:vMerge w:val="continue"/>
                  <w:noWrap w:val="0"/>
                  <w:vAlign w:val="center"/>
                </w:tcPr>
                <w:p w14:paraId="589F0792">
                  <w:pPr>
                    <w:adjustRightInd w:val="0"/>
                    <w:snapToGrid w:val="0"/>
                    <w:jc w:val="center"/>
                    <w:textAlignment w:val="baseline"/>
                    <w:rPr>
                      <w:bCs/>
                      <w:color w:val="auto"/>
                      <w:kern w:val="0"/>
                      <w:szCs w:val="21"/>
                      <w:u w:val="none" w:color="auto"/>
                    </w:rPr>
                  </w:pPr>
                </w:p>
              </w:tc>
              <w:tc>
                <w:tcPr>
                  <w:tcW w:w="799" w:type="dxa"/>
                  <w:noWrap w:val="0"/>
                  <w:vAlign w:val="center"/>
                </w:tcPr>
                <w:p w14:paraId="21AF3A05">
                  <w:pPr>
                    <w:adjustRightInd w:val="0"/>
                    <w:snapToGrid w:val="0"/>
                    <w:jc w:val="center"/>
                    <w:textAlignment w:val="baseline"/>
                    <w:rPr>
                      <w:rFonts w:hint="default" w:eastAsia="宋体"/>
                      <w:bCs/>
                      <w:color w:val="auto"/>
                      <w:kern w:val="0"/>
                      <w:szCs w:val="21"/>
                      <w:u w:val="none" w:color="auto"/>
                      <w:lang w:val="en-US" w:eastAsia="zh-CN"/>
                    </w:rPr>
                  </w:pPr>
                  <w:r>
                    <w:rPr>
                      <w:rFonts w:hint="eastAsia"/>
                      <w:bCs/>
                      <w:color w:val="auto"/>
                      <w:kern w:val="0"/>
                      <w:szCs w:val="21"/>
                      <w:u w:val="none" w:color="auto"/>
                      <w:lang w:val="en-US" w:eastAsia="zh-CN"/>
                    </w:rPr>
                    <w:t>30天</w:t>
                  </w:r>
                </w:p>
              </w:tc>
            </w:tr>
          </w:tbl>
          <w:p w14:paraId="1AB32F91">
            <w:pPr>
              <w:tabs>
                <w:tab w:val="left" w:pos="8580"/>
              </w:tabs>
              <w:adjustRightInd w:val="0"/>
              <w:snapToGrid w:val="0"/>
              <w:spacing w:line="360" w:lineRule="auto"/>
              <w:ind w:firstLine="482" w:firstLineChars="200"/>
              <w:rPr>
                <w:b/>
                <w:sz w:val="24"/>
              </w:rPr>
            </w:pPr>
            <w:r>
              <w:rPr>
                <w:b/>
                <w:sz w:val="24"/>
              </w:rPr>
              <w:t>3</w:t>
            </w:r>
            <w:r>
              <w:rPr>
                <w:rFonts w:hint="eastAsia"/>
                <w:b/>
                <w:sz w:val="24"/>
              </w:rPr>
              <w:t>、环境管理要求</w:t>
            </w:r>
          </w:p>
          <w:p w14:paraId="67349947">
            <w:pPr>
              <w:autoSpaceDE w:val="0"/>
              <w:autoSpaceDN w:val="0"/>
              <w:adjustRightInd w:val="0"/>
              <w:spacing w:line="360" w:lineRule="auto"/>
              <w:ind w:firstLine="440" w:firstLineChars="200"/>
              <w:rPr>
                <w:bCs/>
                <w:spacing w:val="-10"/>
                <w:sz w:val="24"/>
              </w:rPr>
            </w:pPr>
            <w:r>
              <w:rPr>
                <w:rFonts w:hint="eastAsia"/>
                <w:bCs/>
                <w:spacing w:val="-10"/>
                <w:sz w:val="24"/>
              </w:rPr>
              <w:t>（</w:t>
            </w:r>
            <w:r>
              <w:rPr>
                <w:bCs/>
                <w:spacing w:val="-10"/>
                <w:sz w:val="24"/>
              </w:rPr>
              <w:t>1</w:t>
            </w:r>
            <w:r>
              <w:rPr>
                <w:rFonts w:hint="eastAsia"/>
                <w:bCs/>
                <w:spacing w:val="-10"/>
                <w:sz w:val="24"/>
              </w:rPr>
              <w:t>）生活垃圾</w:t>
            </w:r>
          </w:p>
          <w:p w14:paraId="67E91D32">
            <w:pPr>
              <w:autoSpaceDE w:val="0"/>
              <w:autoSpaceDN w:val="0"/>
              <w:adjustRightInd w:val="0"/>
              <w:spacing w:line="360" w:lineRule="auto"/>
              <w:ind w:firstLine="440" w:firstLineChars="200"/>
              <w:rPr>
                <w:bCs/>
                <w:spacing w:val="-10"/>
                <w:sz w:val="24"/>
              </w:rPr>
            </w:pPr>
            <w:r>
              <w:rPr>
                <w:rFonts w:hint="eastAsia"/>
                <w:bCs/>
                <w:spacing w:val="-10"/>
                <w:sz w:val="24"/>
              </w:rPr>
              <w:t>生活垃圾应分类收集，避雨堆放，定期交由环卫部门清运处理，垃圾堆放点定期消毒、灭蝇、灭鼠</w:t>
            </w:r>
            <w:r>
              <w:rPr>
                <w:rFonts w:hint="eastAsia"/>
                <w:bCs/>
                <w:spacing w:val="-10"/>
                <w:sz w:val="24"/>
                <w:lang w:eastAsia="zh-CN"/>
              </w:rPr>
              <w:t>，</w:t>
            </w:r>
            <w:r>
              <w:rPr>
                <w:rFonts w:hint="eastAsia"/>
                <w:bCs/>
                <w:spacing w:val="-10"/>
                <w:sz w:val="24"/>
              </w:rPr>
              <w:t>以免散发恶臭、孽生蚊蝇，以免影响附近环境。</w:t>
            </w:r>
          </w:p>
          <w:p w14:paraId="7511F049">
            <w:pPr>
              <w:autoSpaceDE w:val="0"/>
              <w:autoSpaceDN w:val="0"/>
              <w:adjustRightInd w:val="0"/>
              <w:spacing w:line="360" w:lineRule="auto"/>
              <w:ind w:firstLine="440" w:firstLineChars="200"/>
              <w:rPr>
                <w:bCs/>
                <w:spacing w:val="-10"/>
                <w:sz w:val="24"/>
              </w:rPr>
            </w:pPr>
            <w:r>
              <w:rPr>
                <w:rFonts w:hint="eastAsia"/>
                <w:bCs/>
                <w:spacing w:val="-10"/>
                <w:sz w:val="24"/>
              </w:rPr>
              <w:t>（</w:t>
            </w:r>
            <w:r>
              <w:rPr>
                <w:bCs/>
                <w:spacing w:val="-10"/>
                <w:sz w:val="24"/>
              </w:rPr>
              <w:t>2</w:t>
            </w:r>
            <w:r>
              <w:rPr>
                <w:rFonts w:hint="eastAsia"/>
                <w:bCs/>
                <w:spacing w:val="-10"/>
                <w:sz w:val="24"/>
              </w:rPr>
              <w:t>）一般工业固废</w:t>
            </w:r>
          </w:p>
          <w:p w14:paraId="4C3C1AA7">
            <w:pPr>
              <w:autoSpaceDE w:val="0"/>
              <w:autoSpaceDN w:val="0"/>
              <w:adjustRightInd w:val="0"/>
              <w:spacing w:line="360" w:lineRule="auto"/>
              <w:ind w:firstLine="440" w:firstLineChars="200"/>
              <w:rPr>
                <w:bCs/>
                <w:spacing w:val="-10"/>
                <w:sz w:val="24"/>
              </w:rPr>
            </w:pPr>
            <w:r>
              <w:rPr>
                <w:rFonts w:hint="eastAsia"/>
                <w:bCs/>
                <w:spacing w:val="-10"/>
                <w:sz w:val="24"/>
              </w:rPr>
              <w:t>一般工业固废主要包括废原辅材料包装桶（袋）、锅炉炉渣及布袋除尘器集尘灰、废离子交换树脂等。一般固废收集后交物资回收单位回收处置，不对周围环境产生影响。固体废物临时堆放场应按《一般工业固体废物贮存和填埋污染控制标准》（</w:t>
            </w:r>
            <w:r>
              <w:rPr>
                <w:bCs/>
                <w:spacing w:val="-10"/>
                <w:sz w:val="24"/>
              </w:rPr>
              <w:t>GB18599-2020</w:t>
            </w:r>
            <w:r>
              <w:rPr>
                <w:rFonts w:hint="eastAsia"/>
                <w:bCs/>
                <w:spacing w:val="-10"/>
                <w:sz w:val="24"/>
              </w:rPr>
              <w:t>）进行规范处理，不可胡乱堆放或随意丢弃。具体为贮存区采取防风防雨措施，各类固废应分类收集，贮存区按照《环境保护图形标志——固体废物贮存（处置）场》（GB15562.2）的要求设置环保图形标志，指定专人进行日常管理。</w:t>
            </w:r>
          </w:p>
          <w:p w14:paraId="38D75581">
            <w:pPr>
              <w:autoSpaceDE w:val="0"/>
              <w:autoSpaceDN w:val="0"/>
              <w:adjustRightInd w:val="0"/>
              <w:spacing w:line="360" w:lineRule="auto"/>
              <w:ind w:firstLine="440" w:firstLineChars="200"/>
              <w:rPr>
                <w:bCs/>
                <w:spacing w:val="-10"/>
                <w:sz w:val="24"/>
              </w:rPr>
            </w:pPr>
            <w:r>
              <w:rPr>
                <w:rFonts w:hint="eastAsia"/>
                <w:bCs/>
                <w:spacing w:val="-10"/>
                <w:sz w:val="24"/>
              </w:rPr>
              <w:t>根据现场调查，本项目</w:t>
            </w:r>
            <w:r>
              <w:rPr>
                <w:bCs/>
                <w:spacing w:val="-10"/>
                <w:sz w:val="24"/>
              </w:rPr>
              <w:t>厂区已设置一般固废</w:t>
            </w:r>
            <w:r>
              <w:rPr>
                <w:rFonts w:hint="eastAsia"/>
                <w:bCs/>
                <w:spacing w:val="-10"/>
                <w:sz w:val="24"/>
              </w:rPr>
              <w:t>暂存间1个，</w:t>
            </w:r>
            <w:r>
              <w:rPr>
                <w:bCs/>
                <w:spacing w:val="-10"/>
                <w:sz w:val="24"/>
              </w:rPr>
              <w:t>一般固废</w:t>
            </w:r>
            <w:r>
              <w:rPr>
                <w:rFonts w:hint="eastAsia"/>
                <w:bCs/>
                <w:spacing w:val="-10"/>
                <w:sz w:val="24"/>
              </w:rPr>
              <w:t>暂存间占地</w:t>
            </w:r>
            <w:r>
              <w:rPr>
                <w:rFonts w:hint="eastAsia" w:hAnsi="宋体"/>
                <w:kern w:val="0"/>
                <w:sz w:val="24"/>
              </w:rPr>
              <w:t>面积20m</w:t>
            </w:r>
            <w:r>
              <w:rPr>
                <w:rFonts w:hint="eastAsia" w:hAnsi="宋体"/>
                <w:kern w:val="0"/>
                <w:sz w:val="24"/>
                <w:vertAlign w:val="superscript"/>
              </w:rPr>
              <w:t>2</w:t>
            </w:r>
            <w:r>
              <w:rPr>
                <w:rFonts w:hint="eastAsia" w:hAnsi="宋体"/>
                <w:kern w:val="0"/>
                <w:sz w:val="24"/>
              </w:rPr>
              <w:t>，用于存放现有项目的锅炉灰渣</w:t>
            </w:r>
            <w:r>
              <w:rPr>
                <w:rFonts w:hint="eastAsia" w:hAnsi="宋体"/>
                <w:kern w:val="0"/>
                <w:sz w:val="24"/>
                <w:lang w:eastAsia="zh-CN"/>
              </w:rPr>
              <w:t>、废包装材料</w:t>
            </w:r>
            <w:r>
              <w:rPr>
                <w:rFonts w:hint="eastAsia" w:hAnsi="宋体"/>
                <w:kern w:val="0"/>
                <w:sz w:val="24"/>
              </w:rPr>
              <w:t>等，建设</w:t>
            </w:r>
            <w:r>
              <w:rPr>
                <w:rFonts w:hint="eastAsia"/>
                <w:bCs/>
                <w:spacing w:val="-10"/>
                <w:sz w:val="24"/>
              </w:rPr>
              <w:t>基本满足《一般工业固体废物贮存和填埋污染控制标准》（</w:t>
            </w:r>
            <w:r>
              <w:rPr>
                <w:bCs/>
                <w:spacing w:val="-10"/>
                <w:sz w:val="24"/>
              </w:rPr>
              <w:t>GB18599-2020</w:t>
            </w:r>
            <w:r>
              <w:rPr>
                <w:rFonts w:hint="eastAsia"/>
                <w:bCs/>
                <w:spacing w:val="-10"/>
                <w:sz w:val="24"/>
              </w:rPr>
              <w:t>）规范要求，但建设单位仍需加强一般固废暂存间的密闭性，做好防雨及周边导流沟建设，并按照《环境保护图形标志——固体废物贮存（处置）场》（GB15562.2）的要求设置环保图形标志。</w:t>
            </w:r>
          </w:p>
          <w:p w14:paraId="37F811BA">
            <w:pPr>
              <w:autoSpaceDE w:val="0"/>
              <w:autoSpaceDN w:val="0"/>
              <w:adjustRightInd w:val="0"/>
              <w:spacing w:line="360" w:lineRule="auto"/>
              <w:ind w:firstLine="440" w:firstLineChars="200"/>
              <w:rPr>
                <w:bCs/>
                <w:spacing w:val="-10"/>
                <w:sz w:val="24"/>
              </w:rPr>
            </w:pPr>
            <w:r>
              <w:rPr>
                <w:rFonts w:hint="eastAsia"/>
                <w:bCs/>
                <w:spacing w:val="-10"/>
                <w:sz w:val="24"/>
              </w:rPr>
              <w:t>环评建议，建设单位在洗涤车间内设置一间5m</w:t>
            </w:r>
            <w:r>
              <w:rPr>
                <w:rFonts w:hint="eastAsia"/>
                <w:bCs/>
                <w:spacing w:val="-10"/>
                <w:sz w:val="24"/>
                <w:vertAlign w:val="superscript"/>
              </w:rPr>
              <w:t>2</w:t>
            </w:r>
            <w:r>
              <w:rPr>
                <w:rFonts w:hint="eastAsia"/>
                <w:bCs/>
                <w:spacing w:val="-10"/>
                <w:sz w:val="24"/>
              </w:rPr>
              <w:t xml:space="preserve">一般固废暂存间，用于存放废原辅材料包装桶（袋），并严格按照《一般工业固体废物贮存、处置场污染控制标准》（GB18599-2020）对一般固废暂存区进行选址、设计、运行、安全防护等，一般固废暂存区应做好“四防”（防风、防雨、防晒、防渗漏）措施，不同种类一般固废分类堆放，定期外运资源回收单位综合利用，不得随意堆放、丢弃、遗撒、擅自倾倒，按要求配备标识牌、通讯设备、照明设备，并安排专人负责固废的日常收集和管理。 </w:t>
            </w:r>
          </w:p>
          <w:p w14:paraId="2536CE26">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w:t>
            </w:r>
            <w:r>
              <w:rPr>
                <w:bCs/>
                <w:color w:val="auto"/>
                <w:spacing w:val="-10"/>
                <w:sz w:val="24"/>
                <w:u w:val="none" w:color="auto"/>
              </w:rPr>
              <w:t>3</w:t>
            </w:r>
            <w:r>
              <w:rPr>
                <w:rFonts w:hint="eastAsia"/>
                <w:bCs/>
                <w:color w:val="auto"/>
                <w:spacing w:val="-10"/>
                <w:sz w:val="24"/>
                <w:u w:val="none" w:color="auto"/>
              </w:rPr>
              <w:t>）危险废物</w:t>
            </w:r>
          </w:p>
          <w:p w14:paraId="5FFE1ED7">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危险废物必须集中收集后，交由资质的危险废物处理单位处置，不得混入一般生活垃圾中。</w:t>
            </w:r>
          </w:p>
          <w:p w14:paraId="5C15C4C0">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危险废物须严格按《</w:t>
            </w:r>
            <w:r>
              <w:rPr>
                <w:rFonts w:hint="eastAsia"/>
                <w:color w:val="auto"/>
                <w:kern w:val="0"/>
                <w:sz w:val="24"/>
                <w:szCs w:val="20"/>
                <w:u w:val="none" w:color="auto"/>
              </w:rPr>
              <w:t>危险废物转移联单管理办法</w:t>
            </w:r>
            <w:r>
              <w:rPr>
                <w:rFonts w:hint="eastAsia"/>
                <w:bCs/>
                <w:color w:val="auto"/>
                <w:spacing w:val="-10"/>
                <w:sz w:val="24"/>
                <w:u w:val="none" w:color="auto"/>
              </w:rPr>
              <w:t>》中的有关要求管理。加强对危险废物的管理，对危险废物的产生、利用、收集、运输、贮存、处置等环节建立追踪性的帐目和手续，并纳入环保部门的监督管理。</w:t>
            </w:r>
          </w:p>
          <w:p w14:paraId="3D010CFA">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危险废物的运输和贮存注意事项如下：</w:t>
            </w:r>
          </w:p>
          <w:p w14:paraId="7F6221B4">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A、贮存</w:t>
            </w:r>
          </w:p>
          <w:p w14:paraId="1B6647AE">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项目生产过程中将产生一定量的危险废物，应严格按照《危险废物贮存污染控制标准》（GB18597-2001）及2013 年修改单相关要求进行分类收集后置于专用桶中，暂存放在项目的危险废物暂存间内。同时该危险废物贮存间应严格按照《危险废物贮存污染控制标准》（GBl8597-2001）及2013 年修改单要求进行。环评针对危险废物的储存提出项目设置的危险废物临时堆放间需满足以下要求：</w:t>
            </w:r>
          </w:p>
          <w:p w14:paraId="47AA4C9D">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①基础必须防渗，防渗层必须为砼结构，或至少为1m厚粘土层（渗透系数≤10</w:t>
            </w:r>
            <w:r>
              <w:rPr>
                <w:rFonts w:hint="eastAsia"/>
                <w:bCs/>
                <w:color w:val="auto"/>
                <w:spacing w:val="-10"/>
                <w:sz w:val="24"/>
                <w:u w:val="none" w:color="auto"/>
                <w:vertAlign w:val="superscript"/>
              </w:rPr>
              <w:t>-7</w:t>
            </w:r>
            <w:r>
              <w:rPr>
                <w:rFonts w:hint="eastAsia"/>
                <w:bCs/>
                <w:color w:val="auto"/>
                <w:spacing w:val="-10"/>
                <w:sz w:val="24"/>
                <w:u w:val="none" w:color="auto"/>
              </w:rPr>
              <w:t>cm/s），或2mm厚高密度聚乙烯，或至少为2mm 厚的其他人工材料，渗透系数≤10</w:t>
            </w:r>
            <w:r>
              <w:rPr>
                <w:rFonts w:hint="eastAsia"/>
                <w:bCs/>
                <w:color w:val="auto"/>
                <w:spacing w:val="-10"/>
                <w:sz w:val="24"/>
                <w:u w:val="none" w:color="auto"/>
                <w:vertAlign w:val="superscript"/>
              </w:rPr>
              <w:t>-10</w:t>
            </w:r>
            <w:r>
              <w:rPr>
                <w:rFonts w:hint="eastAsia"/>
                <w:bCs/>
                <w:color w:val="auto"/>
                <w:spacing w:val="-10"/>
                <w:sz w:val="24"/>
                <w:u w:val="none" w:color="auto"/>
              </w:rPr>
              <w:t>cm/s。</w:t>
            </w:r>
          </w:p>
          <w:p w14:paraId="1EE1D58B">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②堆放危险废物的高度应根据地面承载能力确定。</w:t>
            </w:r>
          </w:p>
          <w:p w14:paraId="5ACC1EF8">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③衬里放在一个基础或底座上。</w:t>
            </w:r>
          </w:p>
          <w:p w14:paraId="5FAAA2E3">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④衬里要能够覆盖危险废物或其溶出物可能涉及到的范围。</w:t>
            </w:r>
          </w:p>
          <w:p w14:paraId="026302EF">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⑤衬里材料与堆放危险废物相容。</w:t>
            </w:r>
          </w:p>
          <w:p w14:paraId="717C7CC0">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⑥在衬里上设计、建造浸出液收集清除系统。</w:t>
            </w:r>
          </w:p>
          <w:p w14:paraId="686D223A">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⑦应设计建造径流疏导系统，保证能防止25 年一遇的暴雨不会流到危险废物临时堆放场内。</w:t>
            </w:r>
          </w:p>
          <w:p w14:paraId="12492655">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⑧危险废物临时堆放场要做好防风、防雨、防晒。</w:t>
            </w:r>
          </w:p>
          <w:p w14:paraId="4D61EEBF">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⑨不相容的危险废物不能堆放在一起。</w:t>
            </w:r>
          </w:p>
          <w:p w14:paraId="0B6FDFFB">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⑩项目危险废物用密闭容器储存在危险废物暂存区内，并在相应的储存区域内设置围堰。</w:t>
            </w:r>
          </w:p>
          <w:p w14:paraId="21894B02">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B、运输</w:t>
            </w:r>
          </w:p>
          <w:p w14:paraId="5B3C4E19">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项目产生的危险废物，拟交由有资质单位回收处理，由处理单位派专用车辆定期上门接收，运输至资质单位废物处理场进行处理。</w:t>
            </w:r>
          </w:p>
          <w:p w14:paraId="686E4C27">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C、处置</w:t>
            </w:r>
          </w:p>
          <w:p w14:paraId="124B9925">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项目产生的危险废物交由有资质单位根据各危险废物的性质进行无害化处置。</w:t>
            </w:r>
          </w:p>
          <w:p w14:paraId="2090391E">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D、管理要求</w:t>
            </w:r>
          </w:p>
          <w:p w14:paraId="448FF48B">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危险废物按照《危险废物贮存污染控制标准》（GB18597-2001）及《危险废物转移联单管理办法》的规定进行：</w:t>
            </w:r>
          </w:p>
          <w:p w14:paraId="37083F1C">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①必须将危险废物装入容器内，禁止将不相容（相互反应）的危险废物在同一容器内混装。</w:t>
            </w:r>
          </w:p>
          <w:p w14:paraId="4D7AB0C6">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②容器应粘贴符合标准中附录A所示标签。</w:t>
            </w:r>
          </w:p>
          <w:p w14:paraId="71F46C5A">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③容器应满足相应强度要求，且完好无损，容器材质和衬里与危险废物相容（不相互反应）。</w:t>
            </w:r>
          </w:p>
          <w:p w14:paraId="2C29F19F">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④必须定期对贮存的危险废物包装容器及贮存设施进行检查，发现破损，应及时采取措施清理更换。</w:t>
            </w:r>
          </w:p>
          <w:p w14:paraId="0416C5CF">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⑤做好危险废物台账管理，台账注明危险废物的名称、来源、数量、特性、入库日期、出库日期、接受单位名称等。</w:t>
            </w:r>
          </w:p>
          <w:p w14:paraId="1F3A658B">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⑥危废间实行“双人双锁”制度。</w:t>
            </w:r>
          </w:p>
          <w:p w14:paraId="40D91794">
            <w:pPr>
              <w:autoSpaceDE w:val="0"/>
              <w:autoSpaceDN w:val="0"/>
              <w:adjustRightInd w:val="0"/>
              <w:spacing w:line="360" w:lineRule="auto"/>
              <w:ind w:firstLine="440" w:firstLineChars="200"/>
              <w:rPr>
                <w:bCs/>
                <w:color w:val="auto"/>
                <w:spacing w:val="-10"/>
                <w:sz w:val="24"/>
                <w:u w:val="none" w:color="auto"/>
              </w:rPr>
            </w:pPr>
            <w:r>
              <w:rPr>
                <w:rFonts w:hint="eastAsia"/>
                <w:bCs/>
                <w:color w:val="auto"/>
                <w:spacing w:val="-10"/>
                <w:sz w:val="24"/>
                <w:u w:val="none" w:color="auto"/>
              </w:rPr>
              <w:t>⑦危废转移前向主管环保部门报批转移计划，经批准后向其申领联单，并按照规定转移。</w:t>
            </w:r>
          </w:p>
          <w:p w14:paraId="47D3674F">
            <w:pPr>
              <w:tabs>
                <w:tab w:val="left" w:pos="8580"/>
              </w:tabs>
              <w:adjustRightInd w:val="0"/>
              <w:snapToGrid w:val="0"/>
              <w:spacing w:line="360" w:lineRule="auto"/>
              <w:ind w:firstLine="480" w:firstLineChars="200"/>
              <w:rPr>
                <w:rFonts w:hAnsi="宋体"/>
                <w:color w:val="auto"/>
                <w:kern w:val="0"/>
                <w:sz w:val="24"/>
                <w:u w:val="none" w:color="auto"/>
              </w:rPr>
            </w:pPr>
            <w:r>
              <w:rPr>
                <w:rFonts w:hint="eastAsia" w:hAnsi="宋体"/>
                <w:color w:val="auto"/>
                <w:kern w:val="0"/>
                <w:sz w:val="24"/>
                <w:u w:val="none" w:color="auto"/>
                <w:lang w:eastAsia="zh-CN"/>
              </w:rPr>
              <w:t>根据现场勘察，项目目前未设置危废暂存间，环评建议</w:t>
            </w:r>
            <w:r>
              <w:rPr>
                <w:rFonts w:hint="eastAsia" w:hAnsi="宋体"/>
                <w:color w:val="auto"/>
                <w:kern w:val="0"/>
                <w:sz w:val="24"/>
                <w:u w:val="none" w:color="auto"/>
              </w:rPr>
              <w:t>建设单位</w:t>
            </w:r>
            <w:r>
              <w:rPr>
                <w:rFonts w:hint="eastAsia" w:hAnsi="宋体"/>
                <w:color w:val="auto"/>
                <w:kern w:val="0"/>
                <w:sz w:val="24"/>
                <w:u w:val="none" w:color="auto"/>
                <w:lang w:eastAsia="zh-CN"/>
              </w:rPr>
              <w:t>加设危废暂存间，并</w:t>
            </w:r>
            <w:r>
              <w:rPr>
                <w:rFonts w:hint="eastAsia" w:hAnsi="宋体"/>
                <w:color w:val="auto"/>
                <w:kern w:val="0"/>
                <w:sz w:val="24"/>
                <w:u w:val="none" w:color="auto"/>
              </w:rPr>
              <w:t>加强危险废物暂存间的密闭性；地面采用环氧树脂地坪；用以存放装载液体、半固体危险废物/危险化学品容器的地方，必须有耐腐蚀的硬化地面，且表面无裂隙。应设计堵截泄漏的裙脚，地面与裙脚所围建的容积不低于堵截最大容器的最大储量或总储量的五分之一，容器下方再加防渗漏托盘；现场设置导流沟、收集槽、危废管理制度及危废暂存场所标识标牌、避免危废物外溢；严格实行“双人双锁”制度；加强台账管理，严格执行危险废物各项管理制度，将危险废物全部分类、规范贮存，并及时交有资质单位处理，履行好危险废物转移联单制度，避免危险废物的二次污染。</w:t>
            </w:r>
          </w:p>
          <w:p w14:paraId="47E9F040">
            <w:pPr>
              <w:tabs>
                <w:tab w:val="left" w:pos="8580"/>
              </w:tabs>
              <w:adjustRightInd w:val="0"/>
              <w:snapToGrid w:val="0"/>
              <w:spacing w:line="360" w:lineRule="auto"/>
              <w:ind w:firstLine="482" w:firstLineChars="200"/>
              <w:rPr>
                <w:b/>
                <w:sz w:val="24"/>
              </w:rPr>
            </w:pPr>
            <w:r>
              <w:rPr>
                <w:b/>
                <w:sz w:val="24"/>
              </w:rPr>
              <w:t>4</w:t>
            </w:r>
            <w:r>
              <w:rPr>
                <w:rFonts w:hint="eastAsia"/>
                <w:b/>
                <w:sz w:val="24"/>
              </w:rPr>
              <w:t>、小结</w:t>
            </w:r>
          </w:p>
          <w:p w14:paraId="74B29F96">
            <w:pPr>
              <w:tabs>
                <w:tab w:val="left" w:pos="8580"/>
              </w:tabs>
              <w:adjustRightInd w:val="0"/>
              <w:snapToGrid w:val="0"/>
              <w:spacing w:line="360" w:lineRule="auto"/>
              <w:ind w:firstLine="480" w:firstLineChars="200"/>
              <w:rPr>
                <w:sz w:val="24"/>
              </w:rPr>
            </w:pPr>
            <w:r>
              <w:rPr>
                <w:rFonts w:hint="eastAsia"/>
                <w:sz w:val="24"/>
              </w:rPr>
              <w:t>综上所述，项目运营期产生的固体废弃物均能够得到妥善的处置，对环境影响较小。</w:t>
            </w:r>
          </w:p>
          <w:p w14:paraId="03A1439E">
            <w:pPr>
              <w:adjustRightInd w:val="0"/>
              <w:snapToGrid w:val="0"/>
              <w:spacing w:line="360" w:lineRule="auto"/>
              <w:ind w:firstLine="482" w:firstLineChars="200"/>
              <w:rPr>
                <w:b/>
                <w:sz w:val="23"/>
                <w:szCs w:val="23"/>
              </w:rPr>
            </w:pPr>
            <w:r>
              <w:rPr>
                <w:rFonts w:hint="eastAsia" w:hAnsi="宋体"/>
                <w:b/>
                <w:bCs/>
                <w:kern w:val="0"/>
                <w:sz w:val="24"/>
              </w:rPr>
              <w:t>五、运营期</w:t>
            </w:r>
            <w:r>
              <w:rPr>
                <w:rFonts w:hint="eastAsia"/>
                <w:b/>
                <w:sz w:val="23"/>
                <w:szCs w:val="23"/>
              </w:rPr>
              <w:t>地下水和土壤环境影响分析</w:t>
            </w:r>
          </w:p>
          <w:p w14:paraId="5CABBD45">
            <w:pPr>
              <w:spacing w:line="360" w:lineRule="auto"/>
              <w:ind w:firstLine="480" w:firstLineChars="200"/>
              <w:rPr>
                <w:sz w:val="24"/>
              </w:rPr>
            </w:pPr>
            <w:r>
              <w:rPr>
                <w:rFonts w:hint="eastAsia"/>
                <w:sz w:val="24"/>
              </w:rPr>
              <w:t>本项目为洗染服务项目，地下水类别本项目为Ⅳ类建设项目，可不开展地下水环境影响评价。土壤类别本项目属于其他行业-全部，本项目可不开展土壤环境影响评价工作。</w:t>
            </w:r>
          </w:p>
          <w:p w14:paraId="4388D4BC">
            <w:pPr>
              <w:spacing w:line="360" w:lineRule="auto"/>
              <w:ind w:firstLine="482" w:firstLineChars="200"/>
              <w:rPr>
                <w:b/>
                <w:sz w:val="24"/>
              </w:rPr>
            </w:pPr>
            <w:r>
              <w:rPr>
                <w:rFonts w:hint="eastAsia"/>
                <w:b/>
                <w:sz w:val="24"/>
              </w:rPr>
              <w:t>六、环境风险评价</w:t>
            </w:r>
          </w:p>
          <w:p w14:paraId="735613E0">
            <w:pPr>
              <w:spacing w:line="360" w:lineRule="auto"/>
              <w:ind w:firstLine="480" w:firstLineChars="200"/>
              <w:rPr>
                <w:sz w:val="24"/>
              </w:rPr>
            </w:pPr>
            <w:r>
              <w:rPr>
                <w:rFonts w:hint="eastAsia"/>
                <w:sz w:val="24"/>
              </w:rPr>
              <w:t>根据《建设项目环境风险评价技术导则》（HJ 169-2018），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48456193">
            <w:pPr>
              <w:spacing w:line="360" w:lineRule="auto"/>
              <w:ind w:firstLine="482" w:firstLineChars="200"/>
              <w:rPr>
                <w:b/>
                <w:sz w:val="24"/>
              </w:rPr>
            </w:pPr>
            <w:r>
              <w:rPr>
                <w:rFonts w:hint="eastAsia"/>
                <w:b/>
                <w:sz w:val="24"/>
              </w:rPr>
              <w:t>1、评价依据</w:t>
            </w:r>
          </w:p>
          <w:p w14:paraId="28BD1F24">
            <w:pPr>
              <w:spacing w:line="360" w:lineRule="auto"/>
              <w:ind w:firstLine="480" w:firstLineChars="200"/>
              <w:rPr>
                <w:sz w:val="24"/>
              </w:rPr>
            </w:pPr>
            <w:r>
              <w:rPr>
                <w:rFonts w:hint="eastAsia"/>
                <w:sz w:val="24"/>
              </w:rPr>
              <w:t>（1）风险调查</w:t>
            </w:r>
          </w:p>
          <w:p w14:paraId="7A6080A4">
            <w:pPr>
              <w:pStyle w:val="40"/>
              <w:ind w:firstLine="480"/>
              <w:rPr>
                <w:color w:val="000000" w:themeColor="text1"/>
                <w14:textFill>
                  <w14:solidFill>
                    <w14:schemeClr w14:val="tx1"/>
                  </w14:solidFill>
                </w14:textFill>
              </w:rPr>
            </w:pPr>
            <w:r>
              <w:rPr>
                <w:color w:val="000000" w:themeColor="text1"/>
                <w14:textFill>
                  <w14:solidFill>
                    <w14:schemeClr w14:val="tx1"/>
                  </w14:solidFill>
                </w14:textFill>
              </w:rPr>
              <w:t>本项目属于</w:t>
            </w:r>
            <w:r>
              <w:rPr>
                <w:rFonts w:hint="eastAsia"/>
                <w:color w:val="000000" w:themeColor="text1"/>
                <w14:textFill>
                  <w14:solidFill>
                    <w14:schemeClr w14:val="tx1"/>
                  </w14:solidFill>
                </w14:textFill>
              </w:rPr>
              <w:t>洗染服务业</w:t>
            </w:r>
            <w:r>
              <w:rPr>
                <w:color w:val="000000" w:themeColor="text1"/>
                <w14:textFill>
                  <w14:solidFill>
                    <w14:schemeClr w14:val="tx1"/>
                  </w14:solidFill>
                </w14:textFill>
              </w:rPr>
              <w:t>，通过对项目生产过程中原辅材料、产品进行分析、对比，同时参考《建设项目环境风险评价技术导则》（HJ 169－2018）附录B进行对比，项目不涉及危险物质。虽然本项目</w:t>
            </w:r>
            <w:r>
              <w:rPr>
                <w:rFonts w:hint="eastAsia"/>
                <w:color w:val="000000" w:themeColor="text1"/>
                <w14:textFill>
                  <w14:solidFill>
                    <w14:schemeClr w14:val="tx1"/>
                  </w14:solidFill>
                </w14:textFill>
              </w:rPr>
              <w:t>洗脱过程中使用的洗涤剂及生物质锅炉燃料生物质</w:t>
            </w:r>
            <w:r>
              <w:rPr>
                <w:color w:val="000000" w:themeColor="text1"/>
                <w14:textFill>
                  <w14:solidFill>
                    <w14:schemeClr w14:val="tx1"/>
                  </w14:solidFill>
                </w14:textFill>
              </w:rPr>
              <w:t>燃料不属于危险物品，但遇火的情况下也可燃烧，在突发性的事故状态下，一旦发生火灾，将会对环境造成不利影响。</w:t>
            </w:r>
          </w:p>
          <w:p w14:paraId="6334083D">
            <w:pPr>
              <w:spacing w:line="360" w:lineRule="auto"/>
              <w:ind w:firstLine="480" w:firstLineChars="200"/>
              <w:rPr>
                <w:sz w:val="24"/>
              </w:rPr>
            </w:pPr>
            <w:r>
              <w:rPr>
                <w:rFonts w:hint="eastAsia"/>
                <w:sz w:val="24"/>
              </w:rPr>
              <w:t>（2）风险潜势初判</w:t>
            </w:r>
          </w:p>
          <w:p w14:paraId="5E2D0551">
            <w:pPr>
              <w:pStyle w:val="40"/>
              <w:ind w:firstLine="480"/>
            </w:pPr>
            <w:r>
              <w:rPr>
                <w:rFonts w:hint="eastAsia"/>
              </w:rPr>
              <w:t>项目厂区主要涉及84消毒液、洗衣粉、洗衣液等，根据</w:t>
            </w:r>
            <w:r>
              <w:rPr>
                <w:color w:val="000000" w:themeColor="text1"/>
                <w14:textFill>
                  <w14:solidFill>
                    <w14:schemeClr w14:val="tx1"/>
                  </w14:solidFill>
                </w14:textFill>
              </w:rPr>
              <w:t>《建设项目环境风险评价技术导则》（HJ 169－2018）附录B</w:t>
            </w:r>
            <w:r>
              <w:rPr>
                <w:rFonts w:hint="eastAsia"/>
                <w:color w:val="000000" w:themeColor="text1"/>
                <w14:textFill>
                  <w14:solidFill>
                    <w14:schemeClr w14:val="tx1"/>
                  </w14:solidFill>
                </w14:textFill>
              </w:rPr>
              <w:t>，均不属于</w:t>
            </w:r>
            <w:r>
              <w:rPr>
                <w:rFonts w:hint="eastAsia"/>
              </w:rPr>
              <w:t>危险物质，危险物质数量与临界量的比值Q=0＜1，因此项目风险潜势为I。</w:t>
            </w:r>
          </w:p>
          <w:p w14:paraId="0031E99E">
            <w:pPr>
              <w:spacing w:line="360" w:lineRule="auto"/>
              <w:ind w:firstLine="480" w:firstLineChars="200"/>
              <w:rPr>
                <w:sz w:val="24"/>
              </w:rPr>
            </w:pPr>
            <w:r>
              <w:rPr>
                <w:rFonts w:hint="eastAsia"/>
                <w:sz w:val="24"/>
              </w:rPr>
              <w:t>（3）评价工作等级</w:t>
            </w:r>
          </w:p>
          <w:p w14:paraId="15DC092D">
            <w:pPr>
              <w:spacing w:line="360" w:lineRule="auto"/>
              <w:ind w:firstLine="480" w:firstLineChars="200"/>
              <w:rPr>
                <w:sz w:val="24"/>
              </w:rPr>
            </w:pPr>
            <w:r>
              <w:rPr>
                <w:rFonts w:hint="eastAsia"/>
                <w:sz w:val="24"/>
              </w:rPr>
              <w:t>根据项目危险物质数量与临界量的比值Q，对比《建设项目环境风险评价技术导则》（HJ/T169-2018）表1，可知项目环境风险评价工作等级为简单分析。</w:t>
            </w:r>
          </w:p>
          <w:p w14:paraId="3558AE5C">
            <w:pPr>
              <w:spacing w:before="120" w:beforeLines="50"/>
              <w:jc w:val="center"/>
              <w:rPr>
                <w:b/>
                <w:szCs w:val="21"/>
              </w:rPr>
            </w:pPr>
            <w:r>
              <w:rPr>
                <w:b/>
                <w:szCs w:val="21"/>
              </w:rPr>
              <w:t>表4-</w:t>
            </w:r>
            <w:r>
              <w:rPr>
                <w:rFonts w:hint="eastAsia"/>
                <w:b/>
                <w:szCs w:val="21"/>
              </w:rPr>
              <w:t xml:space="preserve">14 </w:t>
            </w:r>
            <w:r>
              <w:rPr>
                <w:b/>
                <w:szCs w:val="21"/>
              </w:rPr>
              <w:t xml:space="preserve"> 评价工作等级划分</w:t>
            </w:r>
          </w:p>
          <w:tbl>
            <w:tblPr>
              <w:tblStyle w:val="20"/>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1"/>
              <w:gridCol w:w="1527"/>
              <w:gridCol w:w="1793"/>
              <w:gridCol w:w="1594"/>
              <w:gridCol w:w="1990"/>
            </w:tblGrid>
            <w:tr w14:paraId="7DBF54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84" w:type="pct"/>
                  <w:vAlign w:val="center"/>
                </w:tcPr>
                <w:p w14:paraId="2625CB4F">
                  <w:pPr>
                    <w:adjustRightInd w:val="0"/>
                    <w:snapToGrid w:val="0"/>
                    <w:jc w:val="center"/>
                    <w:rPr>
                      <w:b/>
                      <w:bCs/>
                      <w:szCs w:val="21"/>
                    </w:rPr>
                  </w:pPr>
                  <w:r>
                    <w:rPr>
                      <w:b/>
                      <w:bCs/>
                      <w:szCs w:val="21"/>
                    </w:rPr>
                    <w:t>环境风险潜势</w:t>
                  </w:r>
                </w:p>
              </w:tc>
              <w:tc>
                <w:tcPr>
                  <w:tcW w:w="866" w:type="pct"/>
                  <w:vAlign w:val="center"/>
                </w:tcPr>
                <w:p w14:paraId="12F5511F">
                  <w:pPr>
                    <w:adjustRightInd w:val="0"/>
                    <w:snapToGrid w:val="0"/>
                    <w:jc w:val="center"/>
                    <w:rPr>
                      <w:b/>
                      <w:bCs/>
                      <w:szCs w:val="21"/>
                    </w:rPr>
                  </w:pPr>
                  <w:r>
                    <w:rPr>
                      <w:b/>
                      <w:bCs/>
                      <w:szCs w:val="21"/>
                    </w:rPr>
                    <w:fldChar w:fldCharType="begin"/>
                  </w:r>
                  <w:r>
                    <w:rPr>
                      <w:b/>
                      <w:bCs/>
                      <w:szCs w:val="21"/>
                    </w:rPr>
                    <w:instrText xml:space="preserve"> = 4 \* ROMAN </w:instrText>
                  </w:r>
                  <w:r>
                    <w:rPr>
                      <w:b/>
                      <w:bCs/>
                      <w:szCs w:val="21"/>
                    </w:rPr>
                    <w:fldChar w:fldCharType="separate"/>
                  </w:r>
                  <w:r>
                    <w:rPr>
                      <w:b/>
                      <w:bCs/>
                      <w:szCs w:val="21"/>
                    </w:rPr>
                    <w:t>IV</w:t>
                  </w:r>
                  <w:r>
                    <w:rPr>
                      <w:b/>
                      <w:bCs/>
                      <w:szCs w:val="21"/>
                    </w:rPr>
                    <w:fldChar w:fldCharType="end"/>
                  </w:r>
                  <w:r>
                    <w:rPr>
                      <w:b/>
                      <w:bCs/>
                      <w:szCs w:val="21"/>
                    </w:rPr>
                    <w:t>、</w:t>
                  </w:r>
                  <w:r>
                    <w:rPr>
                      <w:b/>
                      <w:bCs/>
                      <w:szCs w:val="21"/>
                    </w:rPr>
                    <w:fldChar w:fldCharType="begin"/>
                  </w:r>
                  <w:r>
                    <w:rPr>
                      <w:b/>
                      <w:bCs/>
                      <w:szCs w:val="21"/>
                    </w:rPr>
                    <w:instrText xml:space="preserve"> = 4 \* ROMAN </w:instrText>
                  </w:r>
                  <w:r>
                    <w:rPr>
                      <w:b/>
                      <w:bCs/>
                      <w:szCs w:val="21"/>
                    </w:rPr>
                    <w:fldChar w:fldCharType="separate"/>
                  </w:r>
                  <w:r>
                    <w:rPr>
                      <w:b/>
                      <w:bCs/>
                      <w:szCs w:val="21"/>
                    </w:rPr>
                    <w:t>IV</w:t>
                  </w:r>
                  <w:r>
                    <w:rPr>
                      <w:b/>
                      <w:bCs/>
                      <w:szCs w:val="21"/>
                    </w:rPr>
                    <w:fldChar w:fldCharType="end"/>
                  </w:r>
                  <w:r>
                    <w:rPr>
                      <w:b/>
                      <w:bCs/>
                      <w:szCs w:val="21"/>
                      <w:vertAlign w:val="superscript"/>
                    </w:rPr>
                    <w:t>+</w:t>
                  </w:r>
                </w:p>
              </w:tc>
              <w:tc>
                <w:tcPr>
                  <w:tcW w:w="1017" w:type="pct"/>
                  <w:vAlign w:val="center"/>
                </w:tcPr>
                <w:p w14:paraId="6835C74F">
                  <w:pPr>
                    <w:adjustRightInd w:val="0"/>
                    <w:snapToGrid w:val="0"/>
                    <w:jc w:val="center"/>
                    <w:rPr>
                      <w:b/>
                      <w:bCs/>
                      <w:szCs w:val="21"/>
                    </w:rPr>
                  </w:pPr>
                  <w:r>
                    <w:rPr>
                      <w:b/>
                      <w:bCs/>
                      <w:szCs w:val="21"/>
                    </w:rPr>
                    <w:fldChar w:fldCharType="begin"/>
                  </w:r>
                  <w:r>
                    <w:rPr>
                      <w:b/>
                      <w:bCs/>
                      <w:szCs w:val="21"/>
                    </w:rPr>
                    <w:instrText xml:space="preserve"> = 3 \* ROMAN </w:instrText>
                  </w:r>
                  <w:r>
                    <w:rPr>
                      <w:b/>
                      <w:bCs/>
                      <w:szCs w:val="21"/>
                    </w:rPr>
                    <w:fldChar w:fldCharType="separate"/>
                  </w:r>
                  <w:r>
                    <w:rPr>
                      <w:b/>
                      <w:bCs/>
                      <w:szCs w:val="21"/>
                    </w:rPr>
                    <w:t>III</w:t>
                  </w:r>
                  <w:r>
                    <w:rPr>
                      <w:b/>
                      <w:bCs/>
                      <w:szCs w:val="21"/>
                    </w:rPr>
                    <w:fldChar w:fldCharType="end"/>
                  </w:r>
                </w:p>
              </w:tc>
              <w:tc>
                <w:tcPr>
                  <w:tcW w:w="904" w:type="pct"/>
                  <w:vAlign w:val="center"/>
                </w:tcPr>
                <w:p w14:paraId="722C129D">
                  <w:pPr>
                    <w:adjustRightInd w:val="0"/>
                    <w:snapToGrid w:val="0"/>
                    <w:jc w:val="center"/>
                    <w:rPr>
                      <w:b/>
                      <w:bCs/>
                      <w:szCs w:val="21"/>
                    </w:rPr>
                  </w:pPr>
                  <w:r>
                    <w:rPr>
                      <w:b/>
                      <w:bCs/>
                      <w:szCs w:val="21"/>
                    </w:rPr>
                    <w:fldChar w:fldCharType="begin"/>
                  </w:r>
                  <w:r>
                    <w:rPr>
                      <w:b/>
                      <w:bCs/>
                      <w:szCs w:val="21"/>
                    </w:rPr>
                    <w:instrText xml:space="preserve"> = 2 \* ROMAN </w:instrText>
                  </w:r>
                  <w:r>
                    <w:rPr>
                      <w:b/>
                      <w:bCs/>
                      <w:szCs w:val="21"/>
                    </w:rPr>
                    <w:fldChar w:fldCharType="separate"/>
                  </w:r>
                  <w:r>
                    <w:rPr>
                      <w:b/>
                      <w:bCs/>
                      <w:szCs w:val="21"/>
                    </w:rPr>
                    <w:t>II</w:t>
                  </w:r>
                  <w:r>
                    <w:rPr>
                      <w:b/>
                      <w:bCs/>
                      <w:szCs w:val="21"/>
                    </w:rPr>
                    <w:fldChar w:fldCharType="end"/>
                  </w:r>
                </w:p>
              </w:tc>
              <w:tc>
                <w:tcPr>
                  <w:tcW w:w="1129" w:type="pct"/>
                  <w:vAlign w:val="center"/>
                </w:tcPr>
                <w:p w14:paraId="1FD306F9">
                  <w:pPr>
                    <w:adjustRightInd w:val="0"/>
                    <w:snapToGrid w:val="0"/>
                    <w:jc w:val="center"/>
                    <w:rPr>
                      <w:b/>
                      <w:bCs/>
                      <w:szCs w:val="21"/>
                    </w:rPr>
                  </w:pPr>
                  <w:r>
                    <w:rPr>
                      <w:b/>
                      <w:bCs/>
                      <w:szCs w:val="21"/>
                    </w:rPr>
                    <w:fldChar w:fldCharType="begin"/>
                  </w:r>
                  <w:r>
                    <w:rPr>
                      <w:b/>
                      <w:bCs/>
                      <w:szCs w:val="21"/>
                    </w:rPr>
                    <w:instrText xml:space="preserve"> = 1 \* ROMAN </w:instrText>
                  </w:r>
                  <w:r>
                    <w:rPr>
                      <w:b/>
                      <w:bCs/>
                      <w:szCs w:val="21"/>
                    </w:rPr>
                    <w:fldChar w:fldCharType="separate"/>
                  </w:r>
                  <w:r>
                    <w:rPr>
                      <w:b/>
                      <w:bCs/>
                      <w:szCs w:val="21"/>
                    </w:rPr>
                    <w:t>I</w:t>
                  </w:r>
                  <w:r>
                    <w:rPr>
                      <w:b/>
                      <w:bCs/>
                      <w:szCs w:val="21"/>
                    </w:rPr>
                    <w:fldChar w:fldCharType="end"/>
                  </w:r>
                </w:p>
              </w:tc>
            </w:tr>
            <w:tr w14:paraId="541A1D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84" w:type="pct"/>
                  <w:vAlign w:val="center"/>
                </w:tcPr>
                <w:p w14:paraId="3021337D">
                  <w:pPr>
                    <w:adjustRightInd w:val="0"/>
                    <w:snapToGrid w:val="0"/>
                    <w:jc w:val="center"/>
                    <w:rPr>
                      <w:szCs w:val="21"/>
                    </w:rPr>
                  </w:pPr>
                  <w:r>
                    <w:rPr>
                      <w:szCs w:val="21"/>
                    </w:rPr>
                    <w:t>评价工作等级</w:t>
                  </w:r>
                </w:p>
              </w:tc>
              <w:tc>
                <w:tcPr>
                  <w:tcW w:w="866" w:type="pct"/>
                  <w:vAlign w:val="center"/>
                </w:tcPr>
                <w:p w14:paraId="04C121F3">
                  <w:pPr>
                    <w:adjustRightInd w:val="0"/>
                    <w:snapToGrid w:val="0"/>
                    <w:jc w:val="center"/>
                    <w:rPr>
                      <w:szCs w:val="21"/>
                    </w:rPr>
                  </w:pPr>
                  <w:r>
                    <w:rPr>
                      <w:szCs w:val="21"/>
                    </w:rPr>
                    <w:t>一</w:t>
                  </w:r>
                </w:p>
              </w:tc>
              <w:tc>
                <w:tcPr>
                  <w:tcW w:w="1017" w:type="pct"/>
                  <w:vAlign w:val="center"/>
                </w:tcPr>
                <w:p w14:paraId="00400B19">
                  <w:pPr>
                    <w:adjustRightInd w:val="0"/>
                    <w:snapToGrid w:val="0"/>
                    <w:jc w:val="center"/>
                    <w:rPr>
                      <w:szCs w:val="21"/>
                    </w:rPr>
                  </w:pPr>
                  <w:r>
                    <w:rPr>
                      <w:szCs w:val="21"/>
                    </w:rPr>
                    <w:t>二</w:t>
                  </w:r>
                </w:p>
              </w:tc>
              <w:tc>
                <w:tcPr>
                  <w:tcW w:w="904" w:type="pct"/>
                  <w:vAlign w:val="center"/>
                </w:tcPr>
                <w:p w14:paraId="33F66AD1">
                  <w:pPr>
                    <w:adjustRightInd w:val="0"/>
                    <w:snapToGrid w:val="0"/>
                    <w:jc w:val="center"/>
                    <w:rPr>
                      <w:szCs w:val="21"/>
                    </w:rPr>
                  </w:pPr>
                  <w:r>
                    <w:rPr>
                      <w:szCs w:val="21"/>
                    </w:rPr>
                    <w:t>三</w:t>
                  </w:r>
                </w:p>
              </w:tc>
              <w:tc>
                <w:tcPr>
                  <w:tcW w:w="1129" w:type="pct"/>
                  <w:shd w:val="clear" w:color="auto" w:fill="D9D9D9"/>
                  <w:vAlign w:val="center"/>
                </w:tcPr>
                <w:p w14:paraId="0F6C9844">
                  <w:pPr>
                    <w:adjustRightInd w:val="0"/>
                    <w:snapToGrid w:val="0"/>
                    <w:jc w:val="center"/>
                    <w:rPr>
                      <w:szCs w:val="21"/>
                    </w:rPr>
                  </w:pPr>
                  <w:r>
                    <w:rPr>
                      <w:szCs w:val="21"/>
                    </w:rPr>
                    <w:t>简单分析</w:t>
                  </w:r>
                  <w:r>
                    <w:rPr>
                      <w:szCs w:val="21"/>
                      <w:vertAlign w:val="superscript"/>
                    </w:rPr>
                    <w:t>a</w:t>
                  </w:r>
                </w:p>
              </w:tc>
            </w:tr>
          </w:tbl>
          <w:p w14:paraId="08E5E051">
            <w:pPr>
              <w:spacing w:line="360" w:lineRule="auto"/>
              <w:ind w:firstLine="482" w:firstLineChars="200"/>
              <w:rPr>
                <w:b/>
                <w:sz w:val="24"/>
              </w:rPr>
            </w:pPr>
            <w:r>
              <w:rPr>
                <w:rFonts w:hint="eastAsia"/>
                <w:b/>
                <w:sz w:val="24"/>
              </w:rPr>
              <w:t>2、环境敏感目标概况</w:t>
            </w:r>
          </w:p>
          <w:p w14:paraId="75DB413D">
            <w:pPr>
              <w:spacing w:line="360" w:lineRule="auto"/>
              <w:ind w:firstLine="480" w:firstLineChars="200"/>
              <w:rPr>
                <w:sz w:val="24"/>
              </w:rPr>
            </w:pPr>
            <w:r>
              <w:rPr>
                <w:rFonts w:hint="eastAsia"/>
                <w:sz w:val="24"/>
              </w:rPr>
              <w:t>项目周围环境敏感点与大气环境环境敏感点一致，详见表3-5。</w:t>
            </w:r>
          </w:p>
          <w:p w14:paraId="7762BBBD">
            <w:pPr>
              <w:spacing w:line="360" w:lineRule="auto"/>
              <w:ind w:firstLine="482" w:firstLineChars="200"/>
              <w:rPr>
                <w:b/>
                <w:sz w:val="24"/>
              </w:rPr>
            </w:pPr>
            <w:r>
              <w:rPr>
                <w:rFonts w:hint="eastAsia"/>
                <w:b/>
                <w:sz w:val="24"/>
              </w:rPr>
              <w:t>3、环境风险识别</w:t>
            </w:r>
          </w:p>
          <w:p w14:paraId="21C94829">
            <w:pPr>
              <w:pStyle w:val="40"/>
              <w:ind w:firstLine="480"/>
            </w:pPr>
            <w:r>
              <w:rPr>
                <w:rFonts w:hint="eastAsia"/>
              </w:rPr>
              <w:t>（1）物质危险性识别</w:t>
            </w:r>
          </w:p>
          <w:p w14:paraId="41E2022B">
            <w:pPr>
              <w:pStyle w:val="40"/>
              <w:ind w:firstLine="480"/>
              <w:rPr>
                <w:color w:val="000000"/>
              </w:rPr>
            </w:pPr>
            <w:r>
              <w:rPr>
                <w:rFonts w:hint="eastAsia"/>
              </w:rPr>
              <w:t>根据本项目特征，对照国家标准</w:t>
            </w:r>
            <w:r>
              <w:rPr>
                <w:rFonts w:hint="eastAsia"/>
                <w:color w:val="000000"/>
              </w:rPr>
              <w:t>《危险化学品重大危险源辨识》（GB18218-2018），本项目生产过程中不涉及危险物质，虽然本项目生物质颗粒不属于危险物品，但遇火的情况下也可燃烧，在突发性的事故状态下，一旦发生火灾，将会对环境造成不利影响。</w:t>
            </w:r>
          </w:p>
          <w:p w14:paraId="167A0B15">
            <w:pPr>
              <w:pStyle w:val="40"/>
              <w:ind w:firstLine="480"/>
              <w:rPr>
                <w:color w:val="000000"/>
              </w:rPr>
            </w:pPr>
            <w:r>
              <w:rPr>
                <w:rFonts w:hint="eastAsia"/>
                <w:color w:val="000000"/>
              </w:rPr>
              <w:t>（2）生产过程潜在的危险性识别</w:t>
            </w:r>
          </w:p>
          <w:p w14:paraId="6307E7D6">
            <w:pPr>
              <w:pStyle w:val="40"/>
              <w:ind w:firstLine="480"/>
              <w:rPr>
                <w:color w:val="000000"/>
              </w:rPr>
            </w:pPr>
            <w:r>
              <w:rPr>
                <w:rFonts w:hint="eastAsia"/>
                <w:color w:val="000000"/>
              </w:rPr>
              <w:t>根据本项目的生产特征，本项目生产过程潜在的危险性主要有以下几点：</w:t>
            </w:r>
          </w:p>
          <w:p w14:paraId="4155FA52">
            <w:pPr>
              <w:pStyle w:val="40"/>
              <w:ind w:firstLine="480"/>
              <w:rPr>
                <w:color w:val="000000"/>
              </w:rPr>
            </w:pPr>
            <w:r>
              <w:rPr>
                <w:rFonts w:hint="eastAsia"/>
                <w:color w:val="000000"/>
              </w:rPr>
              <w:t>1、项目厂区内储存生物质颗粒、各种洗涤剂具有发生火灾的风险；</w:t>
            </w:r>
          </w:p>
          <w:p w14:paraId="1A71061D">
            <w:pPr>
              <w:pStyle w:val="40"/>
              <w:ind w:firstLine="480"/>
              <w:rPr>
                <w:color w:val="000000"/>
              </w:rPr>
            </w:pPr>
            <w:r>
              <w:rPr>
                <w:rFonts w:hint="eastAsia"/>
                <w:color w:val="000000"/>
              </w:rPr>
              <w:t>2、项目建设废水处理站对本项目废水进行处理，若废水处理系统发生故障，则存在废水事故外排的风险；</w:t>
            </w:r>
          </w:p>
          <w:p w14:paraId="7D0456B4">
            <w:pPr>
              <w:pStyle w:val="40"/>
              <w:ind w:firstLine="480"/>
              <w:rPr>
                <w:color w:val="000000"/>
              </w:rPr>
            </w:pPr>
            <w:r>
              <w:rPr>
                <w:rFonts w:hint="eastAsia"/>
                <w:color w:val="000000"/>
              </w:rPr>
              <w:t>3、本项目生物质锅炉采用布袋除尘器进行处理，若布袋除尘器发生故障，则生物质锅炉燃烧过程中产生的废气可能存在事故排放的风险。</w:t>
            </w:r>
          </w:p>
          <w:p w14:paraId="2A7F453B">
            <w:pPr>
              <w:pStyle w:val="4"/>
              <w:rPr>
                <w:color w:val="000000"/>
              </w:rPr>
            </w:pPr>
            <w:r>
              <w:rPr>
                <w:color w:val="000000"/>
              </w:rPr>
              <w:t>7.3.4</w:t>
            </w:r>
            <w:r>
              <w:rPr>
                <w:rFonts w:hint="eastAsia"/>
                <w:color w:val="000000"/>
              </w:rPr>
              <w:t>环境风险影响分析</w:t>
            </w:r>
          </w:p>
          <w:p w14:paraId="6F8FBC6D">
            <w:pPr>
              <w:pStyle w:val="31"/>
              <w:ind w:firstLine="480"/>
              <w:rPr>
                <w:color w:val="000000"/>
              </w:rPr>
            </w:pPr>
            <w:r>
              <w:rPr>
                <w:rFonts w:hint="eastAsia"/>
                <w:color w:val="000000"/>
              </w:rPr>
              <w:t>1、火灾环境风险影响分析</w:t>
            </w:r>
          </w:p>
          <w:p w14:paraId="783C9330">
            <w:pPr>
              <w:pStyle w:val="31"/>
              <w:ind w:firstLine="480"/>
              <w:rPr>
                <w:color w:val="000000"/>
              </w:rPr>
            </w:pPr>
            <w:r>
              <w:rPr>
                <w:rFonts w:hint="eastAsia"/>
                <w:color w:val="000000"/>
              </w:rPr>
              <w:t>由于工作人员操作不当或其他引起火灾的原因，生物质颗粒一旦发生火灾事故，对厂区现场工作人员和周边环境将产生危害。为了避免发生连锁事故，将事故的影响降低到最小程度，企业必须加强原料仓库的管理工作，完善防火措施，在发生火灾时必须采取有效的控制措施。</w:t>
            </w:r>
          </w:p>
          <w:p w14:paraId="46E7805D">
            <w:pPr>
              <w:pStyle w:val="31"/>
              <w:ind w:firstLine="480"/>
              <w:rPr>
                <w:color w:val="000000"/>
              </w:rPr>
            </w:pPr>
            <w:r>
              <w:rPr>
                <w:rFonts w:hint="eastAsia" w:ascii="宋体" w:hAnsi="宋体" w:cs="宋体"/>
                <w:color w:val="000000"/>
              </w:rPr>
              <w:t>①</w:t>
            </w:r>
            <w:r>
              <w:rPr>
                <w:rFonts w:hint="eastAsia"/>
                <w:color w:val="000000"/>
              </w:rPr>
              <w:t>在生产过程中必须严格按照消防安全要求，配备必要的消防设施、电气装置，给排水系统和通风系统等。</w:t>
            </w:r>
          </w:p>
          <w:p w14:paraId="3A34473A">
            <w:pPr>
              <w:pStyle w:val="31"/>
              <w:ind w:firstLine="480"/>
              <w:rPr>
                <w:color w:val="000000"/>
              </w:rPr>
            </w:pPr>
            <w:r>
              <w:rPr>
                <w:rFonts w:hint="eastAsia" w:ascii="宋体" w:hAnsi="宋体" w:cs="宋体"/>
                <w:color w:val="000000"/>
              </w:rPr>
              <w:t>②</w:t>
            </w:r>
            <w:r>
              <w:rPr>
                <w:rFonts w:hint="eastAsia"/>
                <w:color w:val="000000"/>
              </w:rPr>
              <w:t>厂房内设置布置须严格执行国家有关防火防爆的规范、规定，设备之间保证有足够的安全间距，并按要求设置消防通道。</w:t>
            </w:r>
          </w:p>
          <w:p w14:paraId="029D54F0">
            <w:pPr>
              <w:pStyle w:val="31"/>
              <w:ind w:firstLine="480"/>
              <w:rPr>
                <w:color w:val="000000"/>
              </w:rPr>
            </w:pPr>
            <w:r>
              <w:rPr>
                <w:rFonts w:hint="eastAsia" w:ascii="宋体" w:hAnsi="宋体" w:cs="宋体"/>
                <w:color w:val="000000"/>
              </w:rPr>
              <w:t>③</w:t>
            </w:r>
            <w:r>
              <w:rPr>
                <w:rFonts w:hint="eastAsia"/>
                <w:color w:val="000000"/>
              </w:rPr>
              <w:t>尽量采用技术先进和安全可靠的设备，并按国家有关规定在车间内设置必要的安全卫生设施。</w:t>
            </w:r>
          </w:p>
          <w:p w14:paraId="68D03EFF">
            <w:pPr>
              <w:pStyle w:val="31"/>
              <w:ind w:firstLine="480"/>
              <w:rPr>
                <w:color w:val="000000"/>
              </w:rPr>
            </w:pPr>
            <w:r>
              <w:rPr>
                <w:rFonts w:hint="eastAsia" w:ascii="宋体" w:hAnsi="宋体" w:cs="宋体"/>
                <w:color w:val="000000"/>
              </w:rPr>
              <w:t>④</w:t>
            </w:r>
            <w:r>
              <w:rPr>
                <w:rFonts w:hint="eastAsia"/>
                <w:color w:val="000000"/>
              </w:rPr>
              <w:t>禁止员工在厂内吸烟点火，提高员工安全意识，加强消防培训，更多的立足自防自救。</w:t>
            </w:r>
          </w:p>
          <w:p w14:paraId="180DA53E">
            <w:pPr>
              <w:pStyle w:val="31"/>
              <w:ind w:firstLine="480"/>
              <w:rPr>
                <w:color w:val="000000"/>
              </w:rPr>
            </w:pPr>
            <w:r>
              <w:rPr>
                <w:rFonts w:hint="eastAsia"/>
                <w:color w:val="000000"/>
              </w:rPr>
              <w:t>2、废水事故排放环境风险影响分析</w:t>
            </w:r>
          </w:p>
          <w:p w14:paraId="5E88F584">
            <w:pPr>
              <w:pStyle w:val="31"/>
              <w:ind w:firstLine="480"/>
              <w:rPr>
                <w:color w:val="000000"/>
              </w:rPr>
            </w:pPr>
            <w:r>
              <w:rPr>
                <w:rFonts w:hint="eastAsia"/>
                <w:color w:val="000000"/>
              </w:rPr>
              <w:t>项目污水处理设施若因机械故障或者断电而造成污水处理设施不能正常运行时，会导致污水未经处理或不达标进入市政管网，且洗涤废水中可能含有病菌、病毒等感染性物质，会对周围环境产生不良影响。</w:t>
            </w:r>
          </w:p>
          <w:p w14:paraId="473FB96C">
            <w:pPr>
              <w:pStyle w:val="31"/>
              <w:ind w:firstLine="480"/>
            </w:pPr>
            <w:r>
              <w:rPr>
                <w:rFonts w:hint="eastAsia"/>
              </w:rPr>
              <w:t>本在出现上述污水站不能正常运行的情况时，立即启动应急预案，洗涤废水进入事故应急池，同时，对未经处理的洗涤废水人工投加消毒粉进行消毒处理，降低因事故排放中可能含有病菌、病毒等感染性物质对环境造成不利影响。</w:t>
            </w:r>
          </w:p>
          <w:p w14:paraId="72B9305C">
            <w:pPr>
              <w:pStyle w:val="31"/>
              <w:ind w:firstLine="480"/>
              <w:rPr>
                <w:color w:val="000000"/>
              </w:rPr>
            </w:pPr>
            <w:r>
              <w:rPr>
                <w:rFonts w:hint="eastAsia"/>
                <w:color w:val="000000"/>
              </w:rPr>
              <w:t>3、废气事故排放环境风险影响分析</w:t>
            </w:r>
          </w:p>
          <w:p w14:paraId="4581283E">
            <w:pPr>
              <w:pStyle w:val="31"/>
              <w:ind w:firstLine="480"/>
              <w:rPr>
                <w:color w:val="000000"/>
              </w:rPr>
            </w:pPr>
            <w:r>
              <w:rPr>
                <w:rFonts w:hint="eastAsia"/>
                <w:color w:val="000000"/>
              </w:rPr>
              <w:t>项目生物质锅炉配备的布袋除尘器若因机械故障或者断电而造成布袋除尘器不能正常运行时，会导致锅炉废气未经处理或处理不达标外排，锅炉废气未经处理或处理不达标则粉尘含量较高，暂停运行后也将对项目周围大气环造成一定的影响。</w:t>
            </w:r>
          </w:p>
          <w:p w14:paraId="06F19EE1">
            <w:pPr>
              <w:spacing w:line="360" w:lineRule="auto"/>
              <w:ind w:firstLine="482" w:firstLineChars="200"/>
              <w:rPr>
                <w:b/>
                <w:sz w:val="24"/>
              </w:rPr>
            </w:pPr>
            <w:r>
              <w:rPr>
                <w:rFonts w:hint="eastAsia"/>
                <w:b/>
                <w:sz w:val="24"/>
              </w:rPr>
              <w:t>4、环境风险防范措施及应急要求</w:t>
            </w:r>
          </w:p>
          <w:p w14:paraId="7E68D4BB">
            <w:pPr>
              <w:pStyle w:val="31"/>
              <w:ind w:firstLine="480"/>
              <w:rPr>
                <w:rFonts w:hint="eastAsia" w:ascii="宋体" w:hAnsi="宋体" w:cs="宋体"/>
              </w:rPr>
            </w:pPr>
            <w:r>
              <w:rPr>
                <w:rFonts w:hint="eastAsia" w:ascii="宋体" w:hAnsi="宋体" w:cs="宋体"/>
              </w:rPr>
              <w:t>1、火灾事故应急措施</w:t>
            </w:r>
          </w:p>
          <w:p w14:paraId="16B61694">
            <w:pPr>
              <w:pStyle w:val="31"/>
              <w:ind w:firstLine="480"/>
            </w:pPr>
            <w:r>
              <w:rPr>
                <w:rFonts w:hint="eastAsia" w:ascii="宋体" w:hAnsi="宋体" w:cs="宋体"/>
              </w:rPr>
              <w:t>①</w:t>
            </w:r>
            <w:r>
              <w:rPr>
                <w:rFonts w:hint="eastAsia"/>
              </w:rPr>
              <w:t>发生火情，第一发现人应立即采取灭火器材等进行灭火，并高声呼喊，使附近人员能够听到或协助补救，同时，通知相关人员负责拨打火警电话“119”，组织现场人员进行安全疏散。</w:t>
            </w:r>
          </w:p>
          <w:p w14:paraId="628CDCFE">
            <w:pPr>
              <w:pStyle w:val="31"/>
              <w:ind w:firstLine="480"/>
            </w:pPr>
            <w:r>
              <w:rPr>
                <w:rFonts w:hint="eastAsia" w:ascii="宋体" w:hAnsi="宋体" w:cs="宋体"/>
              </w:rPr>
              <w:t>②</w:t>
            </w:r>
            <w:r>
              <w:rPr>
                <w:rFonts w:hint="eastAsia"/>
              </w:rPr>
              <w:t>如果是由于电路失火，必须先切断电源，严禁使用水或液体灭火器画火以防触电事故发生。</w:t>
            </w:r>
          </w:p>
          <w:p w14:paraId="5106E313">
            <w:pPr>
              <w:pStyle w:val="31"/>
              <w:ind w:firstLine="480"/>
            </w:pPr>
            <w:r>
              <w:rPr>
                <w:rFonts w:hint="eastAsia" w:ascii="宋体" w:hAnsi="宋体" w:cs="宋体"/>
              </w:rPr>
              <w:t>③</w:t>
            </w:r>
            <w:r>
              <w:rPr>
                <w:rFonts w:hint="eastAsia"/>
              </w:rPr>
              <w:t>火灾发生时，为防止有人被困，发生窒息伤害，应准备毛也湿润后蒙在口、鼻上，防止有毒有害其他吸入肺中，造成室息伤害。</w:t>
            </w:r>
          </w:p>
          <w:p w14:paraId="104231D6">
            <w:pPr>
              <w:pStyle w:val="31"/>
              <w:ind w:firstLine="480"/>
              <w:rPr>
                <w:color w:val="000000"/>
              </w:rPr>
            </w:pPr>
            <w:r>
              <w:rPr>
                <w:rFonts w:hint="eastAsia"/>
              </w:rPr>
              <w:t>④火灾事故后，保护现场，组织抢救</w:t>
            </w:r>
            <w:r>
              <w:rPr>
                <w:rFonts w:hint="eastAsia"/>
                <w:color w:val="000000"/>
              </w:rPr>
              <w:t>人员和财产，及时汇报上级。</w:t>
            </w:r>
          </w:p>
          <w:p w14:paraId="567EA1BA">
            <w:pPr>
              <w:pStyle w:val="31"/>
              <w:ind w:firstLine="480"/>
              <w:rPr>
                <w:color w:val="000000"/>
              </w:rPr>
            </w:pPr>
            <w:r>
              <w:rPr>
                <w:rFonts w:hint="eastAsia"/>
                <w:color w:val="000000"/>
              </w:rPr>
              <w:t>2、废水事故排放应急措施</w:t>
            </w:r>
          </w:p>
          <w:p w14:paraId="530F453F">
            <w:pPr>
              <w:pStyle w:val="31"/>
              <w:ind w:firstLine="480"/>
            </w:pPr>
            <w:r>
              <w:rPr>
                <w:rFonts w:hint="eastAsia"/>
              </w:rPr>
              <w:t>本项目废水产生量为44.753m</w:t>
            </w:r>
            <w:r>
              <w:rPr>
                <w:rFonts w:hint="eastAsia"/>
                <w:vertAlign w:val="superscript"/>
              </w:rPr>
              <w:t>3</w:t>
            </w:r>
            <w:r>
              <w:rPr>
                <w:rFonts w:hint="eastAsia"/>
              </w:rPr>
              <w:t>/d，项目建设有容积为100m</w:t>
            </w:r>
            <w:r>
              <w:rPr>
                <w:rFonts w:hint="eastAsia"/>
                <w:vertAlign w:val="superscript"/>
              </w:rPr>
              <w:t>3</w:t>
            </w:r>
            <w:r>
              <w:rPr>
                <w:rFonts w:hint="eastAsia"/>
              </w:rPr>
              <w:t>的调节池，当发生事故时，项目废水可暂存在调节池内。</w:t>
            </w:r>
          </w:p>
          <w:p w14:paraId="0BE05237">
            <w:pPr>
              <w:pStyle w:val="31"/>
              <w:ind w:firstLine="480"/>
              <w:rPr>
                <w:color w:val="000000"/>
              </w:rPr>
            </w:pPr>
            <w:r>
              <w:rPr>
                <w:rFonts w:hint="eastAsia"/>
                <w:color w:val="000000"/>
              </w:rPr>
              <w:t>在出现上述污水站不能正常运行的情况时，立即启动应急预案，洗涤废水暂存在调节池内，同时，对未经处理的洗涤废水人工投加消毒粉进行消毒处理，降低因事故排放中可能含有病菌、病毒等感染性物质对环境造成不利影响。同时项目应配备废水处理站管理人员，定期对污水处理设备进行检修。</w:t>
            </w:r>
          </w:p>
          <w:p w14:paraId="37BEB0AB">
            <w:pPr>
              <w:pStyle w:val="31"/>
              <w:ind w:firstLine="480"/>
              <w:rPr>
                <w:color w:val="000000"/>
              </w:rPr>
            </w:pPr>
            <w:r>
              <w:rPr>
                <w:rFonts w:hint="eastAsia"/>
                <w:color w:val="000000"/>
              </w:rPr>
              <w:t>3、废气事故排放应急措施</w:t>
            </w:r>
          </w:p>
          <w:p w14:paraId="298C5BCD">
            <w:pPr>
              <w:pStyle w:val="31"/>
              <w:ind w:firstLine="480"/>
              <w:rPr>
                <w:color w:val="000000"/>
              </w:rPr>
            </w:pPr>
            <w:r>
              <w:rPr>
                <w:rFonts w:hint="eastAsia"/>
                <w:color w:val="000000"/>
              </w:rPr>
              <w:t>废气主要是锅炉内生物质燃烧产生的废气，当发现废气事故排放时，厂区应立即停止锅炉运行，通知厂区周围可能受到未经处理废气影响的居民撤离。正常生产过程中，厂区需配备专人对锅炉废气处理装置进行检修，避免事故发生。</w:t>
            </w:r>
          </w:p>
          <w:p w14:paraId="08AA8C7C">
            <w:pPr>
              <w:spacing w:line="360" w:lineRule="auto"/>
              <w:ind w:firstLine="482" w:firstLineChars="200"/>
              <w:rPr>
                <w:b/>
                <w:sz w:val="24"/>
              </w:rPr>
            </w:pPr>
            <w:r>
              <w:rPr>
                <w:rFonts w:hint="eastAsia"/>
                <w:b/>
                <w:sz w:val="24"/>
              </w:rPr>
              <w:t>5、环境风险分析结论</w:t>
            </w:r>
          </w:p>
          <w:p w14:paraId="11DC2FB1">
            <w:pPr>
              <w:tabs>
                <w:tab w:val="left" w:pos="8580"/>
              </w:tabs>
              <w:adjustRightInd w:val="0"/>
              <w:snapToGrid w:val="0"/>
              <w:spacing w:line="360" w:lineRule="auto"/>
              <w:ind w:firstLine="480" w:firstLineChars="200"/>
              <w:rPr>
                <w:sz w:val="24"/>
              </w:rPr>
            </w:pPr>
            <w:r>
              <w:rPr>
                <w:rFonts w:hint="eastAsia"/>
                <w:sz w:val="24"/>
              </w:rPr>
              <w:t>本项目不涉及《建设项目环境风险评价技术导则》（HJ169-2018）附录B中收录的突发环境事件风险物质，环境风险潜势等级为Ⅰ级，通过采取相应的风险防范措施，可以将项目的风险水平降到较低的水平，因此本项目的环境风险水平在可接受的范围。一旦发生事故，建设单位应立即采取合理的事故应急处理措施，将事故影响降到最低限度。</w:t>
            </w:r>
          </w:p>
          <w:p w14:paraId="471E4715">
            <w:pPr>
              <w:pStyle w:val="38"/>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表</w:t>
            </w:r>
            <w:r>
              <w:rPr>
                <w:rFonts w:hint="eastAsia"/>
                <w:b/>
                <w:bCs/>
                <w:color w:val="000000" w:themeColor="text1"/>
                <w:lang w:val="en-US" w:eastAsia="zh-CN"/>
                <w14:textFill>
                  <w14:solidFill>
                    <w14:schemeClr w14:val="tx1"/>
                  </w14:solidFill>
                </w14:textFill>
              </w:rPr>
              <w:t>4</w:t>
            </w:r>
            <w:r>
              <w:rPr>
                <w:rFonts w:hint="eastAsia"/>
                <w:b/>
                <w:bCs/>
                <w:color w:val="000000" w:themeColor="text1"/>
                <w14:textFill>
                  <w14:solidFill>
                    <w14:schemeClr w14:val="tx1"/>
                  </w14:solidFill>
                </w14:textFill>
              </w:rPr>
              <w:t>-</w:t>
            </w:r>
            <w:r>
              <w:rPr>
                <w:rFonts w:hint="eastAsia"/>
                <w:b/>
                <w:bCs/>
                <w:color w:val="000000" w:themeColor="text1"/>
                <w:lang w:val="en-US" w:eastAsia="zh-CN"/>
                <w14:textFill>
                  <w14:solidFill>
                    <w14:schemeClr w14:val="tx1"/>
                  </w14:solidFill>
                </w14:textFill>
              </w:rPr>
              <w:t>14</w:t>
            </w:r>
            <w:r>
              <w:rPr>
                <w:rFonts w:hint="eastAsia"/>
                <w:b/>
                <w:bCs/>
                <w:color w:val="000000" w:themeColor="text1"/>
                <w14:textFill>
                  <w14:solidFill>
                    <w14:schemeClr w14:val="tx1"/>
                  </w14:solidFill>
                </w14:textFill>
              </w:rPr>
              <w:t xml:space="preserve">  建设项目环境风险简单分析内容表</w:t>
            </w:r>
          </w:p>
          <w:tbl>
            <w:tblPr>
              <w:tblStyle w:val="20"/>
              <w:tblW w:w="94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9"/>
              <w:gridCol w:w="3926"/>
              <w:gridCol w:w="2910"/>
            </w:tblGrid>
            <w:tr w14:paraId="071D6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2" w:type="dxa"/>
                  <w:vAlign w:val="center"/>
                </w:tcPr>
                <w:p w14:paraId="6F99C9CA">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建设项目名称</w:t>
                  </w:r>
                </w:p>
              </w:tc>
              <w:tc>
                <w:tcPr>
                  <w:tcW w:w="7280" w:type="dxa"/>
                  <w:gridSpan w:val="2"/>
                  <w:vAlign w:val="center"/>
                </w:tcPr>
                <w:p w14:paraId="79DF506D">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湖南康康生物科技有限公司布草洗涤车间扩建及生物质锅炉更换建设项目</w:t>
                  </w:r>
                </w:p>
              </w:tc>
            </w:tr>
            <w:tr w14:paraId="1AF6E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2" w:type="dxa"/>
                  <w:vAlign w:val="center"/>
                </w:tcPr>
                <w:p w14:paraId="0D97FE11">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建设地点</w:t>
                  </w:r>
                </w:p>
              </w:tc>
              <w:tc>
                <w:tcPr>
                  <w:tcW w:w="7280" w:type="dxa"/>
                  <w:gridSpan w:val="2"/>
                  <w:vAlign w:val="center"/>
                </w:tcPr>
                <w:p w14:paraId="1AFA9A1C">
                  <w:pPr>
                    <w:adjustRightInd w:val="0"/>
                    <w:snapToGrid w:val="0"/>
                    <w:jc w:val="center"/>
                    <w:rPr>
                      <w:rFonts w:hint="eastAsia" w:eastAsia="宋体"/>
                      <w:color w:val="000000" w:themeColor="text1"/>
                      <w:kern w:val="0"/>
                      <w:sz w:val="20"/>
                      <w:szCs w:val="20"/>
                      <w:lang w:eastAsia="zh-CN"/>
                      <w14:textFill>
                        <w14:solidFill>
                          <w14:schemeClr w14:val="tx1"/>
                        </w14:solidFill>
                      </w14:textFill>
                    </w:rPr>
                  </w:pPr>
                  <w:r>
                    <w:rPr>
                      <w:rFonts w:hint="eastAsia"/>
                      <w:color w:val="000000" w:themeColor="text1"/>
                      <w:kern w:val="0"/>
                      <w:sz w:val="20"/>
                      <w:szCs w:val="20"/>
                      <w14:textFill>
                        <w14:solidFill>
                          <w14:schemeClr w14:val="tx1"/>
                        </w14:solidFill>
                      </w14:textFill>
                    </w:rPr>
                    <w:t>湖南省衡阳市衡阳县西渡镇豆陂村</w:t>
                  </w:r>
                  <w:r>
                    <w:rPr>
                      <w:rFonts w:hint="eastAsia"/>
                      <w:color w:val="000000" w:themeColor="text1"/>
                      <w:kern w:val="0"/>
                      <w:sz w:val="20"/>
                      <w:szCs w:val="20"/>
                      <w:lang w:eastAsia="zh-CN"/>
                      <w14:textFill>
                        <w14:solidFill>
                          <w14:schemeClr w14:val="tx1"/>
                        </w14:solidFill>
                      </w14:textFill>
                    </w:rPr>
                    <w:t>（</w:t>
                  </w:r>
                  <w:r>
                    <w:rPr>
                      <w:rFonts w:hint="eastAsia"/>
                      <w:color w:val="000000" w:themeColor="text1"/>
                      <w:kern w:val="0"/>
                      <w:sz w:val="20"/>
                      <w:szCs w:val="20"/>
                      <w14:textFill>
                        <w14:solidFill>
                          <w14:schemeClr w14:val="tx1"/>
                        </w14:solidFill>
                      </w14:textFill>
                    </w:rPr>
                    <w:t>衡阳胜玉高科有限公司内</w:t>
                  </w:r>
                  <w:r>
                    <w:rPr>
                      <w:rFonts w:hint="eastAsia"/>
                      <w:color w:val="000000" w:themeColor="text1"/>
                      <w:kern w:val="0"/>
                      <w:sz w:val="20"/>
                      <w:szCs w:val="20"/>
                      <w:lang w:eastAsia="zh-CN"/>
                      <w14:textFill>
                        <w14:solidFill>
                          <w14:schemeClr w14:val="tx1"/>
                        </w14:solidFill>
                      </w14:textFill>
                    </w:rPr>
                    <w:t>）</w:t>
                  </w:r>
                </w:p>
              </w:tc>
            </w:tr>
            <w:tr w14:paraId="34874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2" w:type="dxa"/>
                  <w:vAlign w:val="center"/>
                </w:tcPr>
                <w:p w14:paraId="0CE3B426">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地理坐标</w:t>
                  </w:r>
                </w:p>
              </w:tc>
              <w:tc>
                <w:tcPr>
                  <w:tcW w:w="7280" w:type="dxa"/>
                  <w:gridSpan w:val="2"/>
                  <w:vAlign w:val="center"/>
                </w:tcPr>
                <w:p w14:paraId="1682D738">
                  <w:pPr>
                    <w:jc w:val="center"/>
                    <w:rPr>
                      <w:color w:val="000000" w:themeColor="text1"/>
                      <w:kern w:val="0"/>
                      <w:sz w:val="20"/>
                      <w:szCs w:val="20"/>
                      <w14:textFill>
                        <w14:solidFill>
                          <w14:schemeClr w14:val="tx1"/>
                        </w14:solidFill>
                      </w14:textFill>
                    </w:rPr>
                  </w:pPr>
                  <w:r>
                    <w:rPr>
                      <w:rFonts w:hint="eastAsia"/>
                      <w:color w:val="000000" w:themeColor="text1"/>
                      <w:kern w:val="0"/>
                      <w:sz w:val="20"/>
                      <w:szCs w:val="20"/>
                      <w14:textFill>
                        <w14:solidFill>
                          <w14:schemeClr w14:val="tx1"/>
                        </w14:solidFill>
                      </w14:textFill>
                    </w:rPr>
                    <w:t>（  112  度  25  分  27.807 秒，  26  度  56  分  22068  秒）</w:t>
                  </w:r>
                </w:p>
              </w:tc>
            </w:tr>
            <w:tr w14:paraId="717DC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2122" w:type="dxa"/>
                  <w:vMerge w:val="restart"/>
                  <w:vAlign w:val="center"/>
                </w:tcPr>
                <w:p w14:paraId="44FFAE12">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主要危险物质及分布</w:t>
                  </w:r>
                </w:p>
              </w:tc>
              <w:tc>
                <w:tcPr>
                  <w:tcW w:w="4183" w:type="dxa"/>
                  <w:vAlign w:val="center"/>
                </w:tcPr>
                <w:p w14:paraId="1FC5AFB9">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生物质燃料</w:t>
                  </w:r>
                </w:p>
              </w:tc>
              <w:tc>
                <w:tcPr>
                  <w:tcW w:w="3097" w:type="dxa"/>
                  <w:vAlign w:val="center"/>
                </w:tcPr>
                <w:p w14:paraId="7DF3151C">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锅炉房</w:t>
                  </w:r>
                </w:p>
              </w:tc>
            </w:tr>
            <w:tr w14:paraId="738E6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2" w:type="dxa"/>
                  <w:vMerge w:val="continue"/>
                  <w:vAlign w:val="center"/>
                </w:tcPr>
                <w:p w14:paraId="019ECD03">
                  <w:pPr>
                    <w:pStyle w:val="32"/>
                    <w:rPr>
                      <w:b/>
                      <w:bCs/>
                      <w:color w:val="000000" w:themeColor="text1"/>
                      <w14:textFill>
                        <w14:solidFill>
                          <w14:schemeClr w14:val="tx1"/>
                        </w14:solidFill>
                      </w14:textFill>
                    </w:rPr>
                  </w:pPr>
                </w:p>
              </w:tc>
              <w:tc>
                <w:tcPr>
                  <w:tcW w:w="4183" w:type="dxa"/>
                  <w:vAlign w:val="center"/>
                </w:tcPr>
                <w:p w14:paraId="442B8C16">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各种洗涤剂</w:t>
                  </w:r>
                </w:p>
              </w:tc>
              <w:tc>
                <w:tcPr>
                  <w:tcW w:w="3097" w:type="dxa"/>
                  <w:vAlign w:val="center"/>
                </w:tcPr>
                <w:p w14:paraId="55A9F0F9">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洗涤车间</w:t>
                  </w:r>
                </w:p>
              </w:tc>
            </w:tr>
            <w:tr w14:paraId="6C282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2" w:type="dxa"/>
                  <w:vAlign w:val="center"/>
                </w:tcPr>
                <w:p w14:paraId="3869F8ED">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环境影响途径及危害后果（大气、地表水、地下水等）</w:t>
                  </w:r>
                </w:p>
              </w:tc>
              <w:tc>
                <w:tcPr>
                  <w:tcW w:w="7280" w:type="dxa"/>
                  <w:gridSpan w:val="2"/>
                  <w:vAlign w:val="center"/>
                </w:tcPr>
                <w:p w14:paraId="547F787C">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1、火灾环境风险影响分析</w:t>
                  </w:r>
                </w:p>
                <w:p w14:paraId="393E0577">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由于工作人员操作不当或其他引起火灾的原因，生物质颗粒一旦发生火灾事故，对厂区现场工作人员和周边环境将产生危害。火灾产生的废气将污染厂区周边大气环境，消防产生的废水若收集不及时外泄将污染周边地表环境。</w:t>
                  </w:r>
                </w:p>
                <w:p w14:paraId="1B646699">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2、废水事故排放环境风险影响分析</w:t>
                  </w:r>
                </w:p>
                <w:p w14:paraId="75C0B02E">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项目污水处理设施若因机械故障或者断电而造成污水处理设施不能正常运行时，会导致污水未经处理或不达标进入市政管网，且洗涤废水中可能含有病菌、病毒等感染性物质，会对周围环境产生不良影响。</w:t>
                  </w:r>
                </w:p>
                <w:p w14:paraId="7C33C22E">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在出现上述污水站不能正常运行的情况时，立即启动应急预案，洗涤废水暂存在调节池内，同时，对未经处理的洗涤废水人工投加消毒粉进行消毒处理，降低因事故排放中可能含有病菌、病毒等感染性物质对环境造成不利影响。</w:t>
                  </w:r>
                </w:p>
                <w:p w14:paraId="68AD4715">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3、废气事故排放环境风险影响分析</w:t>
                  </w:r>
                </w:p>
                <w:p w14:paraId="5A8CF1E1">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生物质锅炉配备的布袋除尘器若因机械故障或者断电而造成布袋除尘器不能正常运行时，会导致锅炉废气未经处理或处理不达标外排，锅炉废气未经处理或处理不达标则粉尘含量较高，暂停运行后也将对项目周围大气环造成一定的影响。</w:t>
                  </w:r>
                </w:p>
              </w:tc>
            </w:tr>
            <w:tr w14:paraId="4342E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22" w:type="dxa"/>
                  <w:vAlign w:val="center"/>
                </w:tcPr>
                <w:p w14:paraId="5C0FAF94">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风险防范措施要求</w:t>
                  </w:r>
                </w:p>
              </w:tc>
              <w:tc>
                <w:tcPr>
                  <w:tcW w:w="7280" w:type="dxa"/>
                  <w:gridSpan w:val="2"/>
                  <w:vAlign w:val="center"/>
                </w:tcPr>
                <w:p w14:paraId="60CFBAAC">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1、火灾事故应急措施</w:t>
                  </w:r>
                </w:p>
                <w:p w14:paraId="1C3946A2">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发生火情，第一发现人应立即采取灭火器材等进行灭火，并高声呼喊，使附近人员能够听到或协助补救，同时，通知相关人员负责拨打火警电话“119”，组织现场人员进行安全疏散。</w:t>
                  </w:r>
                </w:p>
                <w:p w14:paraId="5C5768C7">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如果是由于电路失火，必须先切断电源，严禁使用水或液体灭火器画火以防触电事故发生。</w:t>
                  </w:r>
                </w:p>
                <w:p w14:paraId="205B6F6A">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火灾发生时，为防止有人被困，发生窒息伤害，应准备毛也湿润后蒙在口、鼻上，防止有毒有害其他吸入肺中，造成室息伤害。</w:t>
                  </w:r>
                </w:p>
                <w:p w14:paraId="6ECDF62B">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火灾事故后，保护现场，组织抢救人员和财产，及时汇报上级。</w:t>
                  </w:r>
                </w:p>
                <w:p w14:paraId="6E69C674">
                  <w:pPr>
                    <w:pStyle w:val="32"/>
                    <w:jc w:val="left"/>
                  </w:pPr>
                  <w:r>
                    <w:rPr>
                      <w:rFonts w:hint="eastAsia"/>
                      <w:color w:val="000000" w:themeColor="text1"/>
                      <w14:textFill>
                        <w14:solidFill>
                          <w14:schemeClr w14:val="tx1"/>
                        </w14:solidFill>
                      </w14:textFill>
                    </w:rPr>
                    <w:t>2、废水事故排放</w:t>
                  </w:r>
                  <w:r>
                    <w:rPr>
                      <w:rFonts w:hint="eastAsia"/>
                    </w:rPr>
                    <w:t>应急措施</w:t>
                  </w:r>
                </w:p>
                <w:p w14:paraId="6AEF53A3">
                  <w:pPr>
                    <w:pStyle w:val="32"/>
                    <w:jc w:val="left"/>
                  </w:pPr>
                  <w:r>
                    <w:rPr>
                      <w:rFonts w:hint="eastAsia"/>
                    </w:rPr>
                    <w:t>本项目废水产生量为44.753m</w:t>
                  </w:r>
                  <w:r>
                    <w:rPr>
                      <w:rFonts w:hint="eastAsia"/>
                      <w:vertAlign w:val="superscript"/>
                    </w:rPr>
                    <w:t>3</w:t>
                  </w:r>
                  <w:r>
                    <w:rPr>
                      <w:rFonts w:hint="eastAsia"/>
                    </w:rPr>
                    <w:t>/d，项目建设的调节池容积为100m</w:t>
                  </w:r>
                  <w:r>
                    <w:rPr>
                      <w:rFonts w:hint="eastAsia"/>
                      <w:vertAlign w:val="superscript"/>
                    </w:rPr>
                    <w:t>3</w:t>
                  </w:r>
                  <w:r>
                    <w:rPr>
                      <w:rFonts w:hint="eastAsia"/>
                    </w:rPr>
                    <w:t>，事故时洗涤废水可暂存在调节池内。</w:t>
                  </w:r>
                </w:p>
                <w:p w14:paraId="7A688C06">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在出现上述污水站不能正常运行的情况时，立即启动应急预案，洗涤废水进入事故应急池，同时，对未经处理的洗涤废水人工投加消毒粉进行消毒处理，降低因事故排放中可能含有病菌、病毒等感染性物质对环境造成不利影响。同时项目应配备废水处理站管理人员，定期对污水处理设备进行检修。</w:t>
                  </w:r>
                </w:p>
                <w:p w14:paraId="17D0AD1B">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3、废气事故排放应急措施</w:t>
                  </w:r>
                </w:p>
                <w:p w14:paraId="3B8DA014">
                  <w:pPr>
                    <w:pStyle w:val="32"/>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废气主要是锅炉内生物质燃烧产生的废气，当发现废气事故排放时，厂区应立即停止锅炉运行，通知厂区周围可能受到未经处理废气影响的居民撤离。正常生产过程中，厂区需配备专人对锅炉废气处理装置进行检修，避免事故发生。</w:t>
                  </w:r>
                </w:p>
              </w:tc>
            </w:tr>
            <w:tr w14:paraId="5B9B3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02" w:type="dxa"/>
                  <w:gridSpan w:val="3"/>
                  <w:vAlign w:val="center"/>
                </w:tcPr>
                <w:p w14:paraId="798107D1">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填表说明（列出项目相关信息及评价说明）：</w:t>
                  </w:r>
                </w:p>
                <w:tbl>
                  <w:tblPr>
                    <w:tblStyle w:val="20"/>
                    <w:tblW w:w="91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58"/>
                    <w:gridCol w:w="3102"/>
                    <w:gridCol w:w="3016"/>
                  </w:tblGrid>
                  <w:tr w14:paraId="52BD4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58" w:type="dxa"/>
                        <w:vAlign w:val="center"/>
                      </w:tcPr>
                      <w:p w14:paraId="6615D21D">
                        <w:pPr>
                          <w:pStyle w:val="32"/>
                          <w:rPr>
                            <w:b/>
                            <w:bCs/>
                          </w:rPr>
                        </w:pPr>
                        <w:r>
                          <w:rPr>
                            <w:rFonts w:hint="eastAsia"/>
                            <w:b/>
                            <w:bCs/>
                          </w:rPr>
                          <w:t>项目名称</w:t>
                        </w:r>
                      </w:p>
                    </w:tc>
                    <w:tc>
                      <w:tcPr>
                        <w:tcW w:w="3102" w:type="dxa"/>
                        <w:vAlign w:val="center"/>
                      </w:tcPr>
                      <w:p w14:paraId="6E2A7FAB">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环境风险潜势</w:t>
                        </w:r>
                      </w:p>
                    </w:tc>
                    <w:tc>
                      <w:tcPr>
                        <w:tcW w:w="3016" w:type="dxa"/>
                        <w:vAlign w:val="center"/>
                      </w:tcPr>
                      <w:p w14:paraId="6F70BADB">
                        <w:pPr>
                          <w:pStyle w:val="3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评价等级</w:t>
                        </w:r>
                      </w:p>
                    </w:tc>
                  </w:tr>
                  <w:tr w14:paraId="49063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58" w:type="dxa"/>
                        <w:vAlign w:val="center"/>
                      </w:tcPr>
                      <w:p w14:paraId="42703237">
                        <w:pPr>
                          <w:pStyle w:val="32"/>
                        </w:pPr>
                        <w:r>
                          <w:rPr>
                            <w:rFonts w:hint="eastAsia"/>
                          </w:rPr>
                          <w:t>湖南康康生物科技有限公司布草洗涤车间扩建及生物质锅炉更换建设项目</w:t>
                        </w:r>
                      </w:p>
                    </w:tc>
                    <w:tc>
                      <w:tcPr>
                        <w:tcW w:w="3102" w:type="dxa"/>
                        <w:vAlign w:val="center"/>
                      </w:tcPr>
                      <w:p w14:paraId="654330F5">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Ⅰ级</w:t>
                        </w:r>
                      </w:p>
                    </w:tc>
                    <w:tc>
                      <w:tcPr>
                        <w:tcW w:w="3016" w:type="dxa"/>
                        <w:vAlign w:val="center"/>
                      </w:tcPr>
                      <w:p w14:paraId="5DBA240F">
                        <w:pPr>
                          <w:pStyle w:val="32"/>
                          <w:rPr>
                            <w:color w:val="000000" w:themeColor="text1"/>
                            <w14:textFill>
                              <w14:solidFill>
                                <w14:schemeClr w14:val="tx1"/>
                              </w14:solidFill>
                            </w14:textFill>
                          </w:rPr>
                        </w:pPr>
                        <w:r>
                          <w:rPr>
                            <w:rFonts w:hint="eastAsia"/>
                            <w:color w:val="000000" w:themeColor="text1"/>
                            <w14:textFill>
                              <w14:solidFill>
                                <w14:schemeClr w14:val="tx1"/>
                              </w14:solidFill>
                            </w14:textFill>
                          </w:rPr>
                          <w:t>简单分析</w:t>
                        </w:r>
                      </w:p>
                    </w:tc>
                  </w:tr>
                </w:tbl>
                <w:p w14:paraId="0DED1715">
                  <w:pPr>
                    <w:pStyle w:val="32"/>
                    <w:rPr>
                      <w:color w:val="000000" w:themeColor="text1"/>
                      <w14:textFill>
                        <w14:solidFill>
                          <w14:schemeClr w14:val="tx1"/>
                        </w14:solidFill>
                      </w14:textFill>
                    </w:rPr>
                  </w:pPr>
                </w:p>
              </w:tc>
            </w:tr>
          </w:tbl>
          <w:p w14:paraId="6DD14E78">
            <w:pPr>
              <w:pStyle w:val="31"/>
              <w:spacing w:before="120" w:beforeLines="50"/>
              <w:ind w:firstLine="480"/>
              <w:rPr>
                <w:color w:val="000000" w:themeColor="text1"/>
                <w14:textFill>
                  <w14:solidFill>
                    <w14:schemeClr w14:val="tx1"/>
                  </w14:solidFill>
                </w14:textFill>
              </w:rPr>
            </w:pPr>
            <w:r>
              <w:rPr>
                <w:color w:val="000000" w:themeColor="text1"/>
                <w14:textFill>
                  <w14:solidFill>
                    <w14:schemeClr w14:val="tx1"/>
                  </w14:solidFill>
                </w14:textFill>
              </w:rPr>
              <w:t>从环境保护角度来说，在建设单位按照评价的建议落实本报告要求提出的各项风险措施，加强对员工的安全操作培训，人工做到按要求和规范操作，杜绝人为操作失误而引起的火灾事故发生同时制定完善、有效的环境应急预案，保证在发生事故时能采取有效的措施及时控制事故，防止事故蔓延，做好事后环境污染治理工作的前提下，项且的环境风险是可以</w:t>
            </w:r>
            <w:r>
              <w:rPr>
                <w:rFonts w:hint="eastAsia"/>
                <w:color w:val="000000" w:themeColor="text1"/>
                <w14:textFill>
                  <w14:solidFill>
                    <w14:schemeClr w14:val="tx1"/>
                  </w14:solidFill>
                </w14:textFill>
              </w:rPr>
              <w:t>防控</w:t>
            </w:r>
            <w:r>
              <w:rPr>
                <w:color w:val="000000" w:themeColor="text1"/>
                <w14:textFill>
                  <w14:solidFill>
                    <w14:schemeClr w14:val="tx1"/>
                  </w14:solidFill>
                </w14:textFill>
              </w:rPr>
              <w:t>的。</w:t>
            </w:r>
          </w:p>
          <w:p w14:paraId="2A3C7D1D">
            <w:pPr>
              <w:tabs>
                <w:tab w:val="left" w:pos="8580"/>
              </w:tabs>
              <w:adjustRightInd w:val="0"/>
              <w:snapToGrid w:val="0"/>
              <w:spacing w:line="360" w:lineRule="auto"/>
              <w:ind w:firstLine="482" w:firstLineChars="200"/>
              <w:rPr>
                <w:b/>
                <w:sz w:val="24"/>
              </w:rPr>
            </w:pPr>
            <w:r>
              <w:rPr>
                <w:rFonts w:hint="eastAsia"/>
                <w:b/>
                <w:sz w:val="24"/>
              </w:rPr>
              <w:t>七、改建前后“三本账”</w:t>
            </w:r>
          </w:p>
          <w:p w14:paraId="50AF6D72">
            <w:pPr>
              <w:tabs>
                <w:tab w:val="left" w:pos="8580"/>
              </w:tabs>
              <w:adjustRightInd w:val="0"/>
              <w:snapToGrid w:val="0"/>
              <w:spacing w:line="360" w:lineRule="auto"/>
              <w:ind w:firstLine="480" w:firstLineChars="200"/>
              <w:rPr>
                <w:sz w:val="24"/>
              </w:rPr>
            </w:pPr>
            <w:r>
              <w:rPr>
                <w:rFonts w:hint="eastAsia"/>
                <w:sz w:val="24"/>
              </w:rPr>
              <w:t>项目</w:t>
            </w:r>
            <w:r>
              <w:rPr>
                <w:rFonts w:hint="eastAsia"/>
                <w:sz w:val="24"/>
                <w:lang w:eastAsia="zh-CN"/>
              </w:rPr>
              <w:t>改扩建</w:t>
            </w:r>
            <w:r>
              <w:rPr>
                <w:rFonts w:hint="eastAsia"/>
                <w:sz w:val="24"/>
              </w:rPr>
              <w:t>前后污染物“三本账”情况如下表所示。</w:t>
            </w:r>
          </w:p>
          <w:p w14:paraId="57472797">
            <w:pPr>
              <w:spacing w:beforeLines="50"/>
              <w:jc w:val="center"/>
              <w:rPr>
                <w:rFonts w:hint="eastAsia"/>
                <w:b/>
                <w:szCs w:val="21"/>
              </w:rPr>
            </w:pPr>
            <w:r>
              <w:rPr>
                <w:b/>
                <w:szCs w:val="21"/>
              </w:rPr>
              <w:t>表4-</w:t>
            </w:r>
            <w:r>
              <w:rPr>
                <w:rFonts w:hint="eastAsia"/>
                <w:b/>
                <w:szCs w:val="21"/>
              </w:rPr>
              <w:t xml:space="preserve">15 </w:t>
            </w:r>
            <w:r>
              <w:rPr>
                <w:b/>
                <w:szCs w:val="21"/>
              </w:rPr>
              <w:t xml:space="preserve"> 污染物“三本账”一览表</w:t>
            </w:r>
            <w:r>
              <w:rPr>
                <w:rFonts w:hint="eastAsia"/>
                <w:b/>
                <w:szCs w:val="21"/>
              </w:rPr>
              <w:t xml:space="preserve">  单位:t/a</w:t>
            </w:r>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86"/>
              <w:gridCol w:w="2379"/>
              <w:gridCol w:w="1027"/>
              <w:gridCol w:w="1210"/>
              <w:gridCol w:w="1258"/>
              <w:gridCol w:w="1138"/>
              <w:gridCol w:w="1017"/>
            </w:tblGrid>
            <w:tr w14:paraId="3BA1ED2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tcMar>
                    <w:left w:w="28" w:type="dxa"/>
                    <w:right w:w="28" w:type="dxa"/>
                  </w:tcMar>
                  <w:vAlign w:val="center"/>
                </w:tcPr>
                <w:p w14:paraId="2878AFCA">
                  <w:pPr>
                    <w:widowControl/>
                    <w:jc w:val="center"/>
                    <w:textAlignment w:val="center"/>
                    <w:rPr>
                      <w:rFonts w:hint="eastAsia" w:ascii="宋体" w:hAnsi="宋体" w:cs="宋体"/>
                      <w:b/>
                      <w:bCs/>
                      <w:color w:val="auto"/>
                      <w:kern w:val="0"/>
                      <w:sz w:val="21"/>
                      <w:szCs w:val="21"/>
                      <w:lang w:bidi="ar"/>
                    </w:rPr>
                  </w:pPr>
                  <w:r>
                    <w:rPr>
                      <w:rFonts w:hint="eastAsia" w:ascii="宋体" w:hAnsi="宋体" w:cs="宋体"/>
                      <w:b/>
                      <w:bCs/>
                      <w:color w:val="auto"/>
                      <w:kern w:val="0"/>
                      <w:sz w:val="21"/>
                      <w:szCs w:val="21"/>
                      <w:lang w:bidi="ar"/>
                    </w:rPr>
                    <w:t>项目</w:t>
                  </w:r>
                </w:p>
                <w:p w14:paraId="7DBAA396">
                  <w:pPr>
                    <w:widowControl/>
                    <w:jc w:val="center"/>
                    <w:textAlignment w:val="center"/>
                    <w:rPr>
                      <w:b/>
                      <w:snapToGrid w:val="0"/>
                      <w:color w:val="auto"/>
                      <w:kern w:val="21"/>
                      <w:sz w:val="21"/>
                      <w:szCs w:val="21"/>
                    </w:rPr>
                  </w:pPr>
                  <w:r>
                    <w:rPr>
                      <w:rFonts w:hint="eastAsia" w:ascii="宋体" w:hAnsi="宋体" w:cs="宋体"/>
                      <w:b/>
                      <w:bCs/>
                      <w:color w:val="auto"/>
                      <w:kern w:val="0"/>
                      <w:sz w:val="21"/>
                      <w:szCs w:val="21"/>
                      <w:lang w:bidi="ar"/>
                    </w:rPr>
                    <w:t>分类</w:t>
                  </w:r>
                </w:p>
              </w:tc>
              <w:tc>
                <w:tcPr>
                  <w:tcW w:w="0" w:type="auto"/>
                  <w:tcMar>
                    <w:left w:w="28" w:type="dxa"/>
                    <w:right w:w="28" w:type="dxa"/>
                  </w:tcMar>
                  <w:vAlign w:val="center"/>
                </w:tcPr>
                <w:p w14:paraId="0E1B915F">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污染物名称</w:t>
                  </w:r>
                </w:p>
              </w:tc>
              <w:tc>
                <w:tcPr>
                  <w:tcW w:w="1027" w:type="dxa"/>
                  <w:tcMar>
                    <w:left w:w="28" w:type="dxa"/>
                    <w:right w:w="28" w:type="dxa"/>
                  </w:tcMar>
                  <w:vAlign w:val="center"/>
                </w:tcPr>
                <w:p w14:paraId="4571E3D0">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现有工程</w:t>
                  </w:r>
                </w:p>
              </w:tc>
              <w:tc>
                <w:tcPr>
                  <w:tcW w:w="1210" w:type="dxa"/>
                  <w:tcMar>
                    <w:left w:w="28" w:type="dxa"/>
                    <w:right w:w="28" w:type="dxa"/>
                  </w:tcMar>
                  <w:vAlign w:val="center"/>
                </w:tcPr>
                <w:p w14:paraId="477C06A1">
                  <w:pPr>
                    <w:widowControl/>
                    <w:jc w:val="center"/>
                    <w:textAlignment w:val="center"/>
                    <w:rPr>
                      <w:b/>
                      <w:snapToGrid w:val="0"/>
                      <w:color w:val="auto"/>
                      <w:spacing w:val="-6"/>
                      <w:kern w:val="21"/>
                      <w:sz w:val="21"/>
                      <w:szCs w:val="21"/>
                    </w:rPr>
                  </w:pPr>
                  <w:r>
                    <w:rPr>
                      <w:b/>
                      <w:bCs/>
                      <w:color w:val="auto"/>
                      <w:sz w:val="21"/>
                      <w:szCs w:val="21"/>
                    </w:rPr>
                    <w:t>扩建项目排放量</w:t>
                  </w:r>
                </w:p>
              </w:tc>
              <w:tc>
                <w:tcPr>
                  <w:tcW w:w="0" w:type="auto"/>
                  <w:tcMar>
                    <w:left w:w="28" w:type="dxa"/>
                    <w:right w:w="28" w:type="dxa"/>
                  </w:tcMar>
                  <w:vAlign w:val="center"/>
                </w:tcPr>
                <w:p w14:paraId="09CA7EBD">
                  <w:pPr>
                    <w:widowControl/>
                    <w:jc w:val="center"/>
                    <w:textAlignment w:val="center"/>
                    <w:rPr>
                      <w:b/>
                      <w:snapToGrid w:val="0"/>
                      <w:color w:val="auto"/>
                      <w:spacing w:val="-16"/>
                      <w:kern w:val="21"/>
                      <w:sz w:val="21"/>
                      <w:szCs w:val="21"/>
                    </w:rPr>
                  </w:pPr>
                  <w:r>
                    <w:rPr>
                      <w:rFonts w:hint="eastAsia" w:ascii="宋体" w:hAnsi="宋体" w:cs="宋体"/>
                      <w:b/>
                      <w:bCs/>
                      <w:color w:val="auto"/>
                      <w:kern w:val="0"/>
                      <w:sz w:val="21"/>
                      <w:szCs w:val="21"/>
                      <w:lang w:bidi="ar"/>
                    </w:rPr>
                    <w:t>以新带老削减量</w:t>
                  </w:r>
                </w:p>
              </w:tc>
              <w:tc>
                <w:tcPr>
                  <w:tcW w:w="0" w:type="auto"/>
                  <w:tcMar>
                    <w:left w:w="28" w:type="dxa"/>
                    <w:right w:w="28" w:type="dxa"/>
                  </w:tcMar>
                  <w:vAlign w:val="center"/>
                </w:tcPr>
                <w:p w14:paraId="19F39508">
                  <w:pPr>
                    <w:widowControl/>
                    <w:jc w:val="center"/>
                    <w:textAlignment w:val="center"/>
                    <w:rPr>
                      <w:b/>
                      <w:snapToGrid w:val="0"/>
                      <w:color w:val="auto"/>
                      <w:spacing w:val="-16"/>
                      <w:kern w:val="21"/>
                      <w:sz w:val="21"/>
                      <w:szCs w:val="21"/>
                    </w:rPr>
                  </w:pPr>
                  <w:r>
                    <w:rPr>
                      <w:rFonts w:hint="eastAsia" w:ascii="宋体" w:hAnsi="宋体" w:cs="宋体"/>
                      <w:b/>
                      <w:bCs/>
                      <w:color w:val="auto"/>
                      <w:kern w:val="0"/>
                      <w:sz w:val="21"/>
                      <w:szCs w:val="21"/>
                      <w:lang w:bidi="ar"/>
                    </w:rPr>
                    <w:t>本项目建成后</w:t>
                  </w:r>
                </w:p>
              </w:tc>
              <w:tc>
                <w:tcPr>
                  <w:tcW w:w="0" w:type="auto"/>
                  <w:tcMar>
                    <w:left w:w="28" w:type="dxa"/>
                    <w:right w:w="28" w:type="dxa"/>
                  </w:tcMar>
                  <w:vAlign w:val="center"/>
                </w:tcPr>
                <w:p w14:paraId="359C689B">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变化量</w:t>
                  </w:r>
                </w:p>
              </w:tc>
            </w:tr>
            <w:tr w14:paraId="01494F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restart"/>
                  <w:vAlign w:val="center"/>
                </w:tcPr>
                <w:p w14:paraId="769A1DDD">
                  <w:pPr>
                    <w:widowControl/>
                    <w:jc w:val="center"/>
                    <w:textAlignment w:val="center"/>
                    <w:rPr>
                      <w:b/>
                      <w:snapToGrid w:val="0"/>
                      <w:color w:val="auto"/>
                      <w:kern w:val="21"/>
                      <w:sz w:val="21"/>
                      <w:szCs w:val="21"/>
                    </w:rPr>
                  </w:pPr>
                  <w:r>
                    <w:rPr>
                      <w:rFonts w:hint="eastAsia" w:ascii="宋体" w:hAnsi="宋体" w:cs="宋体"/>
                      <w:b/>
                      <w:bCs/>
                      <w:color w:val="auto"/>
                      <w:kern w:val="0"/>
                      <w:sz w:val="21"/>
                      <w:szCs w:val="21"/>
                      <w:lang w:bidi="ar"/>
                    </w:rPr>
                    <w:t>废气</w:t>
                  </w:r>
                </w:p>
              </w:tc>
              <w:tc>
                <w:tcPr>
                  <w:tcW w:w="0" w:type="auto"/>
                  <w:vAlign w:val="center"/>
                </w:tcPr>
                <w:p w14:paraId="6B1DF634">
                  <w:pPr>
                    <w:widowControl/>
                    <w:jc w:val="center"/>
                    <w:textAlignment w:val="center"/>
                    <w:rPr>
                      <w:color w:val="auto"/>
                      <w:sz w:val="21"/>
                      <w:szCs w:val="21"/>
                    </w:rPr>
                  </w:pPr>
                  <w:r>
                    <w:rPr>
                      <w:rFonts w:hint="eastAsia" w:ascii="宋体" w:hAnsi="宋体" w:cs="宋体"/>
                      <w:color w:val="auto"/>
                      <w:kern w:val="0"/>
                      <w:sz w:val="21"/>
                      <w:szCs w:val="21"/>
                      <w:lang w:bidi="ar"/>
                    </w:rPr>
                    <w:t>废气量</w:t>
                  </w:r>
                </w:p>
              </w:tc>
              <w:tc>
                <w:tcPr>
                  <w:tcW w:w="1027" w:type="dxa"/>
                  <w:vAlign w:val="center"/>
                </w:tcPr>
                <w:p w14:paraId="6B58EC1D">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1000.8</w:t>
                  </w:r>
                </w:p>
              </w:tc>
              <w:tc>
                <w:tcPr>
                  <w:tcW w:w="1210" w:type="dxa"/>
                  <w:vAlign w:val="center"/>
                </w:tcPr>
                <w:p w14:paraId="18846CBD">
                  <w:pPr>
                    <w:keepNext w:val="0"/>
                    <w:keepLines w:val="0"/>
                    <w:widowControl/>
                    <w:suppressLineNumbers w:val="0"/>
                    <w:jc w:val="center"/>
                    <w:textAlignment w:val="center"/>
                    <w:rPr>
                      <w:rFonts w:hint="default" w:eastAsia="宋体"/>
                      <w:color w:val="auto"/>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1469.05</w:t>
                  </w:r>
                </w:p>
              </w:tc>
              <w:tc>
                <w:tcPr>
                  <w:tcW w:w="0" w:type="auto"/>
                  <w:shd w:val="clear" w:color="auto" w:fill="auto"/>
                  <w:vAlign w:val="center"/>
                </w:tcPr>
                <w:p w14:paraId="5CC5384A">
                  <w:pPr>
                    <w:keepNext w:val="0"/>
                    <w:keepLines w:val="0"/>
                    <w:widowControl/>
                    <w:suppressLineNumbers w:val="0"/>
                    <w:jc w:val="center"/>
                    <w:textAlignment w:val="center"/>
                    <w:rPr>
                      <w:rFonts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1000.8</w:t>
                  </w:r>
                </w:p>
              </w:tc>
              <w:tc>
                <w:tcPr>
                  <w:tcW w:w="0" w:type="auto"/>
                  <w:shd w:val="clear" w:color="auto" w:fill="auto"/>
                  <w:vAlign w:val="center"/>
                </w:tcPr>
                <w:p w14:paraId="283CE28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1469.05</w:t>
                  </w:r>
                </w:p>
              </w:tc>
              <w:tc>
                <w:tcPr>
                  <w:tcW w:w="900" w:type="dxa"/>
                  <w:vAlign w:val="center"/>
                </w:tcPr>
                <w:p w14:paraId="2C8E1B38">
                  <w:pPr>
                    <w:keepNext w:val="0"/>
                    <w:keepLines w:val="0"/>
                    <w:widowControl/>
                    <w:suppressLineNumbers w:val="0"/>
                    <w:jc w:val="center"/>
                    <w:textAlignment w:val="center"/>
                    <w:rPr>
                      <w:color w:val="auto"/>
                      <w:kern w:val="0"/>
                      <w:sz w:val="21"/>
                      <w:szCs w:val="21"/>
                      <w:lang w:bidi="ar"/>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468.25</w:t>
                  </w:r>
                </w:p>
              </w:tc>
            </w:tr>
            <w:tr w14:paraId="6B948C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16DFFC8F">
                  <w:pPr>
                    <w:jc w:val="center"/>
                    <w:rPr>
                      <w:b/>
                      <w:snapToGrid w:val="0"/>
                      <w:color w:val="auto"/>
                      <w:kern w:val="21"/>
                      <w:sz w:val="21"/>
                      <w:szCs w:val="21"/>
                    </w:rPr>
                  </w:pPr>
                </w:p>
              </w:tc>
              <w:tc>
                <w:tcPr>
                  <w:tcW w:w="0" w:type="auto"/>
                  <w:vAlign w:val="center"/>
                </w:tcPr>
                <w:p w14:paraId="518A3A58">
                  <w:pPr>
                    <w:widowControl/>
                    <w:jc w:val="center"/>
                    <w:textAlignment w:val="center"/>
                    <w:rPr>
                      <w:color w:val="auto"/>
                      <w:sz w:val="21"/>
                      <w:szCs w:val="21"/>
                    </w:rPr>
                  </w:pPr>
                  <w:r>
                    <w:rPr>
                      <w:rFonts w:hint="eastAsia" w:ascii="宋体" w:hAnsi="宋体" w:cs="宋体"/>
                      <w:color w:val="auto"/>
                      <w:kern w:val="0"/>
                      <w:sz w:val="21"/>
                      <w:szCs w:val="21"/>
                      <w:lang w:bidi="ar"/>
                    </w:rPr>
                    <w:t>烟尘</w:t>
                  </w:r>
                </w:p>
              </w:tc>
              <w:tc>
                <w:tcPr>
                  <w:tcW w:w="1027" w:type="dxa"/>
                  <w:vAlign w:val="center"/>
                </w:tcPr>
                <w:p w14:paraId="5262817E">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0.221</w:t>
                  </w:r>
                </w:p>
              </w:tc>
              <w:tc>
                <w:tcPr>
                  <w:tcW w:w="1210" w:type="dxa"/>
                  <w:vAlign w:val="center"/>
                </w:tcPr>
                <w:p w14:paraId="31C9AF18">
                  <w:pPr>
                    <w:widowControl/>
                    <w:jc w:val="center"/>
                    <w:textAlignment w:val="center"/>
                    <w:rPr>
                      <w:rFonts w:hint="default" w:eastAsia="宋体"/>
                      <w:color w:val="auto"/>
                      <w:kern w:val="0"/>
                      <w:sz w:val="21"/>
                      <w:szCs w:val="21"/>
                      <w:lang w:val="en-US" w:eastAsia="zh-CN" w:bidi="ar"/>
                    </w:rPr>
                  </w:pPr>
                  <w:r>
                    <w:rPr>
                      <w:rFonts w:hint="eastAsia" w:ascii="Times New Roman" w:hAnsi="Times New Roman" w:cs="Times New Roman"/>
                      <w:color w:val="auto"/>
                      <w:sz w:val="21"/>
                      <w:szCs w:val="21"/>
                      <w:lang w:val="en-US" w:eastAsia="zh-CN"/>
                    </w:rPr>
                    <w:t>0.7345</w:t>
                  </w:r>
                </w:p>
              </w:tc>
              <w:tc>
                <w:tcPr>
                  <w:tcW w:w="0" w:type="auto"/>
                  <w:shd w:val="clear" w:color="auto" w:fill="auto"/>
                  <w:vAlign w:val="center"/>
                </w:tcPr>
                <w:p w14:paraId="34ADC21B">
                  <w:pPr>
                    <w:keepNext w:val="0"/>
                    <w:keepLines w:val="0"/>
                    <w:widowControl/>
                    <w:suppressLineNumbers w:val="0"/>
                    <w:jc w:val="center"/>
                    <w:textAlignment w:val="center"/>
                    <w:rPr>
                      <w:rFonts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0.221</w:t>
                  </w:r>
                </w:p>
              </w:tc>
              <w:tc>
                <w:tcPr>
                  <w:tcW w:w="0" w:type="auto"/>
                  <w:shd w:val="clear" w:color="auto" w:fill="auto"/>
                  <w:vAlign w:val="center"/>
                </w:tcPr>
                <w:p w14:paraId="5A9300F4">
                  <w:pPr>
                    <w:widowControl/>
                    <w:jc w:val="center"/>
                    <w:textAlignment w:val="center"/>
                    <w:rPr>
                      <w:color w:val="auto"/>
                      <w:kern w:val="0"/>
                      <w:sz w:val="21"/>
                      <w:szCs w:val="21"/>
                      <w:lang w:bidi="ar"/>
                    </w:rPr>
                  </w:pPr>
                  <w:r>
                    <w:rPr>
                      <w:rFonts w:hint="eastAsia" w:ascii="Times New Roman" w:hAnsi="Times New Roman" w:cs="Times New Roman"/>
                      <w:color w:val="auto"/>
                      <w:sz w:val="21"/>
                      <w:szCs w:val="21"/>
                      <w:lang w:val="en-US" w:eastAsia="zh-CN"/>
                    </w:rPr>
                    <w:t>0.7345</w:t>
                  </w:r>
                </w:p>
              </w:tc>
              <w:tc>
                <w:tcPr>
                  <w:tcW w:w="900" w:type="dxa"/>
                  <w:shd w:val="clear" w:color="auto" w:fill="auto"/>
                  <w:vAlign w:val="center"/>
                </w:tcPr>
                <w:p w14:paraId="6647BBE2">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0.5135</w:t>
                  </w:r>
                </w:p>
              </w:tc>
            </w:tr>
            <w:tr w14:paraId="265C6F1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45C4253C">
                  <w:pPr>
                    <w:jc w:val="center"/>
                    <w:rPr>
                      <w:b/>
                      <w:snapToGrid w:val="0"/>
                      <w:color w:val="auto"/>
                      <w:kern w:val="21"/>
                      <w:sz w:val="21"/>
                      <w:szCs w:val="21"/>
                    </w:rPr>
                  </w:pPr>
                </w:p>
              </w:tc>
              <w:tc>
                <w:tcPr>
                  <w:tcW w:w="0" w:type="auto"/>
                  <w:vAlign w:val="center"/>
                </w:tcPr>
                <w:p w14:paraId="7DEB6E98">
                  <w:pPr>
                    <w:widowControl/>
                    <w:jc w:val="center"/>
                    <w:textAlignment w:val="center"/>
                    <w:rPr>
                      <w:snapToGrid w:val="0"/>
                      <w:color w:val="auto"/>
                      <w:kern w:val="21"/>
                      <w:sz w:val="21"/>
                      <w:szCs w:val="21"/>
                    </w:rPr>
                  </w:pPr>
                  <w:r>
                    <w:rPr>
                      <w:rFonts w:hint="eastAsia" w:ascii="宋体" w:hAnsi="宋体" w:cs="宋体"/>
                      <w:color w:val="auto"/>
                      <w:kern w:val="0"/>
                      <w:sz w:val="21"/>
                      <w:szCs w:val="21"/>
                      <w:lang w:bidi="ar"/>
                    </w:rPr>
                    <w:t>二氧化硫</w:t>
                  </w:r>
                </w:p>
              </w:tc>
              <w:tc>
                <w:tcPr>
                  <w:tcW w:w="1027" w:type="dxa"/>
                  <w:vAlign w:val="center"/>
                </w:tcPr>
                <w:p w14:paraId="32C0CE77">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0.46</w:t>
                  </w:r>
                </w:p>
              </w:tc>
              <w:tc>
                <w:tcPr>
                  <w:tcW w:w="1210" w:type="dxa"/>
                  <w:vAlign w:val="center"/>
                </w:tcPr>
                <w:p w14:paraId="297B0037">
                  <w:pPr>
                    <w:widowControl/>
                    <w:jc w:val="center"/>
                    <w:textAlignment w:val="center"/>
                    <w:rPr>
                      <w:rFonts w:hint="default" w:eastAsia="宋体"/>
                      <w:color w:val="auto"/>
                      <w:kern w:val="0"/>
                      <w:sz w:val="21"/>
                      <w:szCs w:val="21"/>
                      <w:lang w:val="en-US" w:eastAsia="zh-CN" w:bidi="ar"/>
                    </w:rPr>
                  </w:pPr>
                  <w:r>
                    <w:rPr>
                      <w:rFonts w:hint="eastAsia" w:ascii="Times New Roman" w:hAnsi="Times New Roman" w:cs="Times New Roman"/>
                      <w:color w:val="auto"/>
                      <w:sz w:val="21"/>
                      <w:szCs w:val="21"/>
                      <w:lang w:val="en-US" w:eastAsia="zh-CN"/>
                    </w:rPr>
                    <w:t>3.5257</w:t>
                  </w:r>
                </w:p>
              </w:tc>
              <w:tc>
                <w:tcPr>
                  <w:tcW w:w="0" w:type="auto"/>
                  <w:shd w:val="clear" w:color="auto" w:fill="auto"/>
                  <w:vAlign w:val="center"/>
                </w:tcPr>
                <w:p w14:paraId="0B4E2655">
                  <w:pPr>
                    <w:keepNext w:val="0"/>
                    <w:keepLines w:val="0"/>
                    <w:widowControl/>
                    <w:suppressLineNumbers w:val="0"/>
                    <w:jc w:val="center"/>
                    <w:textAlignment w:val="center"/>
                    <w:rPr>
                      <w:rFonts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0.46</w:t>
                  </w:r>
                </w:p>
              </w:tc>
              <w:tc>
                <w:tcPr>
                  <w:tcW w:w="0" w:type="auto"/>
                  <w:vAlign w:val="center"/>
                </w:tcPr>
                <w:p w14:paraId="45AED6A8">
                  <w:pPr>
                    <w:widowControl/>
                    <w:jc w:val="center"/>
                    <w:textAlignment w:val="center"/>
                    <w:rPr>
                      <w:color w:val="auto"/>
                      <w:kern w:val="0"/>
                      <w:sz w:val="21"/>
                      <w:szCs w:val="21"/>
                      <w:lang w:bidi="ar"/>
                    </w:rPr>
                  </w:pPr>
                  <w:r>
                    <w:rPr>
                      <w:rFonts w:hint="eastAsia" w:ascii="Times New Roman" w:hAnsi="Times New Roman" w:cs="Times New Roman"/>
                      <w:color w:val="auto"/>
                      <w:sz w:val="21"/>
                      <w:szCs w:val="21"/>
                      <w:lang w:val="en-US" w:eastAsia="zh-CN"/>
                    </w:rPr>
                    <w:t>3.5257</w:t>
                  </w:r>
                </w:p>
              </w:tc>
              <w:tc>
                <w:tcPr>
                  <w:tcW w:w="900" w:type="dxa"/>
                  <w:shd w:val="clear" w:color="auto" w:fill="auto"/>
                  <w:vAlign w:val="center"/>
                </w:tcPr>
                <w:p w14:paraId="21243E64">
                  <w:pPr>
                    <w:keepNext w:val="0"/>
                    <w:keepLines w:val="0"/>
                    <w:widowControl/>
                    <w:suppressLineNumbers w:val="0"/>
                    <w:jc w:val="center"/>
                    <w:textAlignment w:val="center"/>
                    <w:rPr>
                      <w:rFonts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3.0657</w:t>
                  </w:r>
                </w:p>
              </w:tc>
            </w:tr>
            <w:tr w14:paraId="0E9E12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1B84F375">
                  <w:pPr>
                    <w:jc w:val="center"/>
                    <w:rPr>
                      <w:b/>
                      <w:snapToGrid w:val="0"/>
                      <w:color w:val="auto"/>
                      <w:kern w:val="21"/>
                      <w:sz w:val="21"/>
                      <w:szCs w:val="21"/>
                    </w:rPr>
                  </w:pPr>
                </w:p>
              </w:tc>
              <w:tc>
                <w:tcPr>
                  <w:tcW w:w="0" w:type="auto"/>
                  <w:vAlign w:val="center"/>
                </w:tcPr>
                <w:p w14:paraId="78B4D0CC">
                  <w:pPr>
                    <w:widowControl/>
                    <w:jc w:val="center"/>
                    <w:textAlignment w:val="center"/>
                    <w:rPr>
                      <w:bCs/>
                      <w:color w:val="auto"/>
                      <w:spacing w:val="-10"/>
                      <w:sz w:val="21"/>
                      <w:szCs w:val="21"/>
                    </w:rPr>
                  </w:pPr>
                  <w:r>
                    <w:rPr>
                      <w:rFonts w:hint="eastAsia" w:ascii="宋体" w:hAnsi="宋体" w:cs="宋体"/>
                      <w:color w:val="auto"/>
                      <w:kern w:val="0"/>
                      <w:sz w:val="21"/>
                      <w:szCs w:val="21"/>
                      <w:lang w:bidi="ar"/>
                    </w:rPr>
                    <w:t>氮氧化物</w:t>
                  </w:r>
                </w:p>
              </w:tc>
              <w:tc>
                <w:tcPr>
                  <w:tcW w:w="1027" w:type="dxa"/>
                  <w:vAlign w:val="center"/>
                </w:tcPr>
                <w:p w14:paraId="0647B70F">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1.331</w:t>
                  </w:r>
                </w:p>
              </w:tc>
              <w:tc>
                <w:tcPr>
                  <w:tcW w:w="1210" w:type="dxa"/>
                  <w:vAlign w:val="center"/>
                </w:tcPr>
                <w:p w14:paraId="02E28C7F">
                  <w:pPr>
                    <w:widowControl/>
                    <w:jc w:val="center"/>
                    <w:textAlignment w:val="center"/>
                    <w:rPr>
                      <w:color w:val="auto"/>
                      <w:kern w:val="0"/>
                      <w:sz w:val="21"/>
                      <w:szCs w:val="21"/>
                      <w:lang w:bidi="ar"/>
                    </w:rPr>
                  </w:pPr>
                  <w:r>
                    <w:rPr>
                      <w:rFonts w:hint="eastAsia" w:ascii="Times New Roman" w:hAnsi="Times New Roman" w:cs="Times New Roman"/>
                      <w:color w:val="auto"/>
                      <w:sz w:val="21"/>
                      <w:szCs w:val="21"/>
                      <w:lang w:val="en-US" w:eastAsia="zh-CN"/>
                    </w:rPr>
                    <w:t>4.40715</w:t>
                  </w:r>
                </w:p>
              </w:tc>
              <w:tc>
                <w:tcPr>
                  <w:tcW w:w="0" w:type="auto"/>
                  <w:shd w:val="clear" w:color="auto" w:fill="auto"/>
                  <w:vAlign w:val="center"/>
                </w:tcPr>
                <w:p w14:paraId="6B34D974">
                  <w:pPr>
                    <w:keepNext w:val="0"/>
                    <w:keepLines w:val="0"/>
                    <w:widowControl/>
                    <w:suppressLineNumbers w:val="0"/>
                    <w:jc w:val="center"/>
                    <w:textAlignment w:val="center"/>
                    <w:rPr>
                      <w:rFonts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1.331</w:t>
                  </w:r>
                </w:p>
              </w:tc>
              <w:tc>
                <w:tcPr>
                  <w:tcW w:w="0" w:type="auto"/>
                  <w:vAlign w:val="center"/>
                </w:tcPr>
                <w:p w14:paraId="48F8184F">
                  <w:pPr>
                    <w:widowControl/>
                    <w:jc w:val="center"/>
                    <w:textAlignment w:val="center"/>
                    <w:rPr>
                      <w:color w:val="auto"/>
                      <w:kern w:val="0"/>
                      <w:sz w:val="21"/>
                      <w:szCs w:val="21"/>
                      <w:lang w:bidi="ar"/>
                    </w:rPr>
                  </w:pPr>
                  <w:r>
                    <w:rPr>
                      <w:rFonts w:hint="eastAsia" w:ascii="Times New Roman" w:hAnsi="Times New Roman" w:cs="Times New Roman"/>
                      <w:color w:val="auto"/>
                      <w:sz w:val="21"/>
                      <w:szCs w:val="21"/>
                      <w:lang w:val="en-US" w:eastAsia="zh-CN"/>
                    </w:rPr>
                    <w:t>4.40715</w:t>
                  </w:r>
                </w:p>
              </w:tc>
              <w:tc>
                <w:tcPr>
                  <w:tcW w:w="900" w:type="dxa"/>
                  <w:shd w:val="clear" w:color="auto" w:fill="auto"/>
                  <w:vAlign w:val="center"/>
                </w:tcPr>
                <w:p w14:paraId="098EF617">
                  <w:pPr>
                    <w:keepNext w:val="0"/>
                    <w:keepLines w:val="0"/>
                    <w:widowControl/>
                    <w:suppressLineNumbers w:val="0"/>
                    <w:jc w:val="center"/>
                    <w:textAlignment w:val="center"/>
                    <w:rPr>
                      <w:rFonts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3.07615</w:t>
                  </w:r>
                </w:p>
              </w:tc>
            </w:tr>
            <w:tr w14:paraId="1DDCCC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337C5C5C">
                  <w:pPr>
                    <w:jc w:val="center"/>
                    <w:rPr>
                      <w:b/>
                      <w:snapToGrid w:val="0"/>
                      <w:color w:val="auto"/>
                      <w:kern w:val="21"/>
                      <w:sz w:val="21"/>
                      <w:szCs w:val="21"/>
                    </w:rPr>
                  </w:pPr>
                </w:p>
              </w:tc>
              <w:tc>
                <w:tcPr>
                  <w:tcW w:w="0" w:type="auto"/>
                  <w:vAlign w:val="center"/>
                </w:tcPr>
                <w:p w14:paraId="480FA24E">
                  <w:pPr>
                    <w:widowControl/>
                    <w:jc w:val="center"/>
                    <w:textAlignment w:val="center"/>
                    <w:rPr>
                      <w:snapToGrid w:val="0"/>
                      <w:color w:val="auto"/>
                      <w:kern w:val="21"/>
                      <w:sz w:val="21"/>
                      <w:szCs w:val="21"/>
                    </w:rPr>
                  </w:pPr>
                  <w:r>
                    <w:rPr>
                      <w:rFonts w:hint="eastAsia" w:ascii="宋体" w:hAnsi="宋体" w:cs="宋体"/>
                      <w:color w:val="auto"/>
                      <w:kern w:val="0"/>
                      <w:sz w:val="21"/>
                      <w:szCs w:val="21"/>
                      <w:lang w:bidi="ar"/>
                    </w:rPr>
                    <w:t>油烟</w:t>
                  </w:r>
                </w:p>
              </w:tc>
              <w:tc>
                <w:tcPr>
                  <w:tcW w:w="1027" w:type="dxa"/>
                  <w:vAlign w:val="center"/>
                </w:tcPr>
                <w:p w14:paraId="09C70BCA">
                  <w:pPr>
                    <w:widowControl/>
                    <w:jc w:val="center"/>
                    <w:textAlignment w:val="center"/>
                    <w:rPr>
                      <w:color w:val="auto"/>
                      <w:kern w:val="0"/>
                      <w:sz w:val="21"/>
                      <w:szCs w:val="21"/>
                      <w:lang w:bidi="ar"/>
                    </w:rPr>
                  </w:pPr>
                  <w:r>
                    <w:rPr>
                      <w:color w:val="auto"/>
                      <w:kern w:val="0"/>
                      <w:sz w:val="21"/>
                      <w:szCs w:val="21"/>
                      <w:lang w:bidi="ar"/>
                    </w:rPr>
                    <w:t>0.0027</w:t>
                  </w:r>
                </w:p>
              </w:tc>
              <w:tc>
                <w:tcPr>
                  <w:tcW w:w="1210" w:type="dxa"/>
                  <w:vAlign w:val="center"/>
                </w:tcPr>
                <w:p w14:paraId="04B2F2DB">
                  <w:pPr>
                    <w:widowControl/>
                    <w:jc w:val="center"/>
                    <w:textAlignment w:val="center"/>
                    <w:rPr>
                      <w:color w:val="auto"/>
                      <w:kern w:val="0"/>
                      <w:sz w:val="21"/>
                      <w:szCs w:val="21"/>
                      <w:lang w:bidi="ar"/>
                    </w:rPr>
                  </w:pPr>
                  <w:r>
                    <w:rPr>
                      <w:color w:val="auto"/>
                      <w:kern w:val="0"/>
                      <w:sz w:val="21"/>
                      <w:szCs w:val="21"/>
                      <w:lang w:bidi="ar"/>
                    </w:rPr>
                    <w:t>0.00108</w:t>
                  </w:r>
                </w:p>
              </w:tc>
              <w:tc>
                <w:tcPr>
                  <w:tcW w:w="0" w:type="auto"/>
                  <w:vAlign w:val="center"/>
                </w:tcPr>
                <w:p w14:paraId="4A5DE952">
                  <w:pPr>
                    <w:widowControl/>
                    <w:jc w:val="center"/>
                    <w:textAlignment w:val="center"/>
                    <w:rPr>
                      <w:color w:val="auto"/>
                      <w:kern w:val="0"/>
                      <w:sz w:val="21"/>
                      <w:szCs w:val="21"/>
                      <w:lang w:bidi="ar"/>
                    </w:rPr>
                  </w:pPr>
                  <w:r>
                    <w:rPr>
                      <w:color w:val="auto"/>
                      <w:kern w:val="0"/>
                      <w:sz w:val="21"/>
                      <w:szCs w:val="21"/>
                      <w:lang w:bidi="ar"/>
                    </w:rPr>
                    <w:t>0.00162</w:t>
                  </w:r>
                </w:p>
              </w:tc>
              <w:tc>
                <w:tcPr>
                  <w:tcW w:w="0" w:type="auto"/>
                  <w:vAlign w:val="center"/>
                </w:tcPr>
                <w:p w14:paraId="2DADEB06">
                  <w:pPr>
                    <w:widowControl/>
                    <w:jc w:val="center"/>
                    <w:textAlignment w:val="center"/>
                    <w:rPr>
                      <w:color w:val="auto"/>
                      <w:kern w:val="0"/>
                      <w:sz w:val="21"/>
                      <w:szCs w:val="21"/>
                      <w:lang w:bidi="ar"/>
                    </w:rPr>
                  </w:pPr>
                  <w:r>
                    <w:rPr>
                      <w:color w:val="auto"/>
                      <w:kern w:val="0"/>
                      <w:sz w:val="21"/>
                      <w:szCs w:val="21"/>
                      <w:lang w:bidi="ar"/>
                    </w:rPr>
                    <w:t>0.00324</w:t>
                  </w:r>
                </w:p>
              </w:tc>
              <w:tc>
                <w:tcPr>
                  <w:tcW w:w="900" w:type="dxa"/>
                  <w:vAlign w:val="center"/>
                </w:tcPr>
                <w:p w14:paraId="18A2C451">
                  <w:pPr>
                    <w:keepNext w:val="0"/>
                    <w:keepLines w:val="0"/>
                    <w:widowControl/>
                    <w:suppressLineNumbers w:val="0"/>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0.00054</w:t>
                  </w:r>
                </w:p>
              </w:tc>
            </w:tr>
            <w:tr w14:paraId="69854A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restart"/>
                  <w:vAlign w:val="center"/>
                </w:tcPr>
                <w:p w14:paraId="119F9EC3">
                  <w:pPr>
                    <w:widowControl/>
                    <w:jc w:val="center"/>
                    <w:textAlignment w:val="center"/>
                    <w:rPr>
                      <w:b/>
                      <w:snapToGrid w:val="0"/>
                      <w:color w:val="auto"/>
                      <w:kern w:val="21"/>
                      <w:sz w:val="21"/>
                      <w:szCs w:val="21"/>
                    </w:rPr>
                  </w:pPr>
                  <w:r>
                    <w:rPr>
                      <w:rFonts w:hint="eastAsia" w:ascii="宋体" w:hAnsi="宋体" w:cs="宋体"/>
                      <w:b/>
                      <w:bCs/>
                      <w:color w:val="auto"/>
                      <w:kern w:val="0"/>
                      <w:sz w:val="21"/>
                      <w:szCs w:val="21"/>
                      <w:lang w:bidi="ar"/>
                    </w:rPr>
                    <w:t>废水</w:t>
                  </w:r>
                </w:p>
              </w:tc>
              <w:tc>
                <w:tcPr>
                  <w:tcW w:w="0" w:type="auto"/>
                  <w:vAlign w:val="center"/>
                </w:tcPr>
                <w:p w14:paraId="12F08690">
                  <w:pPr>
                    <w:widowControl/>
                    <w:jc w:val="center"/>
                    <w:textAlignment w:val="center"/>
                    <w:rPr>
                      <w:snapToGrid w:val="0"/>
                      <w:color w:val="auto"/>
                      <w:kern w:val="21"/>
                      <w:sz w:val="21"/>
                      <w:szCs w:val="21"/>
                    </w:rPr>
                  </w:pPr>
                  <w:r>
                    <w:rPr>
                      <w:rFonts w:hint="eastAsia" w:ascii="宋体" w:hAnsi="宋体" w:cs="宋体"/>
                      <w:color w:val="auto"/>
                      <w:kern w:val="0"/>
                      <w:sz w:val="21"/>
                      <w:szCs w:val="21"/>
                      <w:lang w:bidi="ar"/>
                    </w:rPr>
                    <w:t>排放量</w:t>
                  </w:r>
                </w:p>
              </w:tc>
              <w:tc>
                <w:tcPr>
                  <w:tcW w:w="1027" w:type="dxa"/>
                  <w:vAlign w:val="center"/>
                </w:tcPr>
                <w:p w14:paraId="575558DB">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1.2571</w:t>
                  </w:r>
                </w:p>
              </w:tc>
              <w:tc>
                <w:tcPr>
                  <w:tcW w:w="1210" w:type="dxa"/>
                  <w:vAlign w:val="center"/>
                </w:tcPr>
                <w:p w14:paraId="5BF79543">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1.9523</w:t>
                  </w:r>
                </w:p>
              </w:tc>
              <w:tc>
                <w:tcPr>
                  <w:tcW w:w="0" w:type="auto"/>
                  <w:vAlign w:val="center"/>
                </w:tcPr>
                <w:p w14:paraId="3C6DEB51">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0.8496</w:t>
                  </w:r>
                </w:p>
              </w:tc>
              <w:tc>
                <w:tcPr>
                  <w:tcW w:w="0" w:type="auto"/>
                  <w:vAlign w:val="center"/>
                </w:tcPr>
                <w:p w14:paraId="0020E782">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2.3598</w:t>
                  </w:r>
                </w:p>
              </w:tc>
              <w:tc>
                <w:tcPr>
                  <w:tcW w:w="900" w:type="dxa"/>
                  <w:vAlign w:val="center"/>
                </w:tcPr>
                <w:p w14:paraId="5182A60A">
                  <w:pPr>
                    <w:keepNext w:val="0"/>
                    <w:keepLines w:val="0"/>
                    <w:widowControl/>
                    <w:suppressLineNumbers w:val="0"/>
                    <w:jc w:val="center"/>
                    <w:textAlignment w:val="center"/>
                    <w:rPr>
                      <w:color w:val="auto"/>
                      <w:kern w:val="0"/>
                      <w:sz w:val="21"/>
                      <w:szCs w:val="21"/>
                      <w:lang w:bidi="ar"/>
                    </w:rPr>
                  </w:pPr>
                  <w:r>
                    <w:rPr>
                      <w:rFonts w:hint="eastAsia"/>
                      <w:color w:val="auto"/>
                      <w:kern w:val="0"/>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1.1027</w:t>
                  </w:r>
                </w:p>
              </w:tc>
            </w:tr>
            <w:tr w14:paraId="5A71E8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4709B8DE">
                  <w:pPr>
                    <w:jc w:val="center"/>
                    <w:rPr>
                      <w:b/>
                      <w:snapToGrid w:val="0"/>
                      <w:color w:val="auto"/>
                      <w:kern w:val="21"/>
                      <w:sz w:val="21"/>
                      <w:szCs w:val="21"/>
                    </w:rPr>
                  </w:pPr>
                </w:p>
              </w:tc>
              <w:tc>
                <w:tcPr>
                  <w:tcW w:w="0" w:type="auto"/>
                  <w:vAlign w:val="center"/>
                </w:tcPr>
                <w:p w14:paraId="66F0A224">
                  <w:pPr>
                    <w:widowControl/>
                    <w:jc w:val="center"/>
                    <w:textAlignment w:val="center"/>
                    <w:rPr>
                      <w:color w:val="auto"/>
                      <w:sz w:val="21"/>
                      <w:szCs w:val="21"/>
                    </w:rPr>
                  </w:pPr>
                  <w:r>
                    <w:rPr>
                      <w:color w:val="auto"/>
                      <w:kern w:val="0"/>
                      <w:sz w:val="21"/>
                      <w:szCs w:val="21"/>
                      <w:lang w:bidi="ar"/>
                    </w:rPr>
                    <w:t>COD</w:t>
                  </w:r>
                </w:p>
              </w:tc>
              <w:tc>
                <w:tcPr>
                  <w:tcW w:w="1027" w:type="dxa"/>
                  <w:vAlign w:val="center"/>
                </w:tcPr>
                <w:p w14:paraId="2A1BC7B1">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1.911</w:t>
                  </w:r>
                </w:p>
              </w:tc>
              <w:tc>
                <w:tcPr>
                  <w:tcW w:w="1210" w:type="dxa"/>
                  <w:vAlign w:val="center"/>
                </w:tcPr>
                <w:p w14:paraId="035806A2">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2.8498</w:t>
                  </w:r>
                </w:p>
              </w:tc>
              <w:tc>
                <w:tcPr>
                  <w:tcW w:w="0" w:type="auto"/>
                  <w:vAlign w:val="center"/>
                </w:tcPr>
                <w:p w14:paraId="7471C6DE">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1.2914</w:t>
                  </w:r>
                </w:p>
              </w:tc>
              <w:tc>
                <w:tcPr>
                  <w:tcW w:w="0" w:type="auto"/>
                  <w:vAlign w:val="center"/>
                </w:tcPr>
                <w:p w14:paraId="026B2B91">
                  <w:pPr>
                    <w:widowControl/>
                    <w:jc w:val="center"/>
                    <w:textAlignment w:val="center"/>
                    <w:rPr>
                      <w:color w:val="auto"/>
                      <w:kern w:val="0"/>
                      <w:sz w:val="21"/>
                      <w:szCs w:val="21"/>
                      <w:lang w:bidi="ar"/>
                    </w:rPr>
                  </w:pPr>
                  <w:r>
                    <w:rPr>
                      <w:color w:val="auto"/>
                      <w:kern w:val="0"/>
                      <w:sz w:val="21"/>
                      <w:szCs w:val="21"/>
                      <w:lang w:bidi="ar"/>
                    </w:rPr>
                    <w:t>4.8825</w:t>
                  </w:r>
                </w:p>
              </w:tc>
              <w:tc>
                <w:tcPr>
                  <w:tcW w:w="900" w:type="dxa"/>
                  <w:vAlign w:val="center"/>
                </w:tcPr>
                <w:p w14:paraId="5D6535EF">
                  <w:pPr>
                    <w:keepNext w:val="0"/>
                    <w:keepLines w:val="0"/>
                    <w:widowControl/>
                    <w:suppressLineNumbers w:val="0"/>
                    <w:jc w:val="center"/>
                    <w:textAlignment w:val="center"/>
                    <w:rPr>
                      <w:color w:val="auto"/>
                      <w:kern w:val="0"/>
                      <w:sz w:val="21"/>
                      <w:szCs w:val="21"/>
                      <w:lang w:bidi="ar"/>
                    </w:rPr>
                  </w:pPr>
                  <w:r>
                    <w:rPr>
                      <w:rFonts w:hint="eastAsia"/>
                      <w:color w:val="auto"/>
                      <w:kern w:val="0"/>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1.5584</w:t>
                  </w:r>
                </w:p>
              </w:tc>
            </w:tr>
            <w:tr w14:paraId="6E82DA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5888541C">
                  <w:pPr>
                    <w:jc w:val="center"/>
                    <w:rPr>
                      <w:b/>
                      <w:snapToGrid w:val="0"/>
                      <w:color w:val="auto"/>
                      <w:kern w:val="21"/>
                      <w:sz w:val="21"/>
                      <w:szCs w:val="21"/>
                    </w:rPr>
                  </w:pPr>
                </w:p>
              </w:tc>
              <w:tc>
                <w:tcPr>
                  <w:tcW w:w="0" w:type="auto"/>
                  <w:shd w:val="clear" w:color="auto" w:fill="auto"/>
                  <w:vAlign w:val="center"/>
                </w:tcPr>
                <w:p w14:paraId="188E7230">
                  <w:pPr>
                    <w:widowControl/>
                    <w:jc w:val="center"/>
                    <w:textAlignment w:val="center"/>
                    <w:rPr>
                      <w:color w:val="auto"/>
                      <w:sz w:val="21"/>
                      <w:szCs w:val="21"/>
                    </w:rPr>
                  </w:pPr>
                  <w:r>
                    <w:rPr>
                      <w:color w:val="auto"/>
                      <w:kern w:val="0"/>
                      <w:sz w:val="21"/>
                      <w:szCs w:val="21"/>
                      <w:lang w:bidi="ar"/>
                    </w:rPr>
                    <w:t>NH</w:t>
                  </w:r>
                  <w:r>
                    <w:rPr>
                      <w:rStyle w:val="50"/>
                      <w:color w:val="auto"/>
                      <w:sz w:val="21"/>
                      <w:szCs w:val="21"/>
                      <w:lang w:bidi="ar"/>
                    </w:rPr>
                    <w:t>3</w:t>
                  </w:r>
                  <w:r>
                    <w:rPr>
                      <w:color w:val="auto"/>
                      <w:kern w:val="0"/>
                      <w:sz w:val="21"/>
                      <w:szCs w:val="21"/>
                      <w:lang w:bidi="ar"/>
                    </w:rPr>
                    <w:t>-N</w:t>
                  </w:r>
                </w:p>
              </w:tc>
              <w:tc>
                <w:tcPr>
                  <w:tcW w:w="1027" w:type="dxa"/>
                  <w:shd w:val="clear" w:color="auto" w:fill="auto"/>
                  <w:vAlign w:val="center"/>
                </w:tcPr>
                <w:p w14:paraId="2F0A7105">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0.0887</w:t>
                  </w:r>
                </w:p>
              </w:tc>
              <w:tc>
                <w:tcPr>
                  <w:tcW w:w="1210" w:type="dxa"/>
                  <w:shd w:val="clear" w:color="auto" w:fill="auto"/>
                  <w:vAlign w:val="center"/>
                </w:tcPr>
                <w:p w14:paraId="26F18CA6">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0.1354</w:t>
                  </w:r>
                </w:p>
              </w:tc>
              <w:tc>
                <w:tcPr>
                  <w:tcW w:w="0" w:type="auto"/>
                  <w:shd w:val="clear" w:color="auto" w:fill="auto"/>
                  <w:vAlign w:val="center"/>
                </w:tcPr>
                <w:p w14:paraId="6EA98C38">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0.0600</w:t>
                  </w:r>
                </w:p>
              </w:tc>
              <w:tc>
                <w:tcPr>
                  <w:tcW w:w="0" w:type="auto"/>
                  <w:vAlign w:val="center"/>
                </w:tcPr>
                <w:p w14:paraId="2FB0AD17">
                  <w:pPr>
                    <w:widowControl/>
                    <w:jc w:val="center"/>
                    <w:textAlignment w:val="center"/>
                    <w:rPr>
                      <w:color w:val="auto"/>
                      <w:kern w:val="0"/>
                      <w:sz w:val="21"/>
                      <w:szCs w:val="21"/>
                      <w:lang w:bidi="ar"/>
                    </w:rPr>
                  </w:pPr>
                  <w:r>
                    <w:rPr>
                      <w:color w:val="auto"/>
                      <w:kern w:val="0"/>
                      <w:sz w:val="21"/>
                      <w:szCs w:val="21"/>
                      <w:lang w:bidi="ar"/>
                    </w:rPr>
                    <w:t>0.43187</w:t>
                  </w:r>
                </w:p>
              </w:tc>
              <w:tc>
                <w:tcPr>
                  <w:tcW w:w="900" w:type="dxa"/>
                  <w:vAlign w:val="center"/>
                </w:tcPr>
                <w:p w14:paraId="30784769">
                  <w:pPr>
                    <w:keepNext w:val="0"/>
                    <w:keepLines w:val="0"/>
                    <w:widowControl/>
                    <w:suppressLineNumbers w:val="0"/>
                    <w:jc w:val="center"/>
                    <w:textAlignment w:val="center"/>
                    <w:rPr>
                      <w:color w:val="auto"/>
                      <w:kern w:val="0"/>
                      <w:sz w:val="21"/>
                      <w:szCs w:val="21"/>
                      <w:lang w:bidi="ar"/>
                    </w:rPr>
                  </w:pPr>
                  <w:r>
                    <w:rPr>
                      <w:rFonts w:hint="eastAsia"/>
                      <w:color w:val="auto"/>
                      <w:kern w:val="0"/>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0.0754</w:t>
                  </w:r>
                </w:p>
              </w:tc>
            </w:tr>
            <w:tr w14:paraId="4AABE1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restart"/>
                  <w:vAlign w:val="center"/>
                </w:tcPr>
                <w:p w14:paraId="10B42A65">
                  <w:pPr>
                    <w:widowControl/>
                    <w:jc w:val="center"/>
                    <w:textAlignment w:val="center"/>
                    <w:rPr>
                      <w:rFonts w:hint="eastAsia" w:ascii="宋体" w:hAnsi="宋体" w:cs="宋体"/>
                      <w:b/>
                      <w:bCs/>
                      <w:color w:val="auto"/>
                      <w:kern w:val="0"/>
                      <w:sz w:val="21"/>
                      <w:szCs w:val="21"/>
                      <w:lang w:bidi="ar"/>
                    </w:rPr>
                  </w:pPr>
                  <w:r>
                    <w:rPr>
                      <w:rFonts w:hint="eastAsia" w:ascii="宋体" w:hAnsi="宋体" w:cs="宋体"/>
                      <w:b/>
                      <w:bCs/>
                      <w:color w:val="auto"/>
                      <w:kern w:val="0"/>
                      <w:sz w:val="21"/>
                      <w:szCs w:val="21"/>
                      <w:lang w:bidi="ar"/>
                    </w:rPr>
                    <w:t>一般工业</w:t>
                  </w:r>
                </w:p>
                <w:p w14:paraId="6A25D17F">
                  <w:pPr>
                    <w:widowControl/>
                    <w:jc w:val="center"/>
                    <w:textAlignment w:val="center"/>
                    <w:rPr>
                      <w:b/>
                      <w:snapToGrid w:val="0"/>
                      <w:color w:val="auto"/>
                      <w:kern w:val="21"/>
                      <w:sz w:val="21"/>
                      <w:szCs w:val="21"/>
                    </w:rPr>
                  </w:pPr>
                  <w:r>
                    <w:rPr>
                      <w:rFonts w:hint="eastAsia" w:ascii="宋体" w:hAnsi="宋体" w:cs="宋体"/>
                      <w:b/>
                      <w:bCs/>
                      <w:color w:val="auto"/>
                      <w:kern w:val="0"/>
                      <w:sz w:val="21"/>
                      <w:szCs w:val="21"/>
                      <w:lang w:bidi="ar"/>
                    </w:rPr>
                    <w:t>固体废物</w:t>
                  </w:r>
                </w:p>
              </w:tc>
              <w:tc>
                <w:tcPr>
                  <w:tcW w:w="0" w:type="auto"/>
                  <w:shd w:val="clear" w:color="auto" w:fill="auto"/>
                  <w:vAlign w:val="center"/>
                </w:tcPr>
                <w:p w14:paraId="2108BE7F">
                  <w:pPr>
                    <w:widowControl/>
                    <w:jc w:val="center"/>
                    <w:textAlignment w:val="center"/>
                    <w:rPr>
                      <w:color w:val="auto"/>
                      <w:sz w:val="21"/>
                      <w:szCs w:val="21"/>
                    </w:rPr>
                  </w:pPr>
                  <w:r>
                    <w:rPr>
                      <w:rFonts w:hint="eastAsia" w:ascii="宋体" w:hAnsi="宋体" w:cs="宋体"/>
                      <w:color w:val="auto"/>
                      <w:kern w:val="0"/>
                      <w:sz w:val="21"/>
                      <w:szCs w:val="21"/>
                      <w:lang w:bidi="ar"/>
                    </w:rPr>
                    <w:t>破损的周转箱</w:t>
                  </w:r>
                </w:p>
              </w:tc>
              <w:tc>
                <w:tcPr>
                  <w:tcW w:w="1027" w:type="dxa"/>
                  <w:shd w:val="clear" w:color="auto" w:fill="auto"/>
                  <w:vAlign w:val="center"/>
                </w:tcPr>
                <w:p w14:paraId="39CF75A2">
                  <w:pPr>
                    <w:widowControl/>
                    <w:jc w:val="center"/>
                    <w:textAlignment w:val="center"/>
                    <w:rPr>
                      <w:color w:val="auto"/>
                      <w:sz w:val="21"/>
                      <w:szCs w:val="21"/>
                    </w:rPr>
                  </w:pPr>
                  <w:r>
                    <w:rPr>
                      <w:color w:val="auto"/>
                      <w:kern w:val="0"/>
                      <w:sz w:val="21"/>
                      <w:szCs w:val="21"/>
                      <w:lang w:bidi="ar"/>
                    </w:rPr>
                    <w:t>3000</w:t>
                  </w:r>
                  <w:r>
                    <w:rPr>
                      <w:rStyle w:val="51"/>
                      <w:rFonts w:hint="default"/>
                      <w:color w:val="auto"/>
                      <w:sz w:val="21"/>
                      <w:szCs w:val="21"/>
                      <w:lang w:bidi="ar"/>
                    </w:rPr>
                    <w:t>个</w:t>
                  </w:r>
                  <w:r>
                    <w:rPr>
                      <w:color w:val="auto"/>
                      <w:kern w:val="0"/>
                      <w:sz w:val="21"/>
                      <w:szCs w:val="21"/>
                      <w:lang w:bidi="ar"/>
                    </w:rPr>
                    <w:t>/a</w:t>
                  </w:r>
                </w:p>
              </w:tc>
              <w:tc>
                <w:tcPr>
                  <w:tcW w:w="1210" w:type="dxa"/>
                  <w:shd w:val="clear" w:color="auto" w:fill="auto"/>
                  <w:vAlign w:val="center"/>
                </w:tcPr>
                <w:p w14:paraId="2E21E624">
                  <w:pPr>
                    <w:widowControl/>
                    <w:jc w:val="center"/>
                    <w:textAlignment w:val="center"/>
                    <w:rPr>
                      <w:color w:val="auto"/>
                      <w:sz w:val="21"/>
                      <w:szCs w:val="21"/>
                    </w:rPr>
                  </w:pPr>
                  <w:r>
                    <w:rPr>
                      <w:color w:val="auto"/>
                      <w:kern w:val="0"/>
                      <w:sz w:val="21"/>
                      <w:szCs w:val="21"/>
                      <w:lang w:bidi="ar"/>
                    </w:rPr>
                    <w:t>0</w:t>
                  </w:r>
                </w:p>
              </w:tc>
              <w:tc>
                <w:tcPr>
                  <w:tcW w:w="0" w:type="auto"/>
                  <w:shd w:val="clear" w:color="auto" w:fill="auto"/>
                  <w:vAlign w:val="center"/>
                </w:tcPr>
                <w:p w14:paraId="0198115A">
                  <w:pPr>
                    <w:widowControl/>
                    <w:jc w:val="center"/>
                    <w:textAlignment w:val="center"/>
                    <w:rPr>
                      <w:color w:val="auto"/>
                      <w:sz w:val="21"/>
                      <w:szCs w:val="21"/>
                    </w:rPr>
                  </w:pPr>
                  <w:r>
                    <w:rPr>
                      <w:color w:val="auto"/>
                      <w:kern w:val="0"/>
                      <w:sz w:val="21"/>
                      <w:szCs w:val="21"/>
                      <w:lang w:bidi="ar"/>
                    </w:rPr>
                    <w:t>0</w:t>
                  </w:r>
                </w:p>
              </w:tc>
              <w:tc>
                <w:tcPr>
                  <w:tcW w:w="0" w:type="auto"/>
                  <w:vAlign w:val="center"/>
                </w:tcPr>
                <w:p w14:paraId="5A1E8A9E">
                  <w:pPr>
                    <w:widowControl/>
                    <w:jc w:val="center"/>
                    <w:textAlignment w:val="center"/>
                    <w:rPr>
                      <w:color w:val="auto"/>
                      <w:sz w:val="21"/>
                      <w:szCs w:val="21"/>
                    </w:rPr>
                  </w:pPr>
                  <w:r>
                    <w:rPr>
                      <w:color w:val="auto"/>
                      <w:kern w:val="0"/>
                      <w:sz w:val="21"/>
                      <w:szCs w:val="21"/>
                      <w:lang w:bidi="ar"/>
                    </w:rPr>
                    <w:t>3000</w:t>
                  </w:r>
                  <w:r>
                    <w:rPr>
                      <w:rStyle w:val="51"/>
                      <w:rFonts w:hint="default"/>
                      <w:color w:val="auto"/>
                      <w:sz w:val="21"/>
                      <w:szCs w:val="21"/>
                      <w:lang w:bidi="ar"/>
                    </w:rPr>
                    <w:t>个</w:t>
                  </w:r>
                  <w:r>
                    <w:rPr>
                      <w:color w:val="auto"/>
                      <w:kern w:val="0"/>
                      <w:sz w:val="21"/>
                      <w:szCs w:val="21"/>
                      <w:lang w:bidi="ar"/>
                    </w:rPr>
                    <w:t>/a</w:t>
                  </w:r>
                </w:p>
              </w:tc>
              <w:tc>
                <w:tcPr>
                  <w:tcW w:w="0" w:type="auto"/>
                  <w:vAlign w:val="center"/>
                </w:tcPr>
                <w:p w14:paraId="525555EC">
                  <w:pPr>
                    <w:widowControl/>
                    <w:jc w:val="center"/>
                    <w:textAlignment w:val="center"/>
                    <w:rPr>
                      <w:color w:val="auto"/>
                      <w:sz w:val="21"/>
                      <w:szCs w:val="21"/>
                    </w:rPr>
                  </w:pPr>
                  <w:r>
                    <w:rPr>
                      <w:color w:val="auto"/>
                      <w:kern w:val="0"/>
                      <w:sz w:val="21"/>
                      <w:szCs w:val="21"/>
                      <w:lang w:bidi="ar"/>
                    </w:rPr>
                    <w:t>0</w:t>
                  </w:r>
                </w:p>
              </w:tc>
            </w:tr>
            <w:tr w14:paraId="3C3A100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5B6FF4F6">
                  <w:pPr>
                    <w:widowControl/>
                    <w:jc w:val="center"/>
                    <w:textAlignment w:val="center"/>
                    <w:rPr>
                      <w:b/>
                      <w:snapToGrid w:val="0"/>
                      <w:color w:val="auto"/>
                      <w:kern w:val="21"/>
                      <w:sz w:val="21"/>
                      <w:szCs w:val="21"/>
                    </w:rPr>
                  </w:pPr>
                </w:p>
              </w:tc>
              <w:tc>
                <w:tcPr>
                  <w:tcW w:w="0" w:type="auto"/>
                  <w:shd w:val="clear" w:color="auto" w:fill="auto"/>
                  <w:vAlign w:val="center"/>
                </w:tcPr>
                <w:p w14:paraId="6342C440">
                  <w:pPr>
                    <w:widowControl/>
                    <w:jc w:val="center"/>
                    <w:textAlignment w:val="center"/>
                    <w:rPr>
                      <w:color w:val="auto"/>
                      <w:sz w:val="21"/>
                      <w:szCs w:val="21"/>
                    </w:rPr>
                  </w:pPr>
                  <w:r>
                    <w:rPr>
                      <w:rFonts w:hint="eastAsia" w:ascii="宋体" w:hAnsi="宋体" w:cs="宋体"/>
                      <w:color w:val="auto"/>
                      <w:kern w:val="0"/>
                      <w:sz w:val="21"/>
                      <w:szCs w:val="21"/>
                      <w:lang w:bidi="ar"/>
                    </w:rPr>
                    <w:t>破损的碗碟</w:t>
                  </w:r>
                </w:p>
              </w:tc>
              <w:tc>
                <w:tcPr>
                  <w:tcW w:w="1027" w:type="dxa"/>
                  <w:shd w:val="clear" w:color="auto" w:fill="auto"/>
                  <w:vAlign w:val="center"/>
                </w:tcPr>
                <w:p w14:paraId="1C855DC9">
                  <w:pPr>
                    <w:widowControl/>
                    <w:jc w:val="center"/>
                    <w:textAlignment w:val="center"/>
                    <w:rPr>
                      <w:color w:val="auto"/>
                      <w:sz w:val="21"/>
                      <w:szCs w:val="21"/>
                    </w:rPr>
                  </w:pPr>
                  <w:r>
                    <w:rPr>
                      <w:color w:val="auto"/>
                      <w:kern w:val="0"/>
                      <w:sz w:val="21"/>
                      <w:szCs w:val="21"/>
                      <w:lang w:bidi="ar"/>
                    </w:rPr>
                    <w:t>1.2</w:t>
                  </w:r>
                </w:p>
              </w:tc>
              <w:tc>
                <w:tcPr>
                  <w:tcW w:w="1210" w:type="dxa"/>
                  <w:vAlign w:val="center"/>
                </w:tcPr>
                <w:p w14:paraId="49DD0C2D">
                  <w:pPr>
                    <w:widowControl/>
                    <w:jc w:val="center"/>
                    <w:textAlignment w:val="center"/>
                    <w:rPr>
                      <w:color w:val="auto"/>
                      <w:sz w:val="21"/>
                      <w:szCs w:val="21"/>
                    </w:rPr>
                  </w:pPr>
                  <w:r>
                    <w:rPr>
                      <w:color w:val="auto"/>
                      <w:kern w:val="0"/>
                      <w:sz w:val="21"/>
                      <w:szCs w:val="21"/>
                      <w:lang w:bidi="ar"/>
                    </w:rPr>
                    <w:t>0</w:t>
                  </w:r>
                </w:p>
              </w:tc>
              <w:tc>
                <w:tcPr>
                  <w:tcW w:w="0" w:type="auto"/>
                  <w:vAlign w:val="center"/>
                </w:tcPr>
                <w:p w14:paraId="398349C1">
                  <w:pPr>
                    <w:widowControl/>
                    <w:jc w:val="center"/>
                    <w:textAlignment w:val="center"/>
                    <w:rPr>
                      <w:color w:val="auto"/>
                      <w:sz w:val="21"/>
                      <w:szCs w:val="21"/>
                    </w:rPr>
                  </w:pPr>
                  <w:r>
                    <w:rPr>
                      <w:color w:val="auto"/>
                      <w:kern w:val="0"/>
                      <w:sz w:val="21"/>
                      <w:szCs w:val="21"/>
                      <w:lang w:bidi="ar"/>
                    </w:rPr>
                    <w:t>0</w:t>
                  </w:r>
                </w:p>
              </w:tc>
              <w:tc>
                <w:tcPr>
                  <w:tcW w:w="0" w:type="auto"/>
                  <w:vAlign w:val="center"/>
                </w:tcPr>
                <w:p w14:paraId="186CA1BF">
                  <w:pPr>
                    <w:widowControl/>
                    <w:jc w:val="center"/>
                    <w:textAlignment w:val="center"/>
                    <w:rPr>
                      <w:color w:val="auto"/>
                      <w:sz w:val="21"/>
                      <w:szCs w:val="21"/>
                    </w:rPr>
                  </w:pPr>
                  <w:r>
                    <w:rPr>
                      <w:color w:val="auto"/>
                      <w:kern w:val="0"/>
                      <w:sz w:val="21"/>
                      <w:szCs w:val="21"/>
                      <w:lang w:bidi="ar"/>
                    </w:rPr>
                    <w:t>1.2</w:t>
                  </w:r>
                </w:p>
              </w:tc>
              <w:tc>
                <w:tcPr>
                  <w:tcW w:w="0" w:type="auto"/>
                  <w:vAlign w:val="center"/>
                </w:tcPr>
                <w:p w14:paraId="7EFCF4A2">
                  <w:pPr>
                    <w:widowControl/>
                    <w:jc w:val="center"/>
                    <w:textAlignment w:val="center"/>
                    <w:rPr>
                      <w:color w:val="auto"/>
                      <w:sz w:val="21"/>
                      <w:szCs w:val="21"/>
                    </w:rPr>
                  </w:pPr>
                  <w:r>
                    <w:rPr>
                      <w:color w:val="auto"/>
                      <w:kern w:val="0"/>
                      <w:sz w:val="21"/>
                      <w:szCs w:val="21"/>
                      <w:lang w:bidi="ar"/>
                    </w:rPr>
                    <w:t>0</w:t>
                  </w:r>
                </w:p>
              </w:tc>
            </w:tr>
            <w:tr w14:paraId="34FF3B1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7EEEA691">
                  <w:pPr>
                    <w:rPr>
                      <w:b/>
                      <w:snapToGrid w:val="0"/>
                      <w:color w:val="auto"/>
                      <w:kern w:val="21"/>
                      <w:sz w:val="21"/>
                      <w:szCs w:val="21"/>
                    </w:rPr>
                  </w:pPr>
                </w:p>
              </w:tc>
              <w:tc>
                <w:tcPr>
                  <w:tcW w:w="0" w:type="auto"/>
                  <w:shd w:val="clear" w:color="auto" w:fill="auto"/>
                  <w:vAlign w:val="center"/>
                </w:tcPr>
                <w:p w14:paraId="2256B997">
                  <w:pPr>
                    <w:widowControl/>
                    <w:jc w:val="center"/>
                    <w:textAlignment w:val="center"/>
                    <w:rPr>
                      <w:color w:val="auto"/>
                      <w:sz w:val="21"/>
                      <w:szCs w:val="21"/>
                    </w:rPr>
                  </w:pPr>
                  <w:r>
                    <w:rPr>
                      <w:rFonts w:hint="eastAsia" w:ascii="宋体" w:hAnsi="宋体" w:cs="宋体"/>
                      <w:color w:val="auto"/>
                      <w:kern w:val="0"/>
                      <w:sz w:val="21"/>
                      <w:szCs w:val="21"/>
                      <w:lang w:bidi="ar"/>
                    </w:rPr>
                    <w:t>餐具清洗除渣机除得的渣</w:t>
                  </w:r>
                </w:p>
              </w:tc>
              <w:tc>
                <w:tcPr>
                  <w:tcW w:w="1027" w:type="dxa"/>
                  <w:shd w:val="clear" w:color="auto" w:fill="auto"/>
                  <w:vAlign w:val="center"/>
                </w:tcPr>
                <w:p w14:paraId="40F5DDC3">
                  <w:pPr>
                    <w:widowControl/>
                    <w:jc w:val="center"/>
                    <w:textAlignment w:val="center"/>
                    <w:rPr>
                      <w:color w:val="auto"/>
                      <w:sz w:val="21"/>
                      <w:szCs w:val="21"/>
                    </w:rPr>
                  </w:pPr>
                  <w:r>
                    <w:rPr>
                      <w:color w:val="auto"/>
                      <w:kern w:val="0"/>
                      <w:sz w:val="21"/>
                      <w:szCs w:val="21"/>
                      <w:lang w:bidi="ar"/>
                    </w:rPr>
                    <w:t>6.2</w:t>
                  </w:r>
                </w:p>
              </w:tc>
              <w:tc>
                <w:tcPr>
                  <w:tcW w:w="1210" w:type="dxa"/>
                  <w:vAlign w:val="center"/>
                </w:tcPr>
                <w:p w14:paraId="46182539">
                  <w:pPr>
                    <w:widowControl/>
                    <w:jc w:val="center"/>
                    <w:textAlignment w:val="center"/>
                    <w:rPr>
                      <w:color w:val="auto"/>
                      <w:sz w:val="21"/>
                      <w:szCs w:val="21"/>
                    </w:rPr>
                  </w:pPr>
                  <w:r>
                    <w:rPr>
                      <w:color w:val="auto"/>
                      <w:kern w:val="0"/>
                      <w:sz w:val="21"/>
                      <w:szCs w:val="21"/>
                      <w:lang w:bidi="ar"/>
                    </w:rPr>
                    <w:t>0</w:t>
                  </w:r>
                </w:p>
              </w:tc>
              <w:tc>
                <w:tcPr>
                  <w:tcW w:w="0" w:type="auto"/>
                  <w:vAlign w:val="center"/>
                </w:tcPr>
                <w:p w14:paraId="2C2040E6">
                  <w:pPr>
                    <w:widowControl/>
                    <w:jc w:val="center"/>
                    <w:textAlignment w:val="center"/>
                    <w:rPr>
                      <w:color w:val="auto"/>
                      <w:sz w:val="21"/>
                      <w:szCs w:val="21"/>
                    </w:rPr>
                  </w:pPr>
                  <w:r>
                    <w:rPr>
                      <w:color w:val="auto"/>
                      <w:kern w:val="0"/>
                      <w:sz w:val="21"/>
                      <w:szCs w:val="21"/>
                      <w:lang w:bidi="ar"/>
                    </w:rPr>
                    <w:t>0</w:t>
                  </w:r>
                </w:p>
              </w:tc>
              <w:tc>
                <w:tcPr>
                  <w:tcW w:w="0" w:type="auto"/>
                  <w:vAlign w:val="center"/>
                </w:tcPr>
                <w:p w14:paraId="6A2430E6">
                  <w:pPr>
                    <w:widowControl/>
                    <w:jc w:val="center"/>
                    <w:textAlignment w:val="center"/>
                    <w:rPr>
                      <w:color w:val="auto"/>
                      <w:sz w:val="21"/>
                      <w:szCs w:val="21"/>
                    </w:rPr>
                  </w:pPr>
                  <w:r>
                    <w:rPr>
                      <w:color w:val="auto"/>
                      <w:kern w:val="0"/>
                      <w:sz w:val="21"/>
                      <w:szCs w:val="21"/>
                      <w:lang w:bidi="ar"/>
                    </w:rPr>
                    <w:t>6.2</w:t>
                  </w:r>
                </w:p>
              </w:tc>
              <w:tc>
                <w:tcPr>
                  <w:tcW w:w="0" w:type="auto"/>
                  <w:vAlign w:val="center"/>
                </w:tcPr>
                <w:p w14:paraId="28135D46">
                  <w:pPr>
                    <w:widowControl/>
                    <w:jc w:val="center"/>
                    <w:textAlignment w:val="center"/>
                    <w:rPr>
                      <w:color w:val="auto"/>
                      <w:sz w:val="21"/>
                      <w:szCs w:val="21"/>
                    </w:rPr>
                  </w:pPr>
                  <w:r>
                    <w:rPr>
                      <w:color w:val="auto"/>
                      <w:kern w:val="0"/>
                      <w:sz w:val="21"/>
                      <w:szCs w:val="21"/>
                      <w:lang w:bidi="ar"/>
                    </w:rPr>
                    <w:t>0</w:t>
                  </w:r>
                </w:p>
              </w:tc>
            </w:tr>
            <w:tr w14:paraId="0A4971B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28C838CE">
                  <w:pPr>
                    <w:rPr>
                      <w:b/>
                      <w:snapToGrid w:val="0"/>
                      <w:color w:val="auto"/>
                      <w:kern w:val="21"/>
                      <w:sz w:val="21"/>
                      <w:szCs w:val="21"/>
                    </w:rPr>
                  </w:pPr>
                </w:p>
              </w:tc>
              <w:tc>
                <w:tcPr>
                  <w:tcW w:w="0" w:type="auto"/>
                  <w:shd w:val="clear" w:color="auto" w:fill="auto"/>
                  <w:vAlign w:val="center"/>
                </w:tcPr>
                <w:p w14:paraId="6E349841">
                  <w:pPr>
                    <w:widowControl/>
                    <w:jc w:val="center"/>
                    <w:textAlignment w:val="center"/>
                    <w:rPr>
                      <w:color w:val="auto"/>
                      <w:sz w:val="21"/>
                      <w:szCs w:val="21"/>
                    </w:rPr>
                  </w:pPr>
                  <w:r>
                    <w:rPr>
                      <w:rFonts w:hint="eastAsia" w:ascii="宋体" w:hAnsi="宋体" w:cs="宋体"/>
                      <w:color w:val="auto"/>
                      <w:kern w:val="0"/>
                      <w:sz w:val="21"/>
                      <w:szCs w:val="21"/>
                      <w:lang w:bidi="ar"/>
                    </w:rPr>
                    <w:t>筛网与沉淀池处理生产废水除得的渣</w:t>
                  </w:r>
                </w:p>
              </w:tc>
              <w:tc>
                <w:tcPr>
                  <w:tcW w:w="1027" w:type="dxa"/>
                  <w:shd w:val="clear" w:color="auto" w:fill="auto"/>
                  <w:vAlign w:val="center"/>
                </w:tcPr>
                <w:p w14:paraId="4356B0FF">
                  <w:pPr>
                    <w:widowControl/>
                    <w:jc w:val="center"/>
                    <w:textAlignment w:val="center"/>
                    <w:rPr>
                      <w:color w:val="auto"/>
                      <w:sz w:val="21"/>
                      <w:szCs w:val="21"/>
                    </w:rPr>
                  </w:pPr>
                  <w:r>
                    <w:rPr>
                      <w:color w:val="auto"/>
                      <w:kern w:val="0"/>
                      <w:sz w:val="21"/>
                      <w:szCs w:val="21"/>
                      <w:lang w:bidi="ar"/>
                    </w:rPr>
                    <w:t>12.7</w:t>
                  </w:r>
                </w:p>
              </w:tc>
              <w:tc>
                <w:tcPr>
                  <w:tcW w:w="1210" w:type="dxa"/>
                  <w:vAlign w:val="center"/>
                </w:tcPr>
                <w:p w14:paraId="52ED6F02">
                  <w:pPr>
                    <w:widowControl/>
                    <w:jc w:val="center"/>
                    <w:textAlignment w:val="center"/>
                    <w:rPr>
                      <w:rFonts w:hint="default" w:eastAsia="宋体"/>
                      <w:color w:val="auto"/>
                      <w:sz w:val="21"/>
                      <w:szCs w:val="21"/>
                      <w:lang w:val="en-US" w:eastAsia="zh-CN"/>
                    </w:rPr>
                  </w:pPr>
                  <w:r>
                    <w:rPr>
                      <w:rFonts w:hint="eastAsia"/>
                      <w:color w:val="auto"/>
                      <w:sz w:val="21"/>
                      <w:szCs w:val="21"/>
                      <w:lang w:val="en-US" w:eastAsia="zh-CN"/>
                    </w:rPr>
                    <w:t>5.7</w:t>
                  </w:r>
                </w:p>
              </w:tc>
              <w:tc>
                <w:tcPr>
                  <w:tcW w:w="0" w:type="auto"/>
                  <w:vAlign w:val="center"/>
                </w:tcPr>
                <w:p w14:paraId="78015FF8">
                  <w:pPr>
                    <w:widowControl/>
                    <w:jc w:val="center"/>
                    <w:textAlignment w:val="center"/>
                    <w:rPr>
                      <w:color w:val="auto"/>
                      <w:sz w:val="21"/>
                      <w:szCs w:val="21"/>
                    </w:rPr>
                  </w:pPr>
                  <w:r>
                    <w:rPr>
                      <w:rFonts w:hint="eastAsia"/>
                      <w:color w:val="auto"/>
                      <w:sz w:val="21"/>
                      <w:szCs w:val="21"/>
                      <w:lang w:val="en-US" w:eastAsia="zh-CN"/>
                    </w:rPr>
                    <w:t>7</w:t>
                  </w:r>
                </w:p>
              </w:tc>
              <w:tc>
                <w:tcPr>
                  <w:tcW w:w="0" w:type="auto"/>
                  <w:vAlign w:val="center"/>
                </w:tcPr>
                <w:p w14:paraId="2FAE9141">
                  <w:pPr>
                    <w:widowControl/>
                    <w:jc w:val="center"/>
                    <w:textAlignment w:val="center"/>
                    <w:rPr>
                      <w:color w:val="auto"/>
                      <w:sz w:val="21"/>
                      <w:szCs w:val="21"/>
                    </w:rPr>
                  </w:pPr>
                  <w:r>
                    <w:rPr>
                      <w:rFonts w:hint="eastAsia"/>
                      <w:color w:val="auto"/>
                      <w:sz w:val="21"/>
                      <w:szCs w:val="21"/>
                      <w:lang w:val="en-US" w:eastAsia="zh-CN"/>
                    </w:rPr>
                    <w:t>5.7/</w:t>
                  </w:r>
                </w:p>
              </w:tc>
              <w:tc>
                <w:tcPr>
                  <w:tcW w:w="0" w:type="auto"/>
                  <w:vAlign w:val="center"/>
                </w:tcPr>
                <w:p w14:paraId="634ABB10">
                  <w:pPr>
                    <w:widowControl/>
                    <w:jc w:val="center"/>
                    <w:textAlignment w:val="center"/>
                    <w:rPr>
                      <w:color w:val="auto"/>
                      <w:sz w:val="21"/>
                      <w:szCs w:val="21"/>
                    </w:rPr>
                  </w:pPr>
                  <w:r>
                    <w:rPr>
                      <w:rFonts w:hint="eastAsia"/>
                      <w:color w:val="auto"/>
                      <w:kern w:val="0"/>
                      <w:sz w:val="21"/>
                      <w:szCs w:val="21"/>
                      <w:lang w:val="en-US" w:eastAsia="zh-CN" w:bidi="ar"/>
                    </w:rPr>
                    <w:t>+</w:t>
                  </w:r>
                  <w:r>
                    <w:rPr>
                      <w:rFonts w:hint="eastAsia"/>
                      <w:color w:val="auto"/>
                      <w:sz w:val="21"/>
                      <w:szCs w:val="21"/>
                      <w:lang w:val="en-US" w:eastAsia="zh-CN"/>
                    </w:rPr>
                    <w:t>5.7</w:t>
                  </w:r>
                </w:p>
              </w:tc>
            </w:tr>
            <w:tr w14:paraId="78D730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6220CD16">
                  <w:pPr>
                    <w:rPr>
                      <w:b/>
                      <w:snapToGrid w:val="0"/>
                      <w:color w:val="auto"/>
                      <w:kern w:val="21"/>
                      <w:sz w:val="21"/>
                      <w:szCs w:val="21"/>
                    </w:rPr>
                  </w:pPr>
                </w:p>
              </w:tc>
              <w:tc>
                <w:tcPr>
                  <w:tcW w:w="0" w:type="auto"/>
                  <w:shd w:val="clear" w:color="auto" w:fill="auto"/>
                  <w:vAlign w:val="center"/>
                </w:tcPr>
                <w:p w14:paraId="65F59CD6">
                  <w:pPr>
                    <w:widowControl/>
                    <w:jc w:val="center"/>
                    <w:textAlignment w:val="center"/>
                    <w:rPr>
                      <w:color w:val="auto"/>
                      <w:sz w:val="21"/>
                      <w:szCs w:val="21"/>
                    </w:rPr>
                  </w:pPr>
                  <w:r>
                    <w:rPr>
                      <w:rFonts w:hint="eastAsia" w:ascii="宋体" w:hAnsi="宋体" w:cs="宋体"/>
                      <w:color w:val="auto"/>
                      <w:kern w:val="0"/>
                      <w:sz w:val="21"/>
                      <w:szCs w:val="21"/>
                      <w:lang w:bidi="ar"/>
                    </w:rPr>
                    <w:t>生物质锅炉燃烧灰渣、除尘器除尘渣</w:t>
                  </w:r>
                </w:p>
              </w:tc>
              <w:tc>
                <w:tcPr>
                  <w:tcW w:w="1027" w:type="dxa"/>
                  <w:shd w:val="clear" w:color="auto" w:fill="auto"/>
                  <w:vAlign w:val="center"/>
                </w:tcPr>
                <w:p w14:paraId="0554B2E6">
                  <w:pPr>
                    <w:widowControl/>
                    <w:jc w:val="center"/>
                    <w:textAlignment w:val="center"/>
                    <w:rPr>
                      <w:color w:val="auto"/>
                      <w:sz w:val="21"/>
                      <w:szCs w:val="21"/>
                    </w:rPr>
                  </w:pPr>
                  <w:r>
                    <w:rPr>
                      <w:color w:val="auto"/>
                      <w:kern w:val="0"/>
                      <w:sz w:val="21"/>
                      <w:szCs w:val="21"/>
                      <w:lang w:bidi="ar"/>
                    </w:rPr>
                    <w:t>37.1</w:t>
                  </w:r>
                </w:p>
              </w:tc>
              <w:tc>
                <w:tcPr>
                  <w:tcW w:w="1210" w:type="dxa"/>
                  <w:vAlign w:val="center"/>
                </w:tcPr>
                <w:p w14:paraId="60F23256">
                  <w:pPr>
                    <w:widowControl/>
                    <w:jc w:val="center"/>
                    <w:textAlignment w:val="center"/>
                    <w:rPr>
                      <w:color w:val="auto"/>
                      <w:sz w:val="21"/>
                      <w:szCs w:val="21"/>
                    </w:rPr>
                  </w:pPr>
                  <w:r>
                    <w:rPr>
                      <w:color w:val="auto"/>
                      <w:kern w:val="0"/>
                      <w:sz w:val="21"/>
                      <w:szCs w:val="21"/>
                      <w:lang w:bidi="ar"/>
                    </w:rPr>
                    <w:t>111.089</w:t>
                  </w:r>
                </w:p>
              </w:tc>
              <w:tc>
                <w:tcPr>
                  <w:tcW w:w="0" w:type="auto"/>
                  <w:vAlign w:val="center"/>
                </w:tcPr>
                <w:p w14:paraId="4CE1D81E">
                  <w:pPr>
                    <w:widowControl/>
                    <w:jc w:val="center"/>
                    <w:textAlignment w:val="center"/>
                    <w:rPr>
                      <w:color w:val="auto"/>
                      <w:sz w:val="21"/>
                      <w:szCs w:val="21"/>
                    </w:rPr>
                  </w:pPr>
                  <w:r>
                    <w:rPr>
                      <w:color w:val="auto"/>
                      <w:kern w:val="0"/>
                      <w:sz w:val="21"/>
                      <w:szCs w:val="21"/>
                      <w:lang w:bidi="ar"/>
                    </w:rPr>
                    <w:t>37.1</w:t>
                  </w:r>
                </w:p>
              </w:tc>
              <w:tc>
                <w:tcPr>
                  <w:tcW w:w="0" w:type="auto"/>
                  <w:vAlign w:val="center"/>
                </w:tcPr>
                <w:p w14:paraId="38C4184D">
                  <w:pPr>
                    <w:widowControl/>
                    <w:jc w:val="center"/>
                    <w:textAlignment w:val="center"/>
                    <w:rPr>
                      <w:color w:val="auto"/>
                      <w:sz w:val="21"/>
                      <w:szCs w:val="21"/>
                    </w:rPr>
                  </w:pPr>
                  <w:r>
                    <w:rPr>
                      <w:color w:val="auto"/>
                      <w:kern w:val="0"/>
                      <w:sz w:val="21"/>
                      <w:szCs w:val="21"/>
                      <w:lang w:bidi="ar"/>
                    </w:rPr>
                    <w:t>111.089</w:t>
                  </w:r>
                </w:p>
              </w:tc>
              <w:tc>
                <w:tcPr>
                  <w:tcW w:w="0" w:type="auto"/>
                  <w:vAlign w:val="center"/>
                </w:tcPr>
                <w:p w14:paraId="00F93560">
                  <w:pPr>
                    <w:widowControl/>
                    <w:jc w:val="center"/>
                    <w:textAlignment w:val="center"/>
                    <w:rPr>
                      <w:color w:val="auto"/>
                      <w:sz w:val="21"/>
                      <w:szCs w:val="21"/>
                    </w:rPr>
                  </w:pPr>
                  <w:r>
                    <w:rPr>
                      <w:rFonts w:hint="eastAsia"/>
                      <w:color w:val="auto"/>
                      <w:kern w:val="0"/>
                      <w:sz w:val="21"/>
                      <w:szCs w:val="21"/>
                      <w:lang w:val="en-US" w:eastAsia="zh-CN" w:bidi="ar"/>
                    </w:rPr>
                    <w:t>+</w:t>
                  </w:r>
                  <w:r>
                    <w:rPr>
                      <w:color w:val="auto"/>
                      <w:kern w:val="0"/>
                      <w:sz w:val="21"/>
                      <w:szCs w:val="21"/>
                      <w:lang w:bidi="ar"/>
                    </w:rPr>
                    <w:t>73.989</w:t>
                  </w:r>
                </w:p>
              </w:tc>
            </w:tr>
            <w:tr w14:paraId="7E8BD0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7313DA08">
                  <w:pPr>
                    <w:rPr>
                      <w:b/>
                      <w:snapToGrid w:val="0"/>
                      <w:color w:val="auto"/>
                      <w:kern w:val="21"/>
                      <w:sz w:val="21"/>
                      <w:szCs w:val="21"/>
                    </w:rPr>
                  </w:pPr>
                </w:p>
              </w:tc>
              <w:tc>
                <w:tcPr>
                  <w:tcW w:w="0" w:type="auto"/>
                  <w:shd w:val="clear" w:color="auto" w:fill="auto"/>
                  <w:vAlign w:val="center"/>
                </w:tcPr>
                <w:p w14:paraId="1CB770EC">
                  <w:pPr>
                    <w:widowControl/>
                    <w:jc w:val="center"/>
                    <w:textAlignment w:val="center"/>
                    <w:rPr>
                      <w:rFonts w:hint="eastAsia" w:ascii="宋体" w:hAnsi="宋体" w:cs="宋体"/>
                      <w:color w:val="auto"/>
                      <w:kern w:val="0"/>
                      <w:sz w:val="21"/>
                      <w:szCs w:val="21"/>
                      <w:lang w:bidi="ar"/>
                    </w:rPr>
                  </w:pPr>
                  <w:r>
                    <w:rPr>
                      <w:rFonts w:hint="eastAsia" w:ascii="宋体" w:hAnsi="宋体" w:cs="宋体"/>
                      <w:color w:val="auto"/>
                      <w:kern w:val="0"/>
                      <w:sz w:val="21"/>
                      <w:szCs w:val="21"/>
                      <w:lang w:bidi="ar"/>
                    </w:rPr>
                    <w:t>废离子交换树脂</w:t>
                  </w:r>
                </w:p>
              </w:tc>
              <w:tc>
                <w:tcPr>
                  <w:tcW w:w="1027" w:type="dxa"/>
                  <w:shd w:val="clear" w:color="auto" w:fill="auto"/>
                  <w:vAlign w:val="center"/>
                </w:tcPr>
                <w:p w14:paraId="744B811D">
                  <w:pPr>
                    <w:widowControl/>
                    <w:jc w:val="center"/>
                    <w:textAlignment w:val="center"/>
                    <w:rPr>
                      <w:color w:val="auto"/>
                      <w:kern w:val="0"/>
                      <w:sz w:val="21"/>
                      <w:szCs w:val="21"/>
                      <w:lang w:bidi="ar"/>
                    </w:rPr>
                  </w:pPr>
                  <w:r>
                    <w:rPr>
                      <w:color w:val="auto"/>
                      <w:kern w:val="0"/>
                      <w:sz w:val="21"/>
                      <w:szCs w:val="21"/>
                      <w:lang w:bidi="ar"/>
                    </w:rPr>
                    <w:t>0.15</w:t>
                  </w:r>
                </w:p>
              </w:tc>
              <w:tc>
                <w:tcPr>
                  <w:tcW w:w="1210" w:type="dxa"/>
                  <w:vAlign w:val="center"/>
                </w:tcPr>
                <w:p w14:paraId="239FFCF6">
                  <w:pPr>
                    <w:widowControl/>
                    <w:jc w:val="center"/>
                    <w:textAlignment w:val="center"/>
                    <w:rPr>
                      <w:color w:val="auto"/>
                      <w:kern w:val="0"/>
                      <w:sz w:val="21"/>
                      <w:szCs w:val="21"/>
                      <w:lang w:bidi="ar"/>
                    </w:rPr>
                  </w:pPr>
                  <w:r>
                    <w:rPr>
                      <w:color w:val="auto"/>
                      <w:kern w:val="0"/>
                      <w:sz w:val="21"/>
                      <w:szCs w:val="21"/>
                      <w:lang w:bidi="ar"/>
                    </w:rPr>
                    <w:t>0.3</w:t>
                  </w:r>
                </w:p>
              </w:tc>
              <w:tc>
                <w:tcPr>
                  <w:tcW w:w="0" w:type="auto"/>
                  <w:vAlign w:val="center"/>
                </w:tcPr>
                <w:p w14:paraId="2C8A4054">
                  <w:pPr>
                    <w:widowControl/>
                    <w:jc w:val="center"/>
                    <w:textAlignment w:val="center"/>
                    <w:rPr>
                      <w:color w:val="auto"/>
                      <w:kern w:val="0"/>
                      <w:sz w:val="21"/>
                      <w:szCs w:val="21"/>
                      <w:lang w:bidi="ar"/>
                    </w:rPr>
                  </w:pPr>
                  <w:r>
                    <w:rPr>
                      <w:color w:val="auto"/>
                      <w:kern w:val="0"/>
                      <w:sz w:val="21"/>
                      <w:szCs w:val="21"/>
                      <w:lang w:bidi="ar"/>
                    </w:rPr>
                    <w:t>0.15</w:t>
                  </w:r>
                </w:p>
              </w:tc>
              <w:tc>
                <w:tcPr>
                  <w:tcW w:w="0" w:type="auto"/>
                  <w:vAlign w:val="center"/>
                </w:tcPr>
                <w:p w14:paraId="612D4E45">
                  <w:pPr>
                    <w:widowControl/>
                    <w:jc w:val="center"/>
                    <w:textAlignment w:val="center"/>
                    <w:rPr>
                      <w:color w:val="auto"/>
                      <w:kern w:val="0"/>
                      <w:sz w:val="21"/>
                      <w:szCs w:val="21"/>
                      <w:lang w:bidi="ar"/>
                    </w:rPr>
                  </w:pPr>
                  <w:r>
                    <w:rPr>
                      <w:color w:val="auto"/>
                      <w:kern w:val="0"/>
                      <w:sz w:val="21"/>
                      <w:szCs w:val="21"/>
                      <w:lang w:bidi="ar"/>
                    </w:rPr>
                    <w:t>0.3</w:t>
                  </w:r>
                </w:p>
              </w:tc>
              <w:tc>
                <w:tcPr>
                  <w:tcW w:w="0" w:type="auto"/>
                  <w:vAlign w:val="center"/>
                </w:tcPr>
                <w:p w14:paraId="2C0CB5C8">
                  <w:pPr>
                    <w:widowControl/>
                    <w:jc w:val="center"/>
                    <w:textAlignment w:val="center"/>
                    <w:rPr>
                      <w:color w:val="auto"/>
                      <w:kern w:val="0"/>
                      <w:sz w:val="21"/>
                      <w:szCs w:val="21"/>
                      <w:lang w:bidi="ar"/>
                    </w:rPr>
                  </w:pPr>
                  <w:r>
                    <w:rPr>
                      <w:rFonts w:hint="eastAsia"/>
                      <w:color w:val="auto"/>
                      <w:kern w:val="0"/>
                      <w:sz w:val="21"/>
                      <w:szCs w:val="21"/>
                      <w:lang w:val="en-US" w:eastAsia="zh-CN" w:bidi="ar"/>
                    </w:rPr>
                    <w:t>+</w:t>
                  </w:r>
                  <w:r>
                    <w:rPr>
                      <w:color w:val="auto"/>
                      <w:kern w:val="0"/>
                      <w:sz w:val="21"/>
                      <w:szCs w:val="21"/>
                      <w:lang w:bidi="ar"/>
                    </w:rPr>
                    <w:t>0.15</w:t>
                  </w:r>
                </w:p>
              </w:tc>
            </w:tr>
            <w:tr w14:paraId="218D20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4EC0B8BB">
                  <w:pPr>
                    <w:rPr>
                      <w:b/>
                      <w:snapToGrid w:val="0"/>
                      <w:color w:val="auto"/>
                      <w:kern w:val="21"/>
                      <w:sz w:val="21"/>
                      <w:szCs w:val="21"/>
                    </w:rPr>
                  </w:pPr>
                </w:p>
              </w:tc>
              <w:tc>
                <w:tcPr>
                  <w:tcW w:w="0" w:type="auto"/>
                  <w:shd w:val="clear" w:color="auto" w:fill="auto"/>
                  <w:vAlign w:val="center"/>
                </w:tcPr>
                <w:p w14:paraId="5647A45D">
                  <w:pPr>
                    <w:widowControl/>
                    <w:jc w:val="center"/>
                    <w:textAlignment w:val="center"/>
                    <w:rPr>
                      <w:rFonts w:hint="eastAsia" w:ascii="宋体" w:hAnsi="宋体" w:eastAsia="宋体" w:cs="宋体"/>
                      <w:color w:val="auto"/>
                      <w:kern w:val="0"/>
                      <w:sz w:val="21"/>
                      <w:szCs w:val="21"/>
                      <w:lang w:eastAsia="zh-CN" w:bidi="ar"/>
                    </w:rPr>
                  </w:pPr>
                  <w:r>
                    <w:rPr>
                      <w:rFonts w:hint="eastAsia" w:ascii="宋体" w:hAnsi="宋体" w:cs="宋体"/>
                      <w:color w:val="auto"/>
                      <w:kern w:val="0"/>
                      <w:sz w:val="21"/>
                      <w:szCs w:val="21"/>
                      <w:lang w:eastAsia="zh-CN" w:bidi="ar"/>
                    </w:rPr>
                    <w:t>纤维尘</w:t>
                  </w:r>
                </w:p>
              </w:tc>
              <w:tc>
                <w:tcPr>
                  <w:tcW w:w="1027" w:type="dxa"/>
                  <w:shd w:val="clear" w:color="auto" w:fill="auto"/>
                  <w:vAlign w:val="center"/>
                </w:tcPr>
                <w:p w14:paraId="35BA16CC">
                  <w:pPr>
                    <w:widowControl/>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0</w:t>
                  </w:r>
                </w:p>
              </w:tc>
              <w:tc>
                <w:tcPr>
                  <w:tcW w:w="1210" w:type="dxa"/>
                  <w:vAlign w:val="center"/>
                </w:tcPr>
                <w:p w14:paraId="481E2B51">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0.067</w:t>
                  </w:r>
                </w:p>
              </w:tc>
              <w:tc>
                <w:tcPr>
                  <w:tcW w:w="0" w:type="auto"/>
                  <w:vAlign w:val="center"/>
                </w:tcPr>
                <w:p w14:paraId="10ADD2A5">
                  <w:pPr>
                    <w:widowControl/>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0</w:t>
                  </w:r>
                </w:p>
              </w:tc>
              <w:tc>
                <w:tcPr>
                  <w:tcW w:w="0" w:type="auto"/>
                  <w:vAlign w:val="center"/>
                </w:tcPr>
                <w:p w14:paraId="22376180">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0.067</w:t>
                  </w:r>
                </w:p>
              </w:tc>
              <w:tc>
                <w:tcPr>
                  <w:tcW w:w="0" w:type="auto"/>
                  <w:vAlign w:val="center"/>
                </w:tcPr>
                <w:p w14:paraId="27C7341B">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+0.067</w:t>
                  </w:r>
                </w:p>
              </w:tc>
            </w:tr>
            <w:tr w14:paraId="7CDBF79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restart"/>
                  <w:vAlign w:val="center"/>
                </w:tcPr>
                <w:p w14:paraId="57DB4146">
                  <w:pPr>
                    <w:rPr>
                      <w:rFonts w:hint="eastAsia" w:eastAsia="宋体"/>
                      <w:b/>
                      <w:snapToGrid w:val="0"/>
                      <w:color w:val="auto"/>
                      <w:kern w:val="21"/>
                      <w:sz w:val="21"/>
                      <w:szCs w:val="21"/>
                      <w:lang w:eastAsia="zh-CN"/>
                    </w:rPr>
                  </w:pPr>
                  <w:r>
                    <w:rPr>
                      <w:rFonts w:hint="eastAsia"/>
                      <w:b/>
                      <w:snapToGrid w:val="0"/>
                      <w:color w:val="auto"/>
                      <w:kern w:val="21"/>
                      <w:sz w:val="21"/>
                      <w:szCs w:val="21"/>
                      <w:lang w:eastAsia="zh-CN"/>
                    </w:rPr>
                    <w:t>危险废物</w:t>
                  </w:r>
                </w:p>
              </w:tc>
              <w:tc>
                <w:tcPr>
                  <w:tcW w:w="0" w:type="auto"/>
                  <w:shd w:val="clear" w:color="auto" w:fill="auto"/>
                  <w:vAlign w:val="center"/>
                </w:tcPr>
                <w:p w14:paraId="1D2CE21E">
                  <w:pPr>
                    <w:widowControl/>
                    <w:jc w:val="center"/>
                    <w:textAlignment w:val="center"/>
                    <w:rPr>
                      <w:rFonts w:hint="eastAsia" w:ascii="宋体" w:hAnsi="宋体" w:cs="宋体"/>
                      <w:color w:val="auto"/>
                      <w:kern w:val="0"/>
                      <w:sz w:val="21"/>
                      <w:szCs w:val="21"/>
                      <w:lang w:eastAsia="zh-CN" w:bidi="ar"/>
                    </w:rPr>
                  </w:pPr>
                  <w:r>
                    <w:rPr>
                      <w:rFonts w:hint="eastAsia" w:ascii="宋体" w:hAnsi="宋体" w:cs="宋体"/>
                      <w:color w:val="auto"/>
                      <w:kern w:val="0"/>
                      <w:sz w:val="21"/>
                      <w:szCs w:val="21"/>
                      <w:lang w:eastAsia="zh-CN" w:bidi="ar"/>
                    </w:rPr>
                    <w:t>医疗布草分拣废物</w:t>
                  </w:r>
                </w:p>
              </w:tc>
              <w:tc>
                <w:tcPr>
                  <w:tcW w:w="1027" w:type="dxa"/>
                  <w:shd w:val="clear" w:color="auto" w:fill="auto"/>
                  <w:vAlign w:val="center"/>
                </w:tcPr>
                <w:p w14:paraId="5756040F">
                  <w:pPr>
                    <w:widowControl/>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0</w:t>
                  </w:r>
                </w:p>
              </w:tc>
              <w:tc>
                <w:tcPr>
                  <w:tcW w:w="1210" w:type="dxa"/>
                  <w:vAlign w:val="center"/>
                </w:tcPr>
                <w:p w14:paraId="6F6861B3">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0.2</w:t>
                  </w:r>
                </w:p>
              </w:tc>
              <w:tc>
                <w:tcPr>
                  <w:tcW w:w="0" w:type="auto"/>
                  <w:vAlign w:val="center"/>
                </w:tcPr>
                <w:p w14:paraId="26513898">
                  <w:pPr>
                    <w:widowControl/>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0</w:t>
                  </w:r>
                </w:p>
              </w:tc>
              <w:tc>
                <w:tcPr>
                  <w:tcW w:w="0" w:type="auto"/>
                  <w:vAlign w:val="center"/>
                </w:tcPr>
                <w:p w14:paraId="097CDB18">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0.2</w:t>
                  </w:r>
                </w:p>
              </w:tc>
              <w:tc>
                <w:tcPr>
                  <w:tcW w:w="0" w:type="auto"/>
                  <w:vAlign w:val="center"/>
                </w:tcPr>
                <w:p w14:paraId="0196C732">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+0.2</w:t>
                  </w:r>
                </w:p>
              </w:tc>
            </w:tr>
            <w:tr w14:paraId="1B0236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vMerge w:val="continue"/>
                  <w:vAlign w:val="center"/>
                </w:tcPr>
                <w:p w14:paraId="701E54DF">
                  <w:pPr>
                    <w:rPr>
                      <w:rFonts w:hint="eastAsia"/>
                      <w:b/>
                      <w:snapToGrid w:val="0"/>
                      <w:color w:val="auto"/>
                      <w:kern w:val="21"/>
                      <w:sz w:val="21"/>
                      <w:szCs w:val="21"/>
                      <w:lang w:eastAsia="zh-CN"/>
                    </w:rPr>
                  </w:pPr>
                </w:p>
              </w:tc>
              <w:tc>
                <w:tcPr>
                  <w:tcW w:w="0" w:type="auto"/>
                  <w:shd w:val="clear" w:color="auto" w:fill="auto"/>
                  <w:vAlign w:val="center"/>
                </w:tcPr>
                <w:p w14:paraId="0EE08526">
                  <w:pPr>
                    <w:widowControl/>
                    <w:jc w:val="center"/>
                    <w:textAlignment w:val="center"/>
                    <w:rPr>
                      <w:rFonts w:hint="eastAsia" w:ascii="宋体" w:hAnsi="宋体" w:eastAsia="宋体" w:cs="宋体"/>
                      <w:color w:val="auto"/>
                      <w:kern w:val="0"/>
                      <w:sz w:val="21"/>
                      <w:szCs w:val="21"/>
                      <w:lang w:val="en-US" w:eastAsia="zh-CN" w:bidi="ar"/>
                    </w:rPr>
                  </w:pPr>
                  <w:r>
                    <w:rPr>
                      <w:rFonts w:hint="eastAsia" w:ascii="宋体" w:hAnsi="宋体" w:cs="宋体"/>
                      <w:color w:val="auto"/>
                      <w:kern w:val="0"/>
                      <w:sz w:val="21"/>
                      <w:szCs w:val="21"/>
                      <w:lang w:eastAsia="zh-CN" w:bidi="ar"/>
                    </w:rPr>
                    <w:t>废水站污泥</w:t>
                  </w:r>
                </w:p>
              </w:tc>
              <w:tc>
                <w:tcPr>
                  <w:tcW w:w="1027" w:type="dxa"/>
                  <w:shd w:val="clear" w:color="auto" w:fill="auto"/>
                  <w:vAlign w:val="center"/>
                </w:tcPr>
                <w:p w14:paraId="4E3D2480">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0</w:t>
                  </w:r>
                </w:p>
              </w:tc>
              <w:tc>
                <w:tcPr>
                  <w:tcW w:w="1210" w:type="dxa"/>
                  <w:shd w:val="clear" w:color="auto" w:fill="auto"/>
                  <w:vAlign w:val="center"/>
                </w:tcPr>
                <w:p w14:paraId="0D8850FA">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eastAsia" w:eastAsia="宋体"/>
                      <w:color w:val="auto"/>
                      <w:kern w:val="0"/>
                      <w:sz w:val="21"/>
                      <w:szCs w:val="21"/>
                      <w:lang w:val="en-US" w:eastAsia="zh-CN" w:bidi="ar"/>
                    </w:rPr>
                    <w:t>10.93</w:t>
                  </w:r>
                </w:p>
              </w:tc>
              <w:tc>
                <w:tcPr>
                  <w:tcW w:w="0" w:type="auto"/>
                  <w:shd w:val="clear" w:color="auto" w:fill="auto"/>
                  <w:vAlign w:val="center"/>
                </w:tcPr>
                <w:p w14:paraId="7C7F76E3">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w:t>
                  </w:r>
                </w:p>
              </w:tc>
              <w:tc>
                <w:tcPr>
                  <w:tcW w:w="0" w:type="auto"/>
                  <w:shd w:val="clear" w:color="auto" w:fill="auto"/>
                  <w:vAlign w:val="center"/>
                </w:tcPr>
                <w:p w14:paraId="1235732E">
                  <w:pPr>
                    <w:widowControl/>
                    <w:jc w:val="center"/>
                    <w:textAlignment w:val="center"/>
                    <w:rPr>
                      <w:rFonts w:ascii="Times New Roman" w:hAnsi="Times New Roman" w:eastAsia="宋体" w:cs="Times New Roman"/>
                      <w:color w:val="auto"/>
                      <w:kern w:val="0"/>
                      <w:sz w:val="21"/>
                      <w:szCs w:val="21"/>
                      <w:lang w:val="en-US" w:eastAsia="zh-CN" w:bidi="ar"/>
                    </w:rPr>
                  </w:pPr>
                  <w:r>
                    <w:rPr>
                      <w:rFonts w:hint="eastAsia" w:eastAsia="宋体"/>
                      <w:color w:val="auto"/>
                      <w:kern w:val="0"/>
                      <w:sz w:val="21"/>
                      <w:szCs w:val="21"/>
                      <w:lang w:val="en-US" w:eastAsia="zh-CN" w:bidi="ar"/>
                    </w:rPr>
                    <w:t>10.93</w:t>
                  </w:r>
                </w:p>
              </w:tc>
              <w:tc>
                <w:tcPr>
                  <w:tcW w:w="0" w:type="auto"/>
                  <w:shd w:val="clear" w:color="auto" w:fill="auto"/>
                  <w:vAlign w:val="center"/>
                </w:tcPr>
                <w:p w14:paraId="5852B44C">
                  <w:pPr>
                    <w:widowControl/>
                    <w:jc w:val="center"/>
                    <w:textAlignment w:val="center"/>
                    <w:rPr>
                      <w:rFonts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w:t>
                  </w:r>
                  <w:r>
                    <w:rPr>
                      <w:rFonts w:hint="eastAsia" w:eastAsia="宋体"/>
                      <w:color w:val="auto"/>
                      <w:kern w:val="0"/>
                      <w:sz w:val="21"/>
                      <w:szCs w:val="21"/>
                      <w:lang w:val="en-US" w:eastAsia="zh-CN" w:bidi="ar"/>
                    </w:rPr>
                    <w:t>10.93</w:t>
                  </w:r>
                </w:p>
              </w:tc>
            </w:tr>
          </w:tbl>
          <w:p w14:paraId="7E617165">
            <w:pPr>
              <w:pStyle w:val="41"/>
            </w:pPr>
          </w:p>
        </w:tc>
      </w:tr>
    </w:tbl>
    <w:p w14:paraId="558CE5E3">
      <w:pPr>
        <w:pStyle w:val="41"/>
        <w:sectPr>
          <w:pgSz w:w="11907" w:h="16840"/>
          <w:pgMar w:top="1701" w:right="1531" w:bottom="2126" w:left="1531" w:header="851" w:footer="851" w:gutter="0"/>
          <w:cols w:space="720" w:num="1"/>
          <w:docGrid w:linePitch="312" w:charSpace="0"/>
        </w:sectPr>
      </w:pPr>
    </w:p>
    <w:p w14:paraId="64F6A5E8">
      <w:pPr>
        <w:pStyle w:val="2"/>
        <w:rPr>
          <w:color w:val="auto"/>
        </w:rPr>
      </w:pPr>
      <w:bookmarkStart w:id="20" w:name="_Toc10145"/>
      <w:r>
        <w:rPr>
          <w:rFonts w:hint="eastAsia"/>
          <w:color w:val="auto"/>
        </w:rPr>
        <w:t>五、</w:t>
      </w:r>
      <w:bookmarkStart w:id="21" w:name="_Hlk54167917"/>
      <w:r>
        <w:rPr>
          <w:rFonts w:hint="eastAsia"/>
          <w:color w:val="auto"/>
        </w:rPr>
        <w:t>环境保护措施监督检查清单</w:t>
      </w:r>
      <w:bookmarkEnd w:id="20"/>
      <w:bookmarkEnd w:id="21"/>
    </w:p>
    <w:tbl>
      <w:tblPr>
        <w:tblStyle w:val="20"/>
        <w:tblW w:w="1020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786"/>
        <w:gridCol w:w="596"/>
        <w:gridCol w:w="1440"/>
        <w:gridCol w:w="1565"/>
        <w:gridCol w:w="1789"/>
        <w:gridCol w:w="3030"/>
      </w:tblGrid>
      <w:tr w14:paraId="701E88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tcBorders>
              <w:tl2br w:val="single" w:color="auto" w:sz="12" w:space="0"/>
            </w:tcBorders>
          </w:tcPr>
          <w:p w14:paraId="65479A22">
            <w:pPr>
              <w:adjustRightInd w:val="0"/>
              <w:snapToGrid w:val="0"/>
              <w:ind w:firstLine="840"/>
              <w:rPr>
                <w:b/>
                <w:szCs w:val="21"/>
              </w:rPr>
            </w:pPr>
            <w:r>
              <w:rPr>
                <w:b/>
                <w:szCs w:val="21"/>
              </w:rPr>
              <w:t>内容</w:t>
            </w:r>
          </w:p>
          <w:p w14:paraId="06F0F6ED">
            <w:pPr>
              <w:adjustRightInd w:val="0"/>
              <w:snapToGrid w:val="0"/>
              <w:rPr>
                <w:b/>
                <w:szCs w:val="21"/>
              </w:rPr>
            </w:pPr>
            <w:r>
              <w:rPr>
                <w:b/>
                <w:szCs w:val="21"/>
              </w:rPr>
              <w:t>要素</w:t>
            </w:r>
          </w:p>
        </w:tc>
        <w:tc>
          <w:tcPr>
            <w:tcW w:w="2036" w:type="dxa"/>
            <w:gridSpan w:val="2"/>
            <w:vAlign w:val="center"/>
          </w:tcPr>
          <w:p w14:paraId="653D9D24">
            <w:pPr>
              <w:adjustRightInd w:val="0"/>
              <w:snapToGrid w:val="0"/>
              <w:jc w:val="center"/>
              <w:rPr>
                <w:b/>
                <w:szCs w:val="21"/>
              </w:rPr>
            </w:pPr>
            <w:r>
              <w:rPr>
                <w:b/>
                <w:szCs w:val="21"/>
              </w:rPr>
              <w:t>排放口（编号、名称）/污染源</w:t>
            </w:r>
          </w:p>
        </w:tc>
        <w:tc>
          <w:tcPr>
            <w:tcW w:w="1565" w:type="dxa"/>
            <w:vAlign w:val="center"/>
          </w:tcPr>
          <w:p w14:paraId="07C24D04">
            <w:pPr>
              <w:adjustRightInd w:val="0"/>
              <w:snapToGrid w:val="0"/>
              <w:jc w:val="center"/>
              <w:rPr>
                <w:b/>
                <w:szCs w:val="21"/>
              </w:rPr>
            </w:pPr>
            <w:r>
              <w:rPr>
                <w:b/>
                <w:szCs w:val="21"/>
              </w:rPr>
              <w:t>污染物项目</w:t>
            </w:r>
          </w:p>
        </w:tc>
        <w:tc>
          <w:tcPr>
            <w:tcW w:w="1789" w:type="dxa"/>
            <w:vAlign w:val="center"/>
          </w:tcPr>
          <w:p w14:paraId="44114B40">
            <w:pPr>
              <w:adjustRightInd w:val="0"/>
              <w:snapToGrid w:val="0"/>
              <w:jc w:val="center"/>
              <w:rPr>
                <w:b/>
                <w:szCs w:val="21"/>
              </w:rPr>
            </w:pPr>
            <w:r>
              <w:rPr>
                <w:b/>
                <w:szCs w:val="21"/>
              </w:rPr>
              <w:t>环境保护措施</w:t>
            </w:r>
          </w:p>
        </w:tc>
        <w:tc>
          <w:tcPr>
            <w:tcW w:w="3030" w:type="dxa"/>
            <w:vAlign w:val="center"/>
          </w:tcPr>
          <w:p w14:paraId="6680A3F3">
            <w:pPr>
              <w:adjustRightInd w:val="0"/>
              <w:snapToGrid w:val="0"/>
              <w:jc w:val="center"/>
              <w:rPr>
                <w:b/>
                <w:szCs w:val="21"/>
              </w:rPr>
            </w:pPr>
            <w:r>
              <w:rPr>
                <w:b/>
                <w:szCs w:val="21"/>
              </w:rPr>
              <w:t>执行标准</w:t>
            </w:r>
          </w:p>
        </w:tc>
      </w:tr>
      <w:tr w14:paraId="3BC45E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restart"/>
            <w:vAlign w:val="center"/>
          </w:tcPr>
          <w:p w14:paraId="5E79C7A5">
            <w:pPr>
              <w:adjustRightInd w:val="0"/>
              <w:snapToGrid w:val="0"/>
              <w:jc w:val="center"/>
              <w:rPr>
                <w:b/>
                <w:szCs w:val="21"/>
              </w:rPr>
            </w:pPr>
            <w:r>
              <w:rPr>
                <w:b/>
                <w:szCs w:val="21"/>
              </w:rPr>
              <w:t>大气环境</w:t>
            </w:r>
          </w:p>
        </w:tc>
        <w:tc>
          <w:tcPr>
            <w:tcW w:w="2036" w:type="dxa"/>
            <w:gridSpan w:val="2"/>
            <w:vAlign w:val="center"/>
          </w:tcPr>
          <w:p w14:paraId="00ECE348">
            <w:pPr>
              <w:adjustRightInd w:val="0"/>
              <w:snapToGrid w:val="0"/>
              <w:jc w:val="center"/>
              <w:rPr>
                <w:szCs w:val="21"/>
              </w:rPr>
            </w:pPr>
            <w:r>
              <w:rPr>
                <w:rFonts w:hint="eastAsia"/>
                <w:szCs w:val="21"/>
              </w:rPr>
              <w:t>DA001（锅炉废气排放口）</w:t>
            </w:r>
          </w:p>
        </w:tc>
        <w:tc>
          <w:tcPr>
            <w:tcW w:w="1565" w:type="dxa"/>
            <w:vAlign w:val="center"/>
          </w:tcPr>
          <w:p w14:paraId="1AD7E892">
            <w:pPr>
              <w:adjustRightInd w:val="0"/>
              <w:snapToGrid w:val="0"/>
              <w:jc w:val="center"/>
              <w:rPr>
                <w:szCs w:val="21"/>
              </w:rPr>
            </w:pPr>
            <w:r>
              <w:rPr>
                <w:rFonts w:hint="eastAsia"/>
                <w:szCs w:val="21"/>
              </w:rPr>
              <w:t>烟尘、SO</w:t>
            </w:r>
            <w:r>
              <w:rPr>
                <w:rFonts w:hint="eastAsia"/>
                <w:szCs w:val="21"/>
                <w:vertAlign w:val="subscript"/>
              </w:rPr>
              <w:t>2</w:t>
            </w:r>
            <w:r>
              <w:rPr>
                <w:rFonts w:hint="eastAsia"/>
                <w:szCs w:val="21"/>
              </w:rPr>
              <w:t>、NO</w:t>
            </w:r>
            <w:r>
              <w:rPr>
                <w:rFonts w:hint="eastAsia"/>
                <w:szCs w:val="21"/>
                <w:vertAlign w:val="subscript"/>
              </w:rPr>
              <w:t>X</w:t>
            </w:r>
          </w:p>
        </w:tc>
        <w:tc>
          <w:tcPr>
            <w:tcW w:w="1789" w:type="dxa"/>
            <w:vAlign w:val="center"/>
          </w:tcPr>
          <w:p w14:paraId="6801F158">
            <w:pPr>
              <w:adjustRightInd w:val="0"/>
              <w:snapToGrid w:val="0"/>
              <w:jc w:val="center"/>
              <w:rPr>
                <w:szCs w:val="21"/>
              </w:rPr>
            </w:pPr>
            <w:r>
              <w:rPr>
                <w:rFonts w:hint="eastAsia" w:ascii="Calibri" w:hAnsi="Calibri"/>
                <w:szCs w:val="21"/>
              </w:rPr>
              <w:t>项目锅炉烟气采用布袋除尘</w:t>
            </w:r>
            <w:r>
              <w:rPr>
                <w:rFonts w:hint="eastAsia" w:ascii="Calibri" w:hAnsi="Calibri"/>
                <w:szCs w:val="21"/>
                <w:lang w:eastAsia="zh-CN"/>
              </w:rPr>
              <w:t>+35m</w:t>
            </w:r>
            <w:r>
              <w:rPr>
                <w:rFonts w:hint="eastAsia" w:ascii="Calibri" w:hAnsi="Calibri"/>
                <w:szCs w:val="21"/>
              </w:rPr>
              <w:t>高空排放</w:t>
            </w:r>
          </w:p>
        </w:tc>
        <w:tc>
          <w:tcPr>
            <w:tcW w:w="3030" w:type="dxa"/>
            <w:vAlign w:val="center"/>
          </w:tcPr>
          <w:p w14:paraId="2D94AD2D">
            <w:pPr>
              <w:adjustRightInd w:val="0"/>
              <w:snapToGrid w:val="0"/>
              <w:jc w:val="center"/>
              <w:rPr>
                <w:bCs/>
                <w:spacing w:val="-10"/>
                <w:szCs w:val="21"/>
              </w:rPr>
            </w:pPr>
            <w:r>
              <w:rPr>
                <w:rFonts w:hint="eastAsia"/>
                <w:bCs/>
                <w:spacing w:val="-10"/>
                <w:szCs w:val="21"/>
              </w:rPr>
              <w:t>《锅炉大气污染物排放标准》（GB13271-2014）表2中燃煤锅炉标准</w:t>
            </w:r>
          </w:p>
        </w:tc>
      </w:tr>
      <w:tr w14:paraId="797D60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continue"/>
            <w:vAlign w:val="center"/>
          </w:tcPr>
          <w:p w14:paraId="5177774E">
            <w:pPr>
              <w:adjustRightInd w:val="0"/>
              <w:snapToGrid w:val="0"/>
              <w:jc w:val="center"/>
              <w:rPr>
                <w:b/>
                <w:szCs w:val="21"/>
              </w:rPr>
            </w:pPr>
          </w:p>
        </w:tc>
        <w:tc>
          <w:tcPr>
            <w:tcW w:w="596" w:type="dxa"/>
            <w:vMerge w:val="restart"/>
            <w:vAlign w:val="center"/>
          </w:tcPr>
          <w:p w14:paraId="31DB353A">
            <w:pPr>
              <w:adjustRightInd w:val="0"/>
              <w:snapToGrid w:val="0"/>
              <w:jc w:val="center"/>
              <w:rPr>
                <w:szCs w:val="21"/>
              </w:rPr>
            </w:pPr>
            <w:r>
              <w:rPr>
                <w:szCs w:val="21"/>
              </w:rPr>
              <w:t>无组织</w:t>
            </w:r>
          </w:p>
        </w:tc>
        <w:tc>
          <w:tcPr>
            <w:tcW w:w="1440" w:type="dxa"/>
            <w:vAlign w:val="center"/>
          </w:tcPr>
          <w:p w14:paraId="4195AE3D">
            <w:pPr>
              <w:adjustRightInd w:val="0"/>
              <w:snapToGrid w:val="0"/>
              <w:jc w:val="center"/>
              <w:rPr>
                <w:szCs w:val="21"/>
              </w:rPr>
            </w:pPr>
            <w:r>
              <w:rPr>
                <w:rFonts w:hint="eastAsia"/>
                <w:szCs w:val="21"/>
              </w:rPr>
              <w:t>废水站恶臭</w:t>
            </w:r>
          </w:p>
        </w:tc>
        <w:tc>
          <w:tcPr>
            <w:tcW w:w="1565" w:type="dxa"/>
            <w:vAlign w:val="center"/>
          </w:tcPr>
          <w:p w14:paraId="264A2E88">
            <w:pPr>
              <w:adjustRightInd w:val="0"/>
              <w:snapToGrid w:val="0"/>
              <w:jc w:val="center"/>
              <w:rPr>
                <w:bCs/>
                <w:spacing w:val="-10"/>
                <w:szCs w:val="21"/>
              </w:rPr>
            </w:pPr>
            <w:r>
              <w:rPr>
                <w:rFonts w:hint="eastAsia"/>
                <w:bCs/>
                <w:spacing w:val="-10"/>
                <w:szCs w:val="21"/>
              </w:rPr>
              <w:t>NH</w:t>
            </w:r>
            <w:r>
              <w:rPr>
                <w:rFonts w:hint="eastAsia"/>
                <w:bCs/>
                <w:spacing w:val="-10"/>
                <w:szCs w:val="21"/>
                <w:vertAlign w:val="subscript"/>
              </w:rPr>
              <w:t>3</w:t>
            </w:r>
            <w:r>
              <w:rPr>
                <w:rFonts w:hint="eastAsia"/>
                <w:bCs/>
                <w:spacing w:val="-10"/>
                <w:szCs w:val="21"/>
              </w:rPr>
              <w:t>、H</w:t>
            </w:r>
            <w:r>
              <w:rPr>
                <w:rFonts w:hint="eastAsia"/>
                <w:bCs/>
                <w:spacing w:val="-10"/>
                <w:szCs w:val="21"/>
                <w:vertAlign w:val="subscript"/>
              </w:rPr>
              <w:t>2</w:t>
            </w:r>
            <w:r>
              <w:rPr>
                <w:rFonts w:hint="eastAsia"/>
                <w:bCs/>
                <w:spacing w:val="-10"/>
                <w:szCs w:val="21"/>
              </w:rPr>
              <w:t>S、臭气浓度</w:t>
            </w:r>
          </w:p>
        </w:tc>
        <w:tc>
          <w:tcPr>
            <w:tcW w:w="1789" w:type="dxa"/>
            <w:vAlign w:val="center"/>
          </w:tcPr>
          <w:p w14:paraId="06E7DF1E">
            <w:pPr>
              <w:adjustRightInd w:val="0"/>
              <w:snapToGrid w:val="0"/>
              <w:jc w:val="center"/>
              <w:rPr>
                <w:szCs w:val="21"/>
              </w:rPr>
            </w:pPr>
            <w:r>
              <w:rPr>
                <w:rFonts w:hint="eastAsia" w:ascii="Calibri" w:hAnsi="Calibri"/>
                <w:szCs w:val="21"/>
              </w:rPr>
              <w:t>项目废水处理站恶臭气体通过采取污水处理设施恶臭经加盖密封，周边设置绿化带处理等措施，无组织排放。</w:t>
            </w:r>
          </w:p>
        </w:tc>
        <w:tc>
          <w:tcPr>
            <w:tcW w:w="3030" w:type="dxa"/>
            <w:vAlign w:val="center"/>
          </w:tcPr>
          <w:p w14:paraId="08672EDC">
            <w:pPr>
              <w:adjustRightInd w:val="0"/>
              <w:snapToGrid w:val="0"/>
              <w:jc w:val="center"/>
              <w:rPr>
                <w:bCs/>
                <w:spacing w:val="-10"/>
                <w:szCs w:val="21"/>
              </w:rPr>
            </w:pPr>
            <w:r>
              <w:rPr>
                <w:rFonts w:hint="eastAsia"/>
                <w:bCs/>
                <w:spacing w:val="-10"/>
                <w:szCs w:val="21"/>
              </w:rPr>
              <w:t>《恶臭污染物排放标准》（GB14554-93）表1新改扩建项目恶臭污染物二级标准浓度限值</w:t>
            </w:r>
          </w:p>
        </w:tc>
      </w:tr>
      <w:tr w14:paraId="62CDD1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continue"/>
            <w:vAlign w:val="center"/>
          </w:tcPr>
          <w:p w14:paraId="59F758C3">
            <w:pPr>
              <w:adjustRightInd w:val="0"/>
              <w:snapToGrid w:val="0"/>
              <w:jc w:val="center"/>
              <w:rPr>
                <w:b/>
                <w:szCs w:val="21"/>
              </w:rPr>
            </w:pPr>
          </w:p>
        </w:tc>
        <w:tc>
          <w:tcPr>
            <w:tcW w:w="596" w:type="dxa"/>
            <w:vMerge w:val="continue"/>
            <w:vAlign w:val="center"/>
          </w:tcPr>
          <w:p w14:paraId="011504FD">
            <w:pPr>
              <w:adjustRightInd w:val="0"/>
              <w:snapToGrid w:val="0"/>
              <w:jc w:val="center"/>
              <w:rPr>
                <w:szCs w:val="21"/>
              </w:rPr>
            </w:pPr>
          </w:p>
        </w:tc>
        <w:tc>
          <w:tcPr>
            <w:tcW w:w="1440" w:type="dxa"/>
            <w:vAlign w:val="center"/>
          </w:tcPr>
          <w:p w14:paraId="1E6D10B7">
            <w:pPr>
              <w:adjustRightInd w:val="0"/>
              <w:snapToGrid w:val="0"/>
              <w:jc w:val="center"/>
              <w:rPr>
                <w:szCs w:val="21"/>
              </w:rPr>
            </w:pPr>
            <w:r>
              <w:rPr>
                <w:rFonts w:hint="eastAsia"/>
                <w:szCs w:val="21"/>
              </w:rPr>
              <w:t>食堂油烟废气</w:t>
            </w:r>
          </w:p>
        </w:tc>
        <w:tc>
          <w:tcPr>
            <w:tcW w:w="1565" w:type="dxa"/>
            <w:vAlign w:val="center"/>
          </w:tcPr>
          <w:p w14:paraId="5926F5CD">
            <w:pPr>
              <w:adjustRightInd w:val="0"/>
              <w:snapToGrid w:val="0"/>
              <w:jc w:val="center"/>
              <w:rPr>
                <w:bCs/>
                <w:spacing w:val="-10"/>
                <w:szCs w:val="21"/>
              </w:rPr>
            </w:pPr>
            <w:r>
              <w:rPr>
                <w:rFonts w:hint="eastAsia"/>
                <w:bCs/>
                <w:spacing w:val="-10"/>
                <w:szCs w:val="21"/>
              </w:rPr>
              <w:t>油烟</w:t>
            </w:r>
          </w:p>
        </w:tc>
        <w:tc>
          <w:tcPr>
            <w:tcW w:w="1789" w:type="dxa"/>
            <w:vAlign w:val="center"/>
          </w:tcPr>
          <w:p w14:paraId="46B09D17">
            <w:pPr>
              <w:adjustRightInd w:val="0"/>
              <w:snapToGrid w:val="0"/>
              <w:jc w:val="center"/>
              <w:rPr>
                <w:szCs w:val="21"/>
              </w:rPr>
            </w:pPr>
            <w:r>
              <w:rPr>
                <w:rFonts w:hint="eastAsia" w:ascii="Calibri" w:hAnsi="Calibri"/>
                <w:szCs w:val="21"/>
              </w:rPr>
              <w:t>项目食堂油烟设油烟净化器处理后引楼顶排放。</w:t>
            </w:r>
          </w:p>
        </w:tc>
        <w:tc>
          <w:tcPr>
            <w:tcW w:w="3030" w:type="dxa"/>
            <w:vAlign w:val="center"/>
          </w:tcPr>
          <w:p w14:paraId="008754D3">
            <w:pPr>
              <w:adjustRightInd w:val="0"/>
              <w:snapToGrid w:val="0"/>
              <w:jc w:val="center"/>
              <w:rPr>
                <w:bCs/>
                <w:spacing w:val="-10"/>
                <w:szCs w:val="21"/>
              </w:rPr>
            </w:pPr>
            <w:r>
              <w:rPr>
                <w:rFonts w:hint="eastAsia"/>
                <w:bCs/>
                <w:spacing w:val="-10"/>
                <w:szCs w:val="21"/>
              </w:rPr>
              <w:t>《饮食业油烟排放标准》（GB18484-2001）</w:t>
            </w:r>
          </w:p>
        </w:tc>
      </w:tr>
      <w:tr w14:paraId="76114E8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restart"/>
            <w:vAlign w:val="center"/>
          </w:tcPr>
          <w:p w14:paraId="0CEA49AF">
            <w:pPr>
              <w:adjustRightInd w:val="0"/>
              <w:snapToGrid w:val="0"/>
              <w:jc w:val="center"/>
              <w:rPr>
                <w:b/>
                <w:szCs w:val="21"/>
                <w:u w:val="single"/>
              </w:rPr>
            </w:pPr>
            <w:r>
              <w:rPr>
                <w:b/>
                <w:szCs w:val="21"/>
                <w:u w:val="single"/>
              </w:rPr>
              <w:t>地表水环境</w:t>
            </w:r>
          </w:p>
        </w:tc>
        <w:tc>
          <w:tcPr>
            <w:tcW w:w="2036" w:type="dxa"/>
            <w:gridSpan w:val="2"/>
            <w:vAlign w:val="center"/>
          </w:tcPr>
          <w:p w14:paraId="13197008">
            <w:pPr>
              <w:adjustRightInd w:val="0"/>
              <w:snapToGrid w:val="0"/>
              <w:jc w:val="center"/>
              <w:rPr>
                <w:szCs w:val="21"/>
                <w:u w:val="single"/>
              </w:rPr>
            </w:pPr>
            <w:r>
              <w:rPr>
                <w:szCs w:val="21"/>
                <w:u w:val="single"/>
              </w:rPr>
              <w:t>生活污水</w:t>
            </w:r>
          </w:p>
        </w:tc>
        <w:tc>
          <w:tcPr>
            <w:tcW w:w="1565" w:type="dxa"/>
            <w:vAlign w:val="center"/>
          </w:tcPr>
          <w:p w14:paraId="51EB91E3">
            <w:pPr>
              <w:adjustRightInd w:val="0"/>
              <w:snapToGrid w:val="0"/>
              <w:jc w:val="center"/>
              <w:rPr>
                <w:szCs w:val="21"/>
                <w:u w:val="single"/>
              </w:rPr>
            </w:pPr>
            <w:r>
              <w:rPr>
                <w:szCs w:val="21"/>
                <w:u w:val="single"/>
              </w:rPr>
              <w:t>COD</w:t>
            </w:r>
          </w:p>
          <w:p w14:paraId="55488708">
            <w:pPr>
              <w:adjustRightInd w:val="0"/>
              <w:snapToGrid w:val="0"/>
              <w:jc w:val="center"/>
              <w:rPr>
                <w:szCs w:val="21"/>
                <w:u w:val="single"/>
              </w:rPr>
            </w:pPr>
            <w:r>
              <w:rPr>
                <w:rFonts w:hint="eastAsia"/>
                <w:szCs w:val="21"/>
                <w:u w:val="single"/>
              </w:rPr>
              <w:t>BOD</w:t>
            </w:r>
            <w:r>
              <w:rPr>
                <w:rFonts w:hint="eastAsia"/>
                <w:szCs w:val="21"/>
                <w:u w:val="single"/>
                <w:vertAlign w:val="subscript"/>
              </w:rPr>
              <w:t>5</w:t>
            </w:r>
          </w:p>
          <w:p w14:paraId="5A712861">
            <w:pPr>
              <w:adjustRightInd w:val="0"/>
              <w:snapToGrid w:val="0"/>
              <w:jc w:val="center"/>
              <w:rPr>
                <w:szCs w:val="21"/>
                <w:u w:val="single"/>
              </w:rPr>
            </w:pPr>
            <w:r>
              <w:rPr>
                <w:szCs w:val="21"/>
                <w:u w:val="single"/>
              </w:rPr>
              <w:t>SS</w:t>
            </w:r>
          </w:p>
          <w:p w14:paraId="4226EF59">
            <w:pPr>
              <w:adjustRightInd w:val="0"/>
              <w:snapToGrid w:val="0"/>
              <w:jc w:val="center"/>
              <w:rPr>
                <w:szCs w:val="21"/>
                <w:u w:val="single"/>
              </w:rPr>
            </w:pPr>
            <w:r>
              <w:rPr>
                <w:szCs w:val="21"/>
                <w:u w:val="single"/>
              </w:rPr>
              <w:t>氨氮</w:t>
            </w:r>
          </w:p>
        </w:tc>
        <w:tc>
          <w:tcPr>
            <w:tcW w:w="1789" w:type="dxa"/>
            <w:vAlign w:val="center"/>
          </w:tcPr>
          <w:p w14:paraId="6AB90890">
            <w:pPr>
              <w:adjustRightInd w:val="0"/>
              <w:snapToGrid w:val="0"/>
              <w:jc w:val="center"/>
              <w:rPr>
                <w:szCs w:val="21"/>
                <w:u w:val="single"/>
              </w:rPr>
            </w:pPr>
            <w:r>
              <w:rPr>
                <w:rFonts w:hint="eastAsia"/>
                <w:szCs w:val="21"/>
                <w:u w:val="single"/>
              </w:rPr>
              <w:t>经</w:t>
            </w:r>
            <w:r>
              <w:rPr>
                <w:szCs w:val="21"/>
                <w:u w:val="single"/>
              </w:rPr>
              <w:t>隔油池+化粪池</w:t>
            </w:r>
            <w:r>
              <w:rPr>
                <w:rFonts w:hint="eastAsia"/>
                <w:szCs w:val="21"/>
                <w:u w:val="single"/>
              </w:rPr>
              <w:t>处理后外排至市政管网，纳入衡阳西渡高新区污水处理厂深度处理后排入蒸水</w:t>
            </w:r>
          </w:p>
        </w:tc>
        <w:tc>
          <w:tcPr>
            <w:tcW w:w="3030" w:type="dxa"/>
            <w:vAlign w:val="center"/>
          </w:tcPr>
          <w:p w14:paraId="578A7758">
            <w:pPr>
              <w:adjustRightInd w:val="0"/>
              <w:snapToGrid w:val="0"/>
              <w:jc w:val="center"/>
              <w:rPr>
                <w:bCs/>
                <w:szCs w:val="21"/>
                <w:u w:val="single"/>
              </w:rPr>
            </w:pPr>
            <w:r>
              <w:rPr>
                <w:bCs/>
                <w:szCs w:val="21"/>
                <w:u w:val="single"/>
              </w:rPr>
              <w:t>接管：</w:t>
            </w:r>
            <w:r>
              <w:rPr>
                <w:rFonts w:hint="eastAsia"/>
                <w:bCs/>
                <w:szCs w:val="21"/>
                <w:u w:val="single"/>
              </w:rPr>
              <w:t>《污水综合排放标准》（GB8978-1996）三级标准；污水处理厂：《城镇污水处理厂污染物排放标准》（GB18918-2002）一级A标准</w:t>
            </w:r>
          </w:p>
        </w:tc>
      </w:tr>
      <w:tr w14:paraId="0A0C837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continue"/>
            <w:vAlign w:val="center"/>
          </w:tcPr>
          <w:p w14:paraId="10FF3A10">
            <w:pPr>
              <w:adjustRightInd w:val="0"/>
              <w:snapToGrid w:val="0"/>
              <w:jc w:val="center"/>
              <w:rPr>
                <w:b/>
                <w:szCs w:val="21"/>
                <w:u w:val="single"/>
              </w:rPr>
            </w:pPr>
          </w:p>
        </w:tc>
        <w:tc>
          <w:tcPr>
            <w:tcW w:w="2036" w:type="dxa"/>
            <w:gridSpan w:val="2"/>
            <w:vAlign w:val="center"/>
          </w:tcPr>
          <w:p w14:paraId="2A632C30">
            <w:pPr>
              <w:adjustRightInd w:val="0"/>
              <w:snapToGrid w:val="0"/>
              <w:jc w:val="center"/>
              <w:rPr>
                <w:rFonts w:hint="eastAsia" w:eastAsia="宋体"/>
                <w:color w:val="auto"/>
                <w:szCs w:val="21"/>
                <w:u w:val="single"/>
                <w:lang w:eastAsia="zh-CN"/>
              </w:rPr>
            </w:pPr>
            <w:r>
              <w:rPr>
                <w:rFonts w:hint="eastAsia"/>
                <w:color w:val="auto"/>
                <w:szCs w:val="21"/>
                <w:u w:val="single"/>
                <w:lang w:eastAsia="zh-CN"/>
              </w:rPr>
              <w:t>洗涤废水</w:t>
            </w:r>
          </w:p>
        </w:tc>
        <w:tc>
          <w:tcPr>
            <w:tcW w:w="1565" w:type="dxa"/>
            <w:vAlign w:val="center"/>
          </w:tcPr>
          <w:p w14:paraId="39A30601">
            <w:pPr>
              <w:adjustRightInd w:val="0"/>
              <w:snapToGrid w:val="0"/>
              <w:jc w:val="center"/>
              <w:rPr>
                <w:color w:val="auto"/>
                <w:szCs w:val="21"/>
                <w:u w:val="single"/>
              </w:rPr>
            </w:pPr>
            <w:r>
              <w:rPr>
                <w:color w:val="auto"/>
                <w:u w:val="single"/>
              </w:rPr>
              <w:t>COD</w:t>
            </w:r>
            <w:r>
              <w:rPr>
                <w:color w:val="auto"/>
                <w:u w:val="single"/>
                <w:vertAlign w:val="subscript"/>
              </w:rPr>
              <w:t>cr</w:t>
            </w:r>
            <w:r>
              <w:rPr>
                <w:color w:val="auto"/>
                <w:u w:val="single"/>
              </w:rPr>
              <w:t>、BOD</w:t>
            </w:r>
            <w:r>
              <w:rPr>
                <w:color w:val="auto"/>
                <w:u w:val="single"/>
                <w:vertAlign w:val="subscript"/>
              </w:rPr>
              <w:t>5</w:t>
            </w:r>
            <w:r>
              <w:rPr>
                <w:color w:val="auto"/>
                <w:u w:val="single"/>
              </w:rPr>
              <w:t>、NH</w:t>
            </w:r>
            <w:r>
              <w:rPr>
                <w:color w:val="auto"/>
                <w:u w:val="single"/>
                <w:vertAlign w:val="subscript"/>
              </w:rPr>
              <w:t>3</w:t>
            </w:r>
            <w:r>
              <w:rPr>
                <w:color w:val="auto"/>
                <w:u w:val="single"/>
              </w:rPr>
              <w:t>-N、SS、LAS</w:t>
            </w:r>
            <w:r>
              <w:rPr>
                <w:rFonts w:hint="eastAsia"/>
                <w:color w:val="auto"/>
                <w:u w:val="single"/>
              </w:rPr>
              <w:t>、总余氯、粪大肠菌群</w:t>
            </w:r>
          </w:p>
        </w:tc>
        <w:tc>
          <w:tcPr>
            <w:tcW w:w="1789" w:type="dxa"/>
            <w:vAlign w:val="center"/>
          </w:tcPr>
          <w:p w14:paraId="3E2A22AA">
            <w:pPr>
              <w:adjustRightInd w:val="0"/>
              <w:snapToGrid w:val="0"/>
              <w:jc w:val="center"/>
              <w:rPr>
                <w:color w:val="auto"/>
                <w:szCs w:val="21"/>
                <w:u w:val="single"/>
              </w:rPr>
            </w:pPr>
            <w:r>
              <w:rPr>
                <w:rFonts w:hint="eastAsia"/>
                <w:color w:val="auto"/>
                <w:szCs w:val="21"/>
                <w:u w:val="single"/>
              </w:rPr>
              <w:t>各车间生产废水经车间外预处理，后统一经厂区废水处理站生化+消毒处理</w:t>
            </w:r>
          </w:p>
        </w:tc>
        <w:tc>
          <w:tcPr>
            <w:tcW w:w="3030" w:type="dxa"/>
            <w:vAlign w:val="center"/>
          </w:tcPr>
          <w:p w14:paraId="7180A67A">
            <w:pPr>
              <w:adjustRightInd w:val="0"/>
              <w:snapToGrid w:val="0"/>
              <w:jc w:val="center"/>
              <w:rPr>
                <w:bCs/>
                <w:color w:val="auto"/>
                <w:szCs w:val="21"/>
                <w:u w:val="single"/>
              </w:rPr>
            </w:pPr>
            <w:r>
              <w:rPr>
                <w:bCs/>
                <w:color w:val="auto"/>
                <w:szCs w:val="21"/>
                <w:u w:val="single"/>
              </w:rPr>
              <w:t>接管：</w:t>
            </w:r>
            <w:r>
              <w:rPr>
                <w:rFonts w:hint="eastAsia"/>
                <w:bCs/>
                <w:color w:val="auto"/>
                <w:szCs w:val="21"/>
                <w:u w:val="single"/>
              </w:rPr>
              <w:t>《医疗机构水污染物排放标准》（GB18466-2005）中表2预处理排放标准与《污水综合排放标准》（GB8978-1996）表4中三级标准两者中较严者。</w:t>
            </w:r>
          </w:p>
          <w:p w14:paraId="6F7F848A">
            <w:pPr>
              <w:adjustRightInd w:val="0"/>
              <w:snapToGrid w:val="0"/>
              <w:jc w:val="center"/>
              <w:rPr>
                <w:bCs/>
                <w:color w:val="auto"/>
                <w:szCs w:val="21"/>
                <w:u w:val="single"/>
              </w:rPr>
            </w:pPr>
            <w:r>
              <w:rPr>
                <w:rFonts w:hint="eastAsia"/>
                <w:bCs/>
                <w:color w:val="auto"/>
                <w:szCs w:val="21"/>
                <w:u w:val="single"/>
              </w:rPr>
              <w:t>水处理厂：《城镇污水处理厂污染物排放标准》（GB18918-2002）一级A标准。</w:t>
            </w:r>
          </w:p>
        </w:tc>
      </w:tr>
      <w:tr w14:paraId="7A4CD4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continue"/>
            <w:vAlign w:val="center"/>
          </w:tcPr>
          <w:p w14:paraId="014A23DF">
            <w:pPr>
              <w:adjustRightInd w:val="0"/>
              <w:snapToGrid w:val="0"/>
              <w:jc w:val="center"/>
              <w:rPr>
                <w:b/>
                <w:szCs w:val="21"/>
                <w:u w:val="single"/>
              </w:rPr>
            </w:pPr>
          </w:p>
        </w:tc>
        <w:tc>
          <w:tcPr>
            <w:tcW w:w="2036" w:type="dxa"/>
            <w:gridSpan w:val="2"/>
            <w:vAlign w:val="center"/>
          </w:tcPr>
          <w:p w14:paraId="6BBC2E94">
            <w:pPr>
              <w:adjustRightInd w:val="0"/>
              <w:snapToGrid w:val="0"/>
              <w:jc w:val="center"/>
              <w:rPr>
                <w:rFonts w:hint="eastAsia" w:eastAsia="宋体"/>
                <w:color w:val="auto"/>
                <w:szCs w:val="21"/>
                <w:u w:val="single"/>
                <w:lang w:eastAsia="zh-CN"/>
              </w:rPr>
            </w:pPr>
            <w:r>
              <w:rPr>
                <w:rFonts w:hint="eastAsia"/>
                <w:color w:val="auto"/>
                <w:szCs w:val="21"/>
                <w:u w:val="single"/>
                <w:lang w:eastAsia="zh-CN"/>
              </w:rPr>
              <w:t>软水制备浓水</w:t>
            </w:r>
          </w:p>
        </w:tc>
        <w:tc>
          <w:tcPr>
            <w:tcW w:w="1565" w:type="dxa"/>
            <w:vAlign w:val="center"/>
          </w:tcPr>
          <w:p w14:paraId="54E7FE34">
            <w:pPr>
              <w:adjustRightInd w:val="0"/>
              <w:snapToGrid w:val="0"/>
              <w:jc w:val="center"/>
              <w:rPr>
                <w:rFonts w:hint="default" w:eastAsia="宋体"/>
                <w:color w:val="auto"/>
                <w:u w:val="single"/>
                <w:lang w:val="en-US" w:eastAsia="zh-CN"/>
              </w:rPr>
            </w:pPr>
            <w:r>
              <w:rPr>
                <w:rFonts w:hint="eastAsia"/>
                <w:color w:val="auto"/>
                <w:u w:val="single"/>
                <w:lang w:val="en-US" w:eastAsia="zh-CN"/>
              </w:rPr>
              <w:t>Mg</w:t>
            </w:r>
            <w:r>
              <w:rPr>
                <w:rFonts w:hint="eastAsia"/>
                <w:color w:val="auto"/>
                <w:u w:val="single"/>
                <w:vertAlign w:val="superscript"/>
                <w:lang w:val="en-US" w:eastAsia="zh-CN"/>
              </w:rPr>
              <w:t>2+</w:t>
            </w:r>
            <w:r>
              <w:rPr>
                <w:rFonts w:hint="eastAsia"/>
                <w:color w:val="auto"/>
                <w:u w:val="single"/>
                <w:lang w:val="en-US" w:eastAsia="zh-CN"/>
              </w:rPr>
              <w:t>、Ca</w:t>
            </w:r>
            <w:r>
              <w:rPr>
                <w:rFonts w:hint="eastAsia"/>
                <w:color w:val="auto"/>
                <w:u w:val="single"/>
                <w:vertAlign w:val="superscript"/>
                <w:lang w:val="en-US" w:eastAsia="zh-CN"/>
              </w:rPr>
              <w:t>2+</w:t>
            </w:r>
          </w:p>
        </w:tc>
        <w:tc>
          <w:tcPr>
            <w:tcW w:w="1789" w:type="dxa"/>
            <w:vAlign w:val="center"/>
          </w:tcPr>
          <w:p w14:paraId="7FE12DBC">
            <w:pPr>
              <w:adjustRightInd w:val="0"/>
              <w:snapToGrid w:val="0"/>
              <w:jc w:val="center"/>
              <w:rPr>
                <w:rFonts w:hint="eastAsia" w:eastAsia="宋体"/>
                <w:color w:val="auto"/>
                <w:szCs w:val="21"/>
                <w:u w:val="single"/>
                <w:lang w:eastAsia="zh-CN"/>
              </w:rPr>
            </w:pPr>
            <w:r>
              <w:rPr>
                <w:rFonts w:hint="eastAsia"/>
                <w:color w:val="auto"/>
                <w:szCs w:val="21"/>
                <w:u w:val="single"/>
                <w:lang w:eastAsia="zh-CN"/>
              </w:rPr>
              <w:t>部分用于地面保洁，剩余部分排入市政雨水管网</w:t>
            </w:r>
          </w:p>
        </w:tc>
        <w:tc>
          <w:tcPr>
            <w:tcW w:w="3030" w:type="dxa"/>
            <w:vAlign w:val="center"/>
          </w:tcPr>
          <w:p w14:paraId="1DD9791A">
            <w:pPr>
              <w:adjustRightInd w:val="0"/>
              <w:snapToGrid w:val="0"/>
              <w:jc w:val="center"/>
              <w:rPr>
                <w:rFonts w:hint="eastAsia" w:eastAsia="宋体"/>
                <w:bCs/>
                <w:color w:val="auto"/>
                <w:szCs w:val="21"/>
                <w:u w:val="single"/>
                <w:lang w:val="en-US" w:eastAsia="zh-CN"/>
              </w:rPr>
            </w:pPr>
            <w:r>
              <w:rPr>
                <w:rFonts w:hint="eastAsia"/>
                <w:bCs/>
                <w:color w:val="auto"/>
                <w:szCs w:val="21"/>
                <w:u w:val="single"/>
                <w:lang w:val="en-US" w:eastAsia="zh-CN"/>
              </w:rPr>
              <w:t>/</w:t>
            </w:r>
          </w:p>
        </w:tc>
      </w:tr>
      <w:tr w14:paraId="101CE5B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Merge w:val="continue"/>
            <w:vAlign w:val="center"/>
          </w:tcPr>
          <w:p w14:paraId="708CE882">
            <w:pPr>
              <w:adjustRightInd w:val="0"/>
              <w:snapToGrid w:val="0"/>
              <w:jc w:val="center"/>
              <w:rPr>
                <w:b/>
                <w:szCs w:val="21"/>
                <w:u w:val="single"/>
              </w:rPr>
            </w:pPr>
          </w:p>
        </w:tc>
        <w:tc>
          <w:tcPr>
            <w:tcW w:w="2036" w:type="dxa"/>
            <w:gridSpan w:val="2"/>
            <w:vAlign w:val="center"/>
          </w:tcPr>
          <w:p w14:paraId="4F6BF52D">
            <w:pPr>
              <w:adjustRightInd w:val="0"/>
              <w:snapToGrid w:val="0"/>
              <w:jc w:val="center"/>
              <w:rPr>
                <w:rFonts w:hint="eastAsia" w:eastAsia="宋体"/>
                <w:color w:val="auto"/>
                <w:szCs w:val="21"/>
                <w:u w:val="single"/>
                <w:lang w:eastAsia="zh-CN"/>
              </w:rPr>
            </w:pPr>
            <w:r>
              <w:rPr>
                <w:rFonts w:hint="eastAsia"/>
                <w:color w:val="auto"/>
                <w:szCs w:val="21"/>
                <w:u w:val="single"/>
                <w:lang w:eastAsia="zh-CN"/>
              </w:rPr>
              <w:t>锅炉定期排放浓水</w:t>
            </w:r>
          </w:p>
        </w:tc>
        <w:tc>
          <w:tcPr>
            <w:tcW w:w="1565" w:type="dxa"/>
            <w:vAlign w:val="center"/>
          </w:tcPr>
          <w:p w14:paraId="21B99424">
            <w:pPr>
              <w:adjustRightInd w:val="0"/>
              <w:snapToGrid w:val="0"/>
              <w:jc w:val="center"/>
              <w:rPr>
                <w:color w:val="auto"/>
                <w:u w:val="single"/>
              </w:rPr>
            </w:pPr>
            <w:r>
              <w:rPr>
                <w:rFonts w:hint="eastAsia"/>
                <w:color w:val="auto"/>
                <w:u w:val="single"/>
                <w:lang w:val="en-US" w:eastAsia="zh-CN"/>
              </w:rPr>
              <w:t>Mg</w:t>
            </w:r>
            <w:r>
              <w:rPr>
                <w:rFonts w:hint="eastAsia"/>
                <w:color w:val="auto"/>
                <w:u w:val="single"/>
                <w:vertAlign w:val="superscript"/>
                <w:lang w:val="en-US" w:eastAsia="zh-CN"/>
              </w:rPr>
              <w:t>2+</w:t>
            </w:r>
            <w:r>
              <w:rPr>
                <w:rFonts w:hint="eastAsia"/>
                <w:color w:val="auto"/>
                <w:u w:val="single"/>
                <w:lang w:val="en-US" w:eastAsia="zh-CN"/>
              </w:rPr>
              <w:t>、Ca</w:t>
            </w:r>
            <w:r>
              <w:rPr>
                <w:rFonts w:hint="eastAsia"/>
                <w:color w:val="auto"/>
                <w:u w:val="single"/>
                <w:vertAlign w:val="superscript"/>
                <w:lang w:val="en-US" w:eastAsia="zh-CN"/>
              </w:rPr>
              <w:t>2+</w:t>
            </w:r>
          </w:p>
        </w:tc>
        <w:tc>
          <w:tcPr>
            <w:tcW w:w="1789" w:type="dxa"/>
            <w:vAlign w:val="center"/>
          </w:tcPr>
          <w:p w14:paraId="0CC48CC6">
            <w:pPr>
              <w:adjustRightInd w:val="0"/>
              <w:snapToGrid w:val="0"/>
              <w:jc w:val="center"/>
              <w:rPr>
                <w:rFonts w:hint="eastAsia"/>
                <w:color w:val="auto"/>
                <w:szCs w:val="21"/>
                <w:u w:val="single"/>
              </w:rPr>
            </w:pPr>
            <w:r>
              <w:rPr>
                <w:rFonts w:hint="eastAsia"/>
                <w:color w:val="auto"/>
                <w:szCs w:val="21"/>
                <w:u w:val="single"/>
                <w:lang w:eastAsia="zh-CN"/>
              </w:rPr>
              <w:t>排入市政雨水管网</w:t>
            </w:r>
          </w:p>
        </w:tc>
        <w:tc>
          <w:tcPr>
            <w:tcW w:w="3030" w:type="dxa"/>
            <w:vAlign w:val="center"/>
          </w:tcPr>
          <w:p w14:paraId="7A14E5EB">
            <w:pPr>
              <w:adjustRightInd w:val="0"/>
              <w:snapToGrid w:val="0"/>
              <w:jc w:val="center"/>
              <w:rPr>
                <w:rFonts w:hint="eastAsia" w:eastAsia="宋体"/>
                <w:bCs/>
                <w:color w:val="auto"/>
                <w:szCs w:val="21"/>
                <w:u w:val="single"/>
                <w:lang w:val="en-US" w:eastAsia="zh-CN"/>
              </w:rPr>
            </w:pPr>
            <w:r>
              <w:rPr>
                <w:rFonts w:hint="eastAsia"/>
                <w:bCs/>
                <w:color w:val="auto"/>
                <w:szCs w:val="21"/>
                <w:u w:val="single"/>
                <w:lang w:val="en-US" w:eastAsia="zh-CN"/>
              </w:rPr>
              <w:t>/</w:t>
            </w:r>
          </w:p>
        </w:tc>
      </w:tr>
      <w:tr w14:paraId="7CA3C5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Align w:val="center"/>
          </w:tcPr>
          <w:p w14:paraId="1D1C4446">
            <w:pPr>
              <w:adjustRightInd w:val="0"/>
              <w:snapToGrid w:val="0"/>
              <w:jc w:val="center"/>
              <w:rPr>
                <w:b/>
                <w:szCs w:val="21"/>
              </w:rPr>
            </w:pPr>
            <w:r>
              <w:rPr>
                <w:b/>
                <w:szCs w:val="21"/>
              </w:rPr>
              <w:t>声环境</w:t>
            </w:r>
          </w:p>
        </w:tc>
        <w:tc>
          <w:tcPr>
            <w:tcW w:w="2036" w:type="dxa"/>
            <w:gridSpan w:val="2"/>
            <w:vAlign w:val="center"/>
          </w:tcPr>
          <w:p w14:paraId="6073F550">
            <w:pPr>
              <w:adjustRightInd w:val="0"/>
              <w:snapToGrid w:val="0"/>
              <w:jc w:val="center"/>
              <w:rPr>
                <w:szCs w:val="21"/>
              </w:rPr>
            </w:pPr>
            <w:r>
              <w:rPr>
                <w:szCs w:val="21"/>
              </w:rPr>
              <w:t>生产设备运营噪声</w:t>
            </w:r>
          </w:p>
        </w:tc>
        <w:tc>
          <w:tcPr>
            <w:tcW w:w="1565" w:type="dxa"/>
            <w:vAlign w:val="center"/>
          </w:tcPr>
          <w:p w14:paraId="5B96EDA1">
            <w:pPr>
              <w:adjustRightInd w:val="0"/>
              <w:snapToGrid w:val="0"/>
              <w:jc w:val="center"/>
              <w:rPr>
                <w:szCs w:val="21"/>
              </w:rPr>
            </w:pPr>
            <w:r>
              <w:rPr>
                <w:szCs w:val="21"/>
              </w:rPr>
              <w:t>等效</w:t>
            </w:r>
            <w:r>
              <w:rPr>
                <w:rFonts w:hint="eastAsia"/>
                <w:szCs w:val="21"/>
              </w:rPr>
              <w:t>A声级</w:t>
            </w:r>
          </w:p>
        </w:tc>
        <w:tc>
          <w:tcPr>
            <w:tcW w:w="1789" w:type="dxa"/>
            <w:vAlign w:val="center"/>
          </w:tcPr>
          <w:p w14:paraId="48272516">
            <w:pPr>
              <w:adjustRightInd w:val="0"/>
              <w:snapToGrid w:val="0"/>
              <w:jc w:val="center"/>
              <w:rPr>
                <w:szCs w:val="21"/>
              </w:rPr>
            </w:pPr>
            <w:r>
              <w:rPr>
                <w:rFonts w:hint="eastAsia"/>
                <w:szCs w:val="21"/>
              </w:rPr>
              <w:t>合理布局，尽量利用厂墙体、门窗隔声，加强生产管理，并采取减振、隔声、消声等综合治理</w:t>
            </w:r>
          </w:p>
        </w:tc>
        <w:tc>
          <w:tcPr>
            <w:tcW w:w="3030" w:type="dxa"/>
            <w:vAlign w:val="center"/>
          </w:tcPr>
          <w:p w14:paraId="20C6908A">
            <w:pPr>
              <w:adjustRightInd w:val="0"/>
              <w:snapToGrid w:val="0"/>
              <w:jc w:val="center"/>
              <w:rPr>
                <w:szCs w:val="21"/>
              </w:rPr>
            </w:pPr>
            <w:r>
              <w:rPr>
                <w:rFonts w:hint="eastAsia"/>
                <w:szCs w:val="21"/>
              </w:rPr>
              <w:t>南、西、北厂界达到《工业企业厂界环境噪声排放标准》（GB12348-2008）3类标准要求；东厂界达到《工业企业厂界环境噪声排放标准》（GB12348-2008）4类标准要求</w:t>
            </w:r>
          </w:p>
        </w:tc>
      </w:tr>
      <w:tr w14:paraId="3FC261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Align w:val="center"/>
          </w:tcPr>
          <w:p w14:paraId="31EC7C4C">
            <w:pPr>
              <w:adjustRightInd w:val="0"/>
              <w:snapToGrid w:val="0"/>
              <w:jc w:val="center"/>
              <w:rPr>
                <w:b/>
                <w:szCs w:val="21"/>
              </w:rPr>
            </w:pPr>
            <w:r>
              <w:rPr>
                <w:b/>
                <w:szCs w:val="21"/>
              </w:rPr>
              <w:t>电磁辐射</w:t>
            </w:r>
          </w:p>
        </w:tc>
        <w:tc>
          <w:tcPr>
            <w:tcW w:w="2036" w:type="dxa"/>
            <w:gridSpan w:val="2"/>
            <w:vAlign w:val="center"/>
          </w:tcPr>
          <w:p w14:paraId="586944CD">
            <w:pPr>
              <w:adjustRightInd w:val="0"/>
              <w:snapToGrid w:val="0"/>
              <w:jc w:val="center"/>
              <w:rPr>
                <w:szCs w:val="21"/>
              </w:rPr>
            </w:pPr>
            <w:r>
              <w:rPr>
                <w:szCs w:val="21"/>
              </w:rPr>
              <w:t>无</w:t>
            </w:r>
          </w:p>
        </w:tc>
        <w:tc>
          <w:tcPr>
            <w:tcW w:w="1565" w:type="dxa"/>
            <w:vAlign w:val="center"/>
          </w:tcPr>
          <w:p w14:paraId="59815A77">
            <w:pPr>
              <w:adjustRightInd w:val="0"/>
              <w:snapToGrid w:val="0"/>
              <w:jc w:val="center"/>
              <w:rPr>
                <w:szCs w:val="21"/>
              </w:rPr>
            </w:pPr>
            <w:r>
              <w:rPr>
                <w:szCs w:val="21"/>
              </w:rPr>
              <w:t>无</w:t>
            </w:r>
          </w:p>
        </w:tc>
        <w:tc>
          <w:tcPr>
            <w:tcW w:w="1789" w:type="dxa"/>
            <w:vAlign w:val="center"/>
          </w:tcPr>
          <w:p w14:paraId="527879F2">
            <w:pPr>
              <w:adjustRightInd w:val="0"/>
              <w:snapToGrid w:val="0"/>
              <w:jc w:val="center"/>
              <w:rPr>
                <w:szCs w:val="21"/>
              </w:rPr>
            </w:pPr>
            <w:r>
              <w:rPr>
                <w:szCs w:val="21"/>
              </w:rPr>
              <w:t>无</w:t>
            </w:r>
          </w:p>
        </w:tc>
        <w:tc>
          <w:tcPr>
            <w:tcW w:w="3030" w:type="dxa"/>
            <w:vAlign w:val="center"/>
          </w:tcPr>
          <w:p w14:paraId="72EB1646">
            <w:pPr>
              <w:adjustRightInd w:val="0"/>
              <w:snapToGrid w:val="0"/>
              <w:jc w:val="center"/>
              <w:rPr>
                <w:szCs w:val="21"/>
              </w:rPr>
            </w:pPr>
            <w:r>
              <w:rPr>
                <w:szCs w:val="21"/>
              </w:rPr>
              <w:t>无</w:t>
            </w:r>
          </w:p>
        </w:tc>
      </w:tr>
      <w:tr w14:paraId="40800C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786" w:type="dxa"/>
            <w:vAlign w:val="center"/>
          </w:tcPr>
          <w:p w14:paraId="1F2B3459">
            <w:pPr>
              <w:adjustRightInd w:val="0"/>
              <w:snapToGrid w:val="0"/>
              <w:jc w:val="center"/>
              <w:rPr>
                <w:b/>
                <w:szCs w:val="21"/>
                <w:u w:val="single"/>
              </w:rPr>
            </w:pPr>
            <w:r>
              <w:rPr>
                <w:b/>
                <w:szCs w:val="21"/>
                <w:u w:val="single"/>
              </w:rPr>
              <w:t>固体废物</w:t>
            </w:r>
          </w:p>
        </w:tc>
        <w:tc>
          <w:tcPr>
            <w:tcW w:w="8420" w:type="dxa"/>
            <w:gridSpan w:val="5"/>
            <w:vAlign w:val="center"/>
          </w:tcPr>
          <w:p w14:paraId="5783FAC5">
            <w:pPr>
              <w:pStyle w:val="28"/>
              <w:spacing w:before="24" w:after="24"/>
              <w:jc w:val="left"/>
              <w:rPr>
                <w:rFonts w:ascii="Times New Roman"/>
                <w:u w:val="single"/>
              </w:rPr>
            </w:pPr>
            <w:r>
              <w:rPr>
                <w:rFonts w:ascii="Times New Roman"/>
                <w:u w:val="single"/>
              </w:rPr>
              <w:t>生活垃圾：统一收集，委托环卫部门统一清运；</w:t>
            </w:r>
          </w:p>
          <w:p w14:paraId="7D38397F">
            <w:pPr>
              <w:pStyle w:val="28"/>
              <w:spacing w:before="24" w:after="24"/>
              <w:jc w:val="left"/>
              <w:rPr>
                <w:rFonts w:ascii="Times New Roman"/>
                <w:u w:val="single"/>
              </w:rPr>
            </w:pPr>
            <w:r>
              <w:rPr>
                <w:rFonts w:ascii="Times New Roman"/>
                <w:u w:val="single"/>
              </w:rPr>
              <w:t>锅炉炉渣：</w:t>
            </w:r>
            <w:r>
              <w:rPr>
                <w:rFonts w:hint="eastAsia" w:ascii="Times New Roman"/>
                <w:u w:val="single"/>
              </w:rPr>
              <w:t>定期清理综合利用或外送作为农肥</w:t>
            </w:r>
            <w:r>
              <w:rPr>
                <w:rFonts w:ascii="Times New Roman"/>
                <w:u w:val="single"/>
              </w:rPr>
              <w:t>；</w:t>
            </w:r>
          </w:p>
          <w:p w14:paraId="7102A67C">
            <w:pPr>
              <w:pStyle w:val="28"/>
              <w:spacing w:before="24" w:after="24"/>
              <w:jc w:val="left"/>
              <w:rPr>
                <w:rFonts w:ascii="Times New Roman"/>
                <w:u w:val="single"/>
              </w:rPr>
            </w:pPr>
            <w:r>
              <w:rPr>
                <w:rFonts w:ascii="Times New Roman"/>
                <w:u w:val="single"/>
              </w:rPr>
              <w:t>废原辅材料包装桶（袋）：经收集后，</w:t>
            </w:r>
            <w:r>
              <w:rPr>
                <w:rFonts w:hint="eastAsia" w:ascii="Times New Roman"/>
                <w:u w:val="single"/>
              </w:rPr>
              <w:t>外售综合利用</w:t>
            </w:r>
            <w:r>
              <w:rPr>
                <w:rFonts w:ascii="Times New Roman"/>
                <w:u w:val="single"/>
              </w:rPr>
              <w:t>；</w:t>
            </w:r>
          </w:p>
          <w:p w14:paraId="0DB9CBE0">
            <w:pPr>
              <w:pStyle w:val="28"/>
              <w:spacing w:before="24" w:after="24"/>
              <w:jc w:val="left"/>
              <w:rPr>
                <w:rFonts w:ascii="Times New Roman"/>
                <w:u w:val="single"/>
              </w:rPr>
            </w:pPr>
            <w:r>
              <w:rPr>
                <w:rFonts w:ascii="Times New Roman"/>
                <w:u w:val="single"/>
              </w:rPr>
              <w:t>废离子交换树脂：由原厂家直接回收处理；</w:t>
            </w:r>
          </w:p>
          <w:p w14:paraId="7CF97A51">
            <w:pPr>
              <w:rPr>
                <w:u w:val="single"/>
              </w:rPr>
            </w:pPr>
            <w:r>
              <w:rPr>
                <w:rFonts w:hint="eastAsia"/>
                <w:u w:val="single"/>
              </w:rPr>
              <w:t>医疗布草</w:t>
            </w:r>
            <w:r>
              <w:rPr>
                <w:rFonts w:hint="eastAsia"/>
                <w:u w:val="single"/>
                <w:lang w:eastAsia="zh-CN"/>
              </w:rPr>
              <w:t>分拣废物</w:t>
            </w:r>
            <w:r>
              <w:rPr>
                <w:rFonts w:hint="eastAsia"/>
                <w:u w:val="single"/>
              </w:rPr>
              <w:t>，与医院方协议，收集暂存后每次接收脏布草时一并归还给医院方，由医院方交给有资质单位处置；</w:t>
            </w:r>
          </w:p>
          <w:p w14:paraId="49631479">
            <w:pPr>
              <w:autoSpaceDE w:val="0"/>
              <w:autoSpaceDN w:val="0"/>
              <w:adjustRightInd w:val="0"/>
              <w:rPr>
                <w:rFonts w:hint="eastAsia" w:eastAsia="宋体"/>
                <w:u w:val="single"/>
                <w:lang w:eastAsia="zh-CN"/>
              </w:rPr>
            </w:pPr>
            <w:r>
              <w:rPr>
                <w:rFonts w:hint="eastAsia"/>
                <w:u w:val="single"/>
                <w:lang w:eastAsia="zh-CN"/>
              </w:rPr>
              <w:t>烘干纤维尘：</w:t>
            </w:r>
            <w:r>
              <w:rPr>
                <w:rFonts w:ascii="Times New Roman"/>
                <w:u w:val="single"/>
              </w:rPr>
              <w:t>统一收集，委托环卫部门统一清运；</w:t>
            </w:r>
          </w:p>
          <w:p w14:paraId="2BCF0859">
            <w:pPr>
              <w:autoSpaceDE w:val="0"/>
              <w:autoSpaceDN w:val="0"/>
              <w:adjustRightInd w:val="0"/>
              <w:rPr>
                <w:bCs/>
                <w:spacing w:val="-10"/>
                <w:szCs w:val="21"/>
                <w:u w:val="single"/>
              </w:rPr>
            </w:pPr>
            <w:r>
              <w:rPr>
                <w:rFonts w:hint="eastAsia"/>
                <w:u w:val="single"/>
              </w:rPr>
              <w:t>废水处理站</w:t>
            </w:r>
            <w:r>
              <w:rPr>
                <w:u w:val="single"/>
              </w:rPr>
              <w:t>污泥：</w:t>
            </w:r>
            <w:r>
              <w:rPr>
                <w:rFonts w:hint="eastAsia"/>
                <w:u w:val="single"/>
                <w:lang w:eastAsia="zh-CN"/>
              </w:rPr>
              <w:t>委托水泥厂协同处置；</w:t>
            </w:r>
          </w:p>
        </w:tc>
      </w:tr>
      <w:tr w14:paraId="14D5A3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Align w:val="center"/>
          </w:tcPr>
          <w:p w14:paraId="0B5D567B">
            <w:pPr>
              <w:adjustRightInd w:val="0"/>
              <w:snapToGrid w:val="0"/>
              <w:jc w:val="center"/>
              <w:rPr>
                <w:b/>
                <w:szCs w:val="21"/>
              </w:rPr>
            </w:pPr>
            <w:r>
              <w:rPr>
                <w:b/>
                <w:szCs w:val="21"/>
              </w:rPr>
              <w:t>生态保护措施</w:t>
            </w:r>
          </w:p>
        </w:tc>
        <w:tc>
          <w:tcPr>
            <w:tcW w:w="8420" w:type="dxa"/>
            <w:gridSpan w:val="5"/>
            <w:vAlign w:val="center"/>
          </w:tcPr>
          <w:p w14:paraId="16CB6B07">
            <w:pPr>
              <w:adjustRightInd w:val="0"/>
              <w:snapToGrid w:val="0"/>
              <w:jc w:val="center"/>
              <w:rPr>
                <w:szCs w:val="21"/>
              </w:rPr>
            </w:pPr>
            <w:r>
              <w:rPr>
                <w:szCs w:val="21"/>
              </w:rPr>
              <w:t>无</w:t>
            </w:r>
          </w:p>
        </w:tc>
      </w:tr>
      <w:tr w14:paraId="0EF3FEF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786" w:type="dxa"/>
            <w:vAlign w:val="center"/>
          </w:tcPr>
          <w:p w14:paraId="62FA4C36">
            <w:pPr>
              <w:adjustRightInd w:val="0"/>
              <w:snapToGrid w:val="0"/>
              <w:jc w:val="center"/>
              <w:rPr>
                <w:b/>
                <w:spacing w:val="-8"/>
                <w:szCs w:val="21"/>
              </w:rPr>
            </w:pPr>
            <w:r>
              <w:rPr>
                <w:b/>
                <w:spacing w:val="-8"/>
                <w:szCs w:val="21"/>
              </w:rPr>
              <w:t>环境风险</w:t>
            </w:r>
          </w:p>
          <w:p w14:paraId="374A91CE">
            <w:pPr>
              <w:adjustRightInd w:val="0"/>
              <w:snapToGrid w:val="0"/>
              <w:jc w:val="center"/>
              <w:rPr>
                <w:b/>
                <w:spacing w:val="-8"/>
                <w:szCs w:val="21"/>
              </w:rPr>
            </w:pPr>
            <w:r>
              <w:rPr>
                <w:b/>
                <w:spacing w:val="-8"/>
                <w:szCs w:val="21"/>
              </w:rPr>
              <w:t>防范措施</w:t>
            </w:r>
          </w:p>
        </w:tc>
        <w:tc>
          <w:tcPr>
            <w:tcW w:w="8420" w:type="dxa"/>
            <w:gridSpan w:val="5"/>
            <w:vAlign w:val="center"/>
          </w:tcPr>
          <w:p w14:paraId="42C84BAD">
            <w:pPr>
              <w:spacing w:line="360" w:lineRule="auto"/>
              <w:rPr>
                <w:szCs w:val="21"/>
              </w:rPr>
            </w:pPr>
            <w:r>
              <w:rPr>
                <w:szCs w:val="21"/>
              </w:rPr>
              <w:t>1）</w:t>
            </w:r>
            <w:r>
              <w:rPr>
                <w:rFonts w:hint="eastAsia"/>
                <w:szCs w:val="21"/>
              </w:rPr>
              <w:t>做好环保设施运行、检修台账管理</w:t>
            </w:r>
          </w:p>
          <w:p w14:paraId="190BFC66">
            <w:pPr>
              <w:spacing w:line="360" w:lineRule="auto"/>
              <w:rPr>
                <w:szCs w:val="21"/>
              </w:rPr>
            </w:pPr>
            <w:r>
              <w:rPr>
                <w:szCs w:val="21"/>
              </w:rPr>
              <w:t>2）全</w:t>
            </w:r>
            <w:r>
              <w:rPr>
                <w:rFonts w:hint="eastAsia"/>
                <w:szCs w:val="21"/>
              </w:rPr>
              <w:t>厂</w:t>
            </w:r>
            <w:r>
              <w:rPr>
                <w:szCs w:val="21"/>
              </w:rPr>
              <w:t>配备足够的</w:t>
            </w:r>
            <w:r>
              <w:rPr>
                <w:rFonts w:hint="eastAsia"/>
                <w:szCs w:val="21"/>
              </w:rPr>
              <w:t>应急物资</w:t>
            </w:r>
            <w:r>
              <w:rPr>
                <w:szCs w:val="21"/>
              </w:rPr>
              <w:t>，将缓解风险降至最低。</w:t>
            </w:r>
          </w:p>
          <w:p w14:paraId="7BDE92A4">
            <w:pPr>
              <w:spacing w:line="360" w:lineRule="auto"/>
              <w:rPr>
                <w:szCs w:val="21"/>
              </w:rPr>
            </w:pPr>
            <w:r>
              <w:rPr>
                <w:szCs w:val="21"/>
              </w:rPr>
              <w:t>3）严格执行环评及相关法律法规要求，定期开展设备维护，保证其有效运行和去除效率；</w:t>
            </w:r>
          </w:p>
          <w:p w14:paraId="24ACA99F">
            <w:pPr>
              <w:spacing w:line="360" w:lineRule="auto"/>
              <w:rPr>
                <w:szCs w:val="21"/>
              </w:rPr>
            </w:pPr>
            <w:r>
              <w:rPr>
                <w:szCs w:val="21"/>
              </w:rPr>
              <w:t>4）制定环境风险应急预案</w:t>
            </w:r>
            <w:r>
              <w:rPr>
                <w:rFonts w:hint="eastAsia"/>
                <w:szCs w:val="21"/>
              </w:rPr>
              <w:t>，定期开展应急培训、演练</w:t>
            </w:r>
            <w:r>
              <w:rPr>
                <w:szCs w:val="21"/>
              </w:rPr>
              <w:t>。</w:t>
            </w:r>
          </w:p>
        </w:tc>
      </w:tr>
      <w:tr w14:paraId="791126E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786" w:type="dxa"/>
            <w:vAlign w:val="center"/>
          </w:tcPr>
          <w:p w14:paraId="41895180">
            <w:pPr>
              <w:adjustRightInd w:val="0"/>
              <w:snapToGrid w:val="0"/>
              <w:jc w:val="center"/>
              <w:rPr>
                <w:b/>
                <w:spacing w:val="-8"/>
                <w:szCs w:val="21"/>
              </w:rPr>
            </w:pPr>
            <w:r>
              <w:rPr>
                <w:b/>
                <w:spacing w:val="-8"/>
                <w:szCs w:val="21"/>
              </w:rPr>
              <w:t>其他环境</w:t>
            </w:r>
          </w:p>
          <w:p w14:paraId="4C087A6F">
            <w:pPr>
              <w:adjustRightInd w:val="0"/>
              <w:snapToGrid w:val="0"/>
              <w:jc w:val="center"/>
              <w:rPr>
                <w:b/>
                <w:spacing w:val="-8"/>
                <w:szCs w:val="21"/>
              </w:rPr>
            </w:pPr>
            <w:r>
              <w:rPr>
                <w:b/>
                <w:spacing w:val="-8"/>
                <w:szCs w:val="21"/>
              </w:rPr>
              <w:t>管理要求</w:t>
            </w:r>
          </w:p>
        </w:tc>
        <w:tc>
          <w:tcPr>
            <w:tcW w:w="8420" w:type="dxa"/>
            <w:gridSpan w:val="5"/>
            <w:vAlign w:val="center"/>
          </w:tcPr>
          <w:p w14:paraId="7C4DD37B">
            <w:pPr>
              <w:spacing w:line="360" w:lineRule="auto"/>
              <w:ind w:firstLine="420" w:firstLineChars="200"/>
              <w:rPr>
                <w:szCs w:val="21"/>
              </w:rPr>
            </w:pPr>
            <w:r>
              <w:rPr>
                <w:rFonts w:hint="eastAsia"/>
                <w:szCs w:val="21"/>
              </w:rPr>
              <w:t>（1）排污许可</w:t>
            </w:r>
          </w:p>
          <w:p w14:paraId="50B709BF">
            <w:pPr>
              <w:spacing w:line="360" w:lineRule="auto"/>
              <w:ind w:firstLine="420" w:firstLineChars="200"/>
              <w:rPr>
                <w:szCs w:val="21"/>
              </w:rPr>
            </w:pPr>
            <w:r>
              <w:rPr>
                <w:szCs w:val="21"/>
              </w:rPr>
              <w:t>根据《排污许可证管理办法（试行）》和《固定污染源排污许可分类管理名录（2019年版）》等相关政策文件，本项目排污许可证管理类别为“</w:t>
            </w:r>
            <w:r>
              <w:rPr>
                <w:rFonts w:hint="eastAsia"/>
                <w:szCs w:val="21"/>
              </w:rPr>
              <w:t>简化</w:t>
            </w:r>
            <w:r>
              <w:rPr>
                <w:szCs w:val="21"/>
              </w:rPr>
              <w:t>管理”，项目为改建项目，企业应在实际投入生产或发生排污前完成排污许可</w:t>
            </w:r>
            <w:r>
              <w:rPr>
                <w:rFonts w:hint="eastAsia"/>
                <w:szCs w:val="21"/>
              </w:rPr>
              <w:t>简化</w:t>
            </w:r>
            <w:r>
              <w:rPr>
                <w:szCs w:val="21"/>
              </w:rPr>
              <w:t>管理</w:t>
            </w:r>
            <w:r>
              <w:rPr>
                <w:rFonts w:hint="eastAsia"/>
                <w:szCs w:val="21"/>
              </w:rPr>
              <w:t>变更</w:t>
            </w:r>
            <w:r>
              <w:rPr>
                <w:szCs w:val="21"/>
              </w:rPr>
              <w:t>手续。</w:t>
            </w:r>
          </w:p>
          <w:p w14:paraId="18FDCC2A">
            <w:pPr>
              <w:pStyle w:val="42"/>
              <w:ind w:left="420" w:firstLine="0" w:firstLineChars="0"/>
              <w:rPr>
                <w:kern w:val="2"/>
                <w:sz w:val="21"/>
                <w:szCs w:val="21"/>
              </w:rPr>
            </w:pPr>
            <w:r>
              <w:rPr>
                <w:rFonts w:hint="eastAsia"/>
                <w:kern w:val="2"/>
                <w:sz w:val="21"/>
                <w:szCs w:val="21"/>
              </w:rPr>
              <w:t>（2）</w:t>
            </w:r>
            <w:r>
              <w:rPr>
                <w:kern w:val="2"/>
                <w:sz w:val="21"/>
                <w:szCs w:val="21"/>
              </w:rPr>
              <w:t>排污口规范化管理</w:t>
            </w:r>
          </w:p>
          <w:p w14:paraId="5B8E30B0">
            <w:pPr>
              <w:pStyle w:val="43"/>
              <w:spacing w:line="360" w:lineRule="auto"/>
              <w:ind w:firstLine="420"/>
              <w:rPr>
                <w:rFonts w:eastAsia="宋体"/>
                <w:sz w:val="21"/>
                <w:szCs w:val="21"/>
              </w:rPr>
            </w:pPr>
            <w:r>
              <w:rPr>
                <w:rFonts w:eastAsia="宋体"/>
                <w:sz w:val="21"/>
                <w:szCs w:val="21"/>
              </w:rPr>
              <w:t>按照国家环保总局环监《排污口规范化整治技术要求》，本项目排污口规范化管理具体要求见表6-1，各排污口图形符号见表6-2。</w:t>
            </w:r>
          </w:p>
          <w:p w14:paraId="78EEAA13">
            <w:pPr>
              <w:jc w:val="center"/>
              <w:rPr>
                <w:b/>
                <w:bCs/>
                <w:szCs w:val="21"/>
              </w:rPr>
            </w:pPr>
            <w:r>
              <w:rPr>
                <w:b/>
                <w:bCs/>
                <w:szCs w:val="21"/>
              </w:rPr>
              <w:t>表6-1  排污口规范化管理要求表</w:t>
            </w:r>
          </w:p>
          <w:tbl>
            <w:tblPr>
              <w:tblStyle w:val="20"/>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2"/>
              <w:gridCol w:w="6972"/>
            </w:tblGrid>
            <w:tr w14:paraId="77B605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4" w:type="dxa"/>
                  <w:vAlign w:val="center"/>
                </w:tcPr>
                <w:p w14:paraId="76FF8872">
                  <w:pPr>
                    <w:pStyle w:val="44"/>
                    <w:rPr>
                      <w:rFonts w:ascii="Times New Roman" w:eastAsia="宋体"/>
                      <w:b/>
                      <w:kern w:val="2"/>
                      <w:szCs w:val="21"/>
                    </w:rPr>
                  </w:pPr>
                  <w:r>
                    <w:rPr>
                      <w:rFonts w:ascii="Times New Roman" w:eastAsia="宋体"/>
                      <w:b/>
                      <w:kern w:val="2"/>
                      <w:szCs w:val="21"/>
                    </w:rPr>
                    <w:t>项  目</w:t>
                  </w:r>
                </w:p>
              </w:tc>
              <w:tc>
                <w:tcPr>
                  <w:tcW w:w="6986" w:type="dxa"/>
                  <w:vAlign w:val="center"/>
                </w:tcPr>
                <w:p w14:paraId="44226CD5">
                  <w:pPr>
                    <w:pStyle w:val="44"/>
                    <w:rPr>
                      <w:rFonts w:ascii="Times New Roman" w:eastAsia="宋体"/>
                      <w:b/>
                      <w:kern w:val="2"/>
                      <w:szCs w:val="21"/>
                    </w:rPr>
                  </w:pPr>
                  <w:r>
                    <w:rPr>
                      <w:rFonts w:ascii="Times New Roman" w:eastAsia="宋体"/>
                      <w:b/>
                      <w:kern w:val="2"/>
                      <w:szCs w:val="21"/>
                    </w:rPr>
                    <w:t>主要要求内容</w:t>
                  </w:r>
                </w:p>
              </w:tc>
            </w:tr>
            <w:tr w14:paraId="0D275D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4" w:type="dxa"/>
                  <w:vAlign w:val="center"/>
                </w:tcPr>
                <w:p w14:paraId="1CEF0C4B">
                  <w:pPr>
                    <w:pStyle w:val="44"/>
                    <w:rPr>
                      <w:rFonts w:ascii="Times New Roman" w:eastAsia="宋体"/>
                      <w:kern w:val="2"/>
                      <w:szCs w:val="21"/>
                    </w:rPr>
                  </w:pPr>
                  <w:r>
                    <w:rPr>
                      <w:rFonts w:ascii="Times New Roman" w:eastAsia="宋体"/>
                      <w:kern w:val="2"/>
                      <w:szCs w:val="21"/>
                    </w:rPr>
                    <w:t>基本原则</w:t>
                  </w:r>
                </w:p>
              </w:tc>
              <w:tc>
                <w:tcPr>
                  <w:tcW w:w="6986" w:type="dxa"/>
                  <w:vAlign w:val="center"/>
                </w:tcPr>
                <w:p w14:paraId="19B75C4F">
                  <w:pPr>
                    <w:pStyle w:val="44"/>
                    <w:jc w:val="left"/>
                    <w:rPr>
                      <w:rFonts w:ascii="Times New Roman" w:eastAsia="宋体"/>
                      <w:kern w:val="2"/>
                      <w:szCs w:val="21"/>
                    </w:rPr>
                  </w:pPr>
                  <w:r>
                    <w:rPr>
                      <w:rFonts w:ascii="Times New Roman" w:eastAsia="宋体"/>
                      <w:kern w:val="2"/>
                      <w:szCs w:val="21"/>
                    </w:rPr>
                    <w:t>1、凡向环境排放污染物的一切排污口必须进行规范化管理；</w:t>
                  </w:r>
                </w:p>
                <w:p w14:paraId="2A5D0BFB">
                  <w:pPr>
                    <w:pStyle w:val="44"/>
                    <w:jc w:val="left"/>
                    <w:rPr>
                      <w:rFonts w:ascii="Times New Roman" w:eastAsia="宋体"/>
                      <w:kern w:val="2"/>
                      <w:szCs w:val="21"/>
                    </w:rPr>
                  </w:pPr>
                  <w:r>
                    <w:rPr>
                      <w:rFonts w:ascii="Times New Roman" w:eastAsia="宋体"/>
                      <w:kern w:val="2"/>
                      <w:szCs w:val="21"/>
                    </w:rPr>
                    <w:t>2、将总量控制的污染物排污口及行业特征污染物排放口列为管理的重点；</w:t>
                  </w:r>
                </w:p>
                <w:p w14:paraId="4EA16863">
                  <w:pPr>
                    <w:pStyle w:val="44"/>
                    <w:jc w:val="left"/>
                    <w:rPr>
                      <w:rFonts w:ascii="Times New Roman" w:eastAsia="宋体"/>
                      <w:kern w:val="2"/>
                      <w:szCs w:val="21"/>
                    </w:rPr>
                  </w:pPr>
                  <w:r>
                    <w:rPr>
                      <w:rFonts w:ascii="Times New Roman" w:eastAsia="宋体"/>
                      <w:kern w:val="2"/>
                      <w:szCs w:val="21"/>
                    </w:rPr>
                    <w:t>3、排污口设置应便于采样和计量监测，便于日常现场监督和检查；</w:t>
                  </w:r>
                </w:p>
                <w:p w14:paraId="212E6D64">
                  <w:pPr>
                    <w:pStyle w:val="44"/>
                    <w:jc w:val="left"/>
                    <w:rPr>
                      <w:rFonts w:ascii="Times New Roman" w:eastAsia="宋体"/>
                      <w:kern w:val="2"/>
                      <w:szCs w:val="21"/>
                    </w:rPr>
                  </w:pPr>
                  <w:r>
                    <w:rPr>
                      <w:rFonts w:ascii="Times New Roman" w:eastAsia="宋体"/>
                      <w:kern w:val="2"/>
                      <w:szCs w:val="21"/>
                    </w:rPr>
                    <w:t>4、如实向环保行政主管部门申报排污口位置，排污种类、数量、浓度与排放去向等。</w:t>
                  </w:r>
                </w:p>
              </w:tc>
            </w:tr>
            <w:tr w14:paraId="21D9D2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4" w:type="dxa"/>
                  <w:vAlign w:val="center"/>
                </w:tcPr>
                <w:p w14:paraId="3A3A34D1">
                  <w:pPr>
                    <w:pStyle w:val="44"/>
                    <w:rPr>
                      <w:rFonts w:ascii="Times New Roman" w:eastAsia="宋体"/>
                      <w:kern w:val="2"/>
                      <w:szCs w:val="21"/>
                    </w:rPr>
                  </w:pPr>
                  <w:r>
                    <w:rPr>
                      <w:rFonts w:ascii="Times New Roman" w:eastAsia="宋体"/>
                      <w:kern w:val="2"/>
                      <w:szCs w:val="21"/>
                    </w:rPr>
                    <w:t>技术要求</w:t>
                  </w:r>
                </w:p>
              </w:tc>
              <w:tc>
                <w:tcPr>
                  <w:tcW w:w="6986" w:type="dxa"/>
                  <w:vAlign w:val="center"/>
                </w:tcPr>
                <w:p w14:paraId="6608F670">
                  <w:pPr>
                    <w:pStyle w:val="44"/>
                    <w:jc w:val="both"/>
                    <w:rPr>
                      <w:rFonts w:ascii="Times New Roman" w:eastAsia="宋体"/>
                      <w:kern w:val="2"/>
                      <w:szCs w:val="21"/>
                    </w:rPr>
                  </w:pPr>
                  <w:r>
                    <w:rPr>
                      <w:rFonts w:ascii="Times New Roman" w:eastAsia="宋体"/>
                      <w:kern w:val="2"/>
                      <w:szCs w:val="21"/>
                    </w:rPr>
                    <w:t>1、排污口位置必须按照环监（1996）470号文要求合理确定，实行规范化管理；</w:t>
                  </w:r>
                </w:p>
                <w:p w14:paraId="00E30F97">
                  <w:pPr>
                    <w:pStyle w:val="44"/>
                    <w:jc w:val="both"/>
                    <w:rPr>
                      <w:rFonts w:ascii="Times New Roman" w:eastAsia="宋体"/>
                      <w:kern w:val="2"/>
                      <w:szCs w:val="21"/>
                    </w:rPr>
                  </w:pPr>
                  <w:r>
                    <w:rPr>
                      <w:rFonts w:ascii="Times New Roman" w:eastAsia="宋体"/>
                      <w:kern w:val="2"/>
                      <w:szCs w:val="21"/>
                    </w:rPr>
                    <w:t>2、具体设置应符合《污染源监测技术规范》的规定与要求。</w:t>
                  </w:r>
                </w:p>
              </w:tc>
            </w:tr>
            <w:tr w14:paraId="069EF2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4" w:type="dxa"/>
                  <w:vAlign w:val="center"/>
                </w:tcPr>
                <w:p w14:paraId="3C75C5E5">
                  <w:pPr>
                    <w:pStyle w:val="44"/>
                    <w:rPr>
                      <w:rFonts w:ascii="Times New Roman" w:eastAsia="宋体"/>
                      <w:kern w:val="2"/>
                      <w:szCs w:val="21"/>
                    </w:rPr>
                  </w:pPr>
                  <w:r>
                    <w:rPr>
                      <w:rFonts w:ascii="Times New Roman" w:eastAsia="宋体"/>
                      <w:kern w:val="2"/>
                      <w:szCs w:val="21"/>
                    </w:rPr>
                    <w:t>立标管理</w:t>
                  </w:r>
                </w:p>
              </w:tc>
              <w:tc>
                <w:tcPr>
                  <w:tcW w:w="6986" w:type="dxa"/>
                  <w:vAlign w:val="center"/>
                </w:tcPr>
                <w:p w14:paraId="0D35BA7F">
                  <w:pPr>
                    <w:pStyle w:val="44"/>
                    <w:jc w:val="both"/>
                    <w:rPr>
                      <w:rFonts w:ascii="Times New Roman" w:eastAsia="宋体"/>
                      <w:kern w:val="2"/>
                      <w:szCs w:val="21"/>
                    </w:rPr>
                  </w:pPr>
                  <w:r>
                    <w:rPr>
                      <w:rFonts w:ascii="Times New Roman" w:eastAsia="宋体"/>
                      <w:kern w:val="2"/>
                      <w:szCs w:val="21"/>
                    </w:rPr>
                    <w:t>1、排污口必须按照国家《环境保护图形标志》相关规定，设置环保图形标志牌；</w:t>
                  </w:r>
                </w:p>
                <w:p w14:paraId="61406344">
                  <w:pPr>
                    <w:pStyle w:val="44"/>
                    <w:jc w:val="both"/>
                    <w:rPr>
                      <w:rFonts w:ascii="Times New Roman" w:eastAsia="宋体"/>
                      <w:kern w:val="2"/>
                      <w:szCs w:val="21"/>
                    </w:rPr>
                  </w:pPr>
                  <w:r>
                    <w:rPr>
                      <w:rFonts w:ascii="Times New Roman" w:eastAsia="宋体"/>
                      <w:kern w:val="2"/>
                      <w:szCs w:val="21"/>
                    </w:rPr>
                    <w:t>2、标志牌设置位置应距排污口及固体废物贮存（处置）场或采样点较近且醒目处，设置高度一般为标志牌上缘距离地面约2m；</w:t>
                  </w:r>
                </w:p>
                <w:p w14:paraId="7E2D0C54">
                  <w:pPr>
                    <w:pStyle w:val="44"/>
                    <w:jc w:val="both"/>
                    <w:rPr>
                      <w:rFonts w:ascii="Times New Roman" w:eastAsia="宋体"/>
                      <w:kern w:val="2"/>
                      <w:szCs w:val="21"/>
                    </w:rPr>
                  </w:pPr>
                  <w:r>
                    <w:rPr>
                      <w:rFonts w:ascii="Times New Roman" w:eastAsia="宋体"/>
                      <w:kern w:val="2"/>
                      <w:szCs w:val="21"/>
                    </w:rPr>
                    <w:t>3、重点排污单位排污口设立式标志牌，一般单位排污口可设立式或平面固定式提示性环保图形标志牌；</w:t>
                  </w:r>
                </w:p>
                <w:p w14:paraId="213EF08C">
                  <w:pPr>
                    <w:pStyle w:val="44"/>
                    <w:jc w:val="both"/>
                    <w:rPr>
                      <w:rFonts w:ascii="Times New Roman" w:eastAsia="宋体"/>
                      <w:kern w:val="2"/>
                      <w:szCs w:val="21"/>
                    </w:rPr>
                  </w:pPr>
                  <w:r>
                    <w:rPr>
                      <w:rFonts w:ascii="Times New Roman" w:eastAsia="宋体"/>
                      <w:kern w:val="2"/>
                      <w:szCs w:val="21"/>
                    </w:rPr>
                    <w:t>4、对危险物贮存、处置场所，必须设置警告性环境保护图形标志牌。</w:t>
                  </w:r>
                </w:p>
              </w:tc>
            </w:tr>
            <w:tr w14:paraId="6938FD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234" w:type="dxa"/>
                  <w:vAlign w:val="center"/>
                </w:tcPr>
                <w:p w14:paraId="1AC6B842">
                  <w:pPr>
                    <w:pStyle w:val="44"/>
                    <w:rPr>
                      <w:rFonts w:ascii="Times New Roman" w:eastAsia="宋体"/>
                      <w:kern w:val="2"/>
                      <w:szCs w:val="21"/>
                    </w:rPr>
                  </w:pPr>
                  <w:r>
                    <w:rPr>
                      <w:rFonts w:ascii="Times New Roman" w:eastAsia="宋体"/>
                      <w:kern w:val="2"/>
                      <w:szCs w:val="21"/>
                    </w:rPr>
                    <w:t>建档管理</w:t>
                  </w:r>
                </w:p>
              </w:tc>
              <w:tc>
                <w:tcPr>
                  <w:tcW w:w="6986" w:type="dxa"/>
                  <w:vAlign w:val="center"/>
                </w:tcPr>
                <w:p w14:paraId="54977718">
                  <w:pPr>
                    <w:pStyle w:val="44"/>
                    <w:jc w:val="both"/>
                    <w:rPr>
                      <w:rFonts w:ascii="Times New Roman" w:eastAsia="宋体"/>
                      <w:kern w:val="2"/>
                      <w:szCs w:val="21"/>
                    </w:rPr>
                  </w:pPr>
                  <w:r>
                    <w:rPr>
                      <w:rFonts w:ascii="Times New Roman" w:eastAsia="宋体"/>
                      <w:kern w:val="2"/>
                      <w:szCs w:val="21"/>
                    </w:rPr>
                    <w:t>1、使用《中华人民共和国规范化排污口标志登记证》，并按要求填写有关内容；</w:t>
                  </w:r>
                </w:p>
                <w:p w14:paraId="51C0B99F">
                  <w:pPr>
                    <w:pStyle w:val="44"/>
                    <w:jc w:val="both"/>
                    <w:rPr>
                      <w:rFonts w:ascii="Times New Roman" w:eastAsia="宋体"/>
                      <w:kern w:val="2"/>
                      <w:szCs w:val="21"/>
                    </w:rPr>
                  </w:pPr>
                  <w:r>
                    <w:rPr>
                      <w:rFonts w:ascii="Times New Roman" w:eastAsia="宋体"/>
                      <w:kern w:val="2"/>
                      <w:szCs w:val="21"/>
                    </w:rPr>
                    <w:t>2、严格按照环境管理监控计划及排污口管理内容要求，在工程建成后将主要污染物种类、数量、排放浓度与去向，立标及环保设施运行情况记录在案，并及时上报；</w:t>
                  </w:r>
                </w:p>
                <w:p w14:paraId="699DE3CC">
                  <w:pPr>
                    <w:pStyle w:val="44"/>
                    <w:jc w:val="both"/>
                    <w:rPr>
                      <w:rFonts w:ascii="Times New Roman" w:eastAsia="宋体"/>
                      <w:kern w:val="2"/>
                      <w:szCs w:val="21"/>
                    </w:rPr>
                  </w:pPr>
                  <w:r>
                    <w:rPr>
                      <w:rFonts w:ascii="Times New Roman" w:eastAsia="宋体"/>
                      <w:kern w:val="2"/>
                      <w:szCs w:val="21"/>
                    </w:rPr>
                    <w:t>3、选派有专业技能环保人员对排污口进行管理，做到责任明确、奖罚分明。</w:t>
                  </w:r>
                </w:p>
              </w:tc>
            </w:tr>
          </w:tbl>
          <w:p w14:paraId="4A63C80A">
            <w:pPr>
              <w:jc w:val="center"/>
              <w:rPr>
                <w:b/>
                <w:bCs/>
                <w:szCs w:val="21"/>
              </w:rPr>
            </w:pPr>
          </w:p>
          <w:p w14:paraId="70FDFBD9">
            <w:pPr>
              <w:jc w:val="center"/>
              <w:rPr>
                <w:b/>
                <w:bCs/>
                <w:szCs w:val="21"/>
              </w:rPr>
            </w:pPr>
            <w:r>
              <w:rPr>
                <w:b/>
                <w:bCs/>
                <w:szCs w:val="21"/>
              </w:rPr>
              <w:t>表6-2  排污口图形符号（提示标志）一览表</w:t>
            </w:r>
          </w:p>
          <w:tbl>
            <w:tblPr>
              <w:tblStyle w:val="20"/>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48"/>
              <w:gridCol w:w="2075"/>
              <w:gridCol w:w="2244"/>
              <w:gridCol w:w="1206"/>
              <w:gridCol w:w="2028"/>
            </w:tblGrid>
            <w:tr w14:paraId="3D3D08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413" w:type="pct"/>
                  <w:vAlign w:val="center"/>
                </w:tcPr>
                <w:p w14:paraId="5AB3BA54">
                  <w:pPr>
                    <w:pStyle w:val="45"/>
                    <w:rPr>
                      <w:szCs w:val="21"/>
                    </w:rPr>
                  </w:pPr>
                  <w:r>
                    <w:rPr>
                      <w:szCs w:val="21"/>
                    </w:rPr>
                    <w:t>序号</w:t>
                  </w:r>
                </w:p>
              </w:tc>
              <w:tc>
                <w:tcPr>
                  <w:tcW w:w="1282" w:type="pct"/>
                  <w:vAlign w:val="center"/>
                </w:tcPr>
                <w:p w14:paraId="3C000427">
                  <w:pPr>
                    <w:pStyle w:val="45"/>
                    <w:rPr>
                      <w:szCs w:val="21"/>
                    </w:rPr>
                  </w:pPr>
                  <w:r>
                    <w:rPr>
                      <w:szCs w:val="21"/>
                    </w:rPr>
                    <w:fldChar w:fldCharType="begin"/>
                  </w:r>
                  <w:r>
                    <w:rPr>
                      <w:szCs w:val="21"/>
                    </w:rPr>
                    <w:instrText xml:space="preserve"> =  \* MERGEFORMAT </w:instrText>
                  </w:r>
                  <w:r>
                    <w:rPr>
                      <w:szCs w:val="21"/>
                    </w:rPr>
                    <w:fldChar w:fldCharType="separate"/>
                  </w:r>
                  <w:r>
                    <w:rPr>
                      <w:szCs w:val="21"/>
                    </w:rPr>
                    <w:fldChar w:fldCharType="end"/>
                  </w:r>
                  <w:r>
                    <w:rPr>
                      <w:szCs w:val="21"/>
                    </w:rPr>
                    <w:t>提示图像符号</w:t>
                  </w:r>
                </w:p>
              </w:tc>
              <w:tc>
                <w:tcPr>
                  <w:tcW w:w="1296" w:type="pct"/>
                  <w:vAlign w:val="center"/>
                </w:tcPr>
                <w:p w14:paraId="67AC2BA0">
                  <w:pPr>
                    <w:pStyle w:val="45"/>
                    <w:rPr>
                      <w:szCs w:val="21"/>
                    </w:rPr>
                  </w:pPr>
                  <w:r>
                    <w:rPr>
                      <w:szCs w:val="21"/>
                    </w:rPr>
                    <w:t>警告图像符号</w:t>
                  </w:r>
                </w:p>
              </w:tc>
              <w:tc>
                <w:tcPr>
                  <w:tcW w:w="753" w:type="pct"/>
                  <w:vAlign w:val="center"/>
                </w:tcPr>
                <w:p w14:paraId="531282B3">
                  <w:pPr>
                    <w:pStyle w:val="45"/>
                    <w:rPr>
                      <w:szCs w:val="21"/>
                    </w:rPr>
                  </w:pPr>
                  <w:r>
                    <w:rPr>
                      <w:szCs w:val="21"/>
                    </w:rPr>
                    <w:t>名称</w:t>
                  </w:r>
                </w:p>
              </w:tc>
              <w:tc>
                <w:tcPr>
                  <w:tcW w:w="1253" w:type="pct"/>
                  <w:vAlign w:val="center"/>
                </w:tcPr>
                <w:p w14:paraId="082CE43F">
                  <w:pPr>
                    <w:pStyle w:val="45"/>
                    <w:rPr>
                      <w:szCs w:val="21"/>
                    </w:rPr>
                  </w:pPr>
                  <w:r>
                    <w:rPr>
                      <w:szCs w:val="21"/>
                    </w:rPr>
                    <w:t>功能</w:t>
                  </w:r>
                </w:p>
              </w:tc>
            </w:tr>
            <w:tr w14:paraId="000A3D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1749" w:hRule="atLeast"/>
                <w:jc w:val="center"/>
              </w:trPr>
              <w:tc>
                <w:tcPr>
                  <w:tcW w:w="413" w:type="pct"/>
                  <w:vAlign w:val="center"/>
                </w:tcPr>
                <w:p w14:paraId="69893D01">
                  <w:pPr>
                    <w:pStyle w:val="45"/>
                    <w:rPr>
                      <w:szCs w:val="21"/>
                    </w:rPr>
                  </w:pPr>
                  <w:r>
                    <w:rPr>
                      <w:rFonts w:hint="eastAsia"/>
                      <w:szCs w:val="21"/>
                    </w:rPr>
                    <w:t>1</w:t>
                  </w:r>
                </w:p>
              </w:tc>
              <w:tc>
                <w:tcPr>
                  <w:tcW w:w="1282" w:type="pct"/>
                  <w:vAlign w:val="center"/>
                </w:tcPr>
                <w:p w14:paraId="50F636D7">
                  <w:pPr>
                    <w:pStyle w:val="45"/>
                    <w:rPr>
                      <w:szCs w:val="21"/>
                    </w:rPr>
                  </w:pPr>
                  <w:r>
                    <w:rPr>
                      <w:szCs w:val="21"/>
                    </w:rPr>
                    <w:drawing>
                      <wp:anchor distT="0" distB="0" distL="114300" distR="114300" simplePos="0" relativeHeight="251673600" behindDoc="0" locked="0" layoutInCell="1" allowOverlap="1">
                        <wp:simplePos x="0" y="0"/>
                        <wp:positionH relativeFrom="column">
                          <wp:posOffset>113665</wp:posOffset>
                        </wp:positionH>
                        <wp:positionV relativeFrom="paragraph">
                          <wp:posOffset>33655</wp:posOffset>
                        </wp:positionV>
                        <wp:extent cx="938530" cy="947420"/>
                        <wp:effectExtent l="0" t="0" r="13970" b="5080"/>
                        <wp:wrapNone/>
                        <wp:docPr id="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0"/>
                                <pic:cNvPicPr>
                                  <a:picLocks noChangeAspect="1"/>
                                </pic:cNvPicPr>
                              </pic:nvPicPr>
                              <pic:blipFill>
                                <a:blip r:embed="rId30"/>
                                <a:stretch>
                                  <a:fillRect/>
                                </a:stretch>
                              </pic:blipFill>
                              <pic:spPr>
                                <a:xfrm>
                                  <a:off x="0" y="0"/>
                                  <a:ext cx="938530" cy="947420"/>
                                </a:xfrm>
                                <a:prstGeom prst="rect">
                                  <a:avLst/>
                                </a:prstGeom>
                                <a:noFill/>
                                <a:ln>
                                  <a:noFill/>
                                </a:ln>
                              </pic:spPr>
                            </pic:pic>
                          </a:graphicData>
                        </a:graphic>
                      </wp:anchor>
                    </w:drawing>
                  </w:r>
                </w:p>
                <w:p w14:paraId="10A2AA07">
                  <w:pPr>
                    <w:pStyle w:val="45"/>
                    <w:rPr>
                      <w:szCs w:val="21"/>
                    </w:rPr>
                  </w:pPr>
                </w:p>
                <w:p w14:paraId="4B6192CD">
                  <w:pPr>
                    <w:pStyle w:val="45"/>
                    <w:rPr>
                      <w:szCs w:val="21"/>
                    </w:rPr>
                  </w:pPr>
                </w:p>
                <w:p w14:paraId="7949AE84">
                  <w:pPr>
                    <w:pStyle w:val="45"/>
                    <w:rPr>
                      <w:szCs w:val="21"/>
                    </w:rPr>
                  </w:pPr>
                </w:p>
                <w:p w14:paraId="1AB8FB50">
                  <w:pPr>
                    <w:pStyle w:val="45"/>
                    <w:rPr>
                      <w:szCs w:val="21"/>
                    </w:rPr>
                  </w:pPr>
                </w:p>
              </w:tc>
              <w:tc>
                <w:tcPr>
                  <w:tcW w:w="1296" w:type="pct"/>
                  <w:vAlign w:val="center"/>
                </w:tcPr>
                <w:p w14:paraId="458DDB31">
                  <w:pPr>
                    <w:pStyle w:val="45"/>
                    <w:rPr>
                      <w:szCs w:val="21"/>
                    </w:rPr>
                  </w:pPr>
                  <w:r>
                    <w:rPr>
                      <w:szCs w:val="21"/>
                    </w:rPr>
                    <w:drawing>
                      <wp:anchor distT="0" distB="0" distL="114300" distR="114300" simplePos="0" relativeHeight="251672576" behindDoc="0" locked="0" layoutInCell="1" allowOverlap="1">
                        <wp:simplePos x="0" y="0"/>
                        <wp:positionH relativeFrom="column">
                          <wp:posOffset>99695</wp:posOffset>
                        </wp:positionH>
                        <wp:positionV relativeFrom="paragraph">
                          <wp:posOffset>92710</wp:posOffset>
                        </wp:positionV>
                        <wp:extent cx="962025" cy="843915"/>
                        <wp:effectExtent l="0" t="0" r="9525" b="13335"/>
                        <wp:wrapNone/>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pic:cNvPicPr>
                              </pic:nvPicPr>
                              <pic:blipFill>
                                <a:blip r:embed="rId31"/>
                                <a:stretch>
                                  <a:fillRect/>
                                </a:stretch>
                              </pic:blipFill>
                              <pic:spPr>
                                <a:xfrm>
                                  <a:off x="0" y="0"/>
                                  <a:ext cx="962025" cy="843915"/>
                                </a:xfrm>
                                <a:prstGeom prst="rect">
                                  <a:avLst/>
                                </a:prstGeom>
                                <a:noFill/>
                                <a:ln>
                                  <a:noFill/>
                                </a:ln>
                              </pic:spPr>
                            </pic:pic>
                          </a:graphicData>
                        </a:graphic>
                      </wp:anchor>
                    </w:drawing>
                  </w:r>
                </w:p>
              </w:tc>
              <w:tc>
                <w:tcPr>
                  <w:tcW w:w="753" w:type="pct"/>
                  <w:vAlign w:val="center"/>
                </w:tcPr>
                <w:p w14:paraId="6E1ECA4E">
                  <w:pPr>
                    <w:pStyle w:val="45"/>
                    <w:rPr>
                      <w:szCs w:val="21"/>
                    </w:rPr>
                  </w:pPr>
                  <w:r>
                    <w:rPr>
                      <w:szCs w:val="21"/>
                    </w:rPr>
                    <w:t>废水排放口</w:t>
                  </w:r>
                </w:p>
              </w:tc>
              <w:tc>
                <w:tcPr>
                  <w:tcW w:w="1253" w:type="pct"/>
                  <w:vAlign w:val="center"/>
                </w:tcPr>
                <w:p w14:paraId="2E43F491">
                  <w:pPr>
                    <w:pStyle w:val="45"/>
                    <w:rPr>
                      <w:szCs w:val="21"/>
                    </w:rPr>
                  </w:pPr>
                  <w:r>
                    <w:rPr>
                      <w:szCs w:val="21"/>
                    </w:rPr>
                    <w:t>表示废水向水环境排放</w:t>
                  </w:r>
                </w:p>
              </w:tc>
            </w:tr>
            <w:tr w14:paraId="6DA590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413" w:type="pct"/>
                  <w:vAlign w:val="center"/>
                </w:tcPr>
                <w:p w14:paraId="23EA68D5">
                  <w:pPr>
                    <w:pStyle w:val="45"/>
                    <w:rPr>
                      <w:szCs w:val="21"/>
                    </w:rPr>
                  </w:pPr>
                  <w:r>
                    <w:rPr>
                      <w:rFonts w:hint="eastAsia"/>
                      <w:szCs w:val="21"/>
                    </w:rPr>
                    <w:t>2</w:t>
                  </w:r>
                </w:p>
              </w:tc>
              <w:tc>
                <w:tcPr>
                  <w:tcW w:w="1282" w:type="pct"/>
                  <w:vAlign w:val="center"/>
                </w:tcPr>
                <w:p w14:paraId="72C48114">
                  <w:pPr>
                    <w:pStyle w:val="45"/>
                    <w:rPr>
                      <w:szCs w:val="21"/>
                    </w:rPr>
                  </w:pPr>
                  <w:r>
                    <w:drawing>
                      <wp:inline distT="0" distB="0" distL="114300" distR="114300">
                        <wp:extent cx="1031875" cy="1073785"/>
                        <wp:effectExtent l="0" t="0" r="15875" b="1206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32"/>
                                <a:srcRect l="38977"/>
                                <a:stretch>
                                  <a:fillRect/>
                                </a:stretch>
                              </pic:blipFill>
                              <pic:spPr>
                                <a:xfrm>
                                  <a:off x="0" y="0"/>
                                  <a:ext cx="1031875" cy="1073785"/>
                                </a:xfrm>
                                <a:prstGeom prst="rect">
                                  <a:avLst/>
                                </a:prstGeom>
                                <a:noFill/>
                                <a:ln>
                                  <a:noFill/>
                                </a:ln>
                              </pic:spPr>
                            </pic:pic>
                          </a:graphicData>
                        </a:graphic>
                      </wp:inline>
                    </w:drawing>
                  </w:r>
                </w:p>
              </w:tc>
              <w:tc>
                <w:tcPr>
                  <w:tcW w:w="1296" w:type="pct"/>
                  <w:vAlign w:val="center"/>
                </w:tcPr>
                <w:p w14:paraId="7798D19A">
                  <w:pPr>
                    <w:pStyle w:val="45"/>
                    <w:rPr>
                      <w:szCs w:val="21"/>
                    </w:rPr>
                  </w:pPr>
                  <w:r>
                    <w:drawing>
                      <wp:inline distT="0" distB="0" distL="114300" distR="114300">
                        <wp:extent cx="1344930" cy="1009015"/>
                        <wp:effectExtent l="0" t="0" r="7620" b="635"/>
                        <wp:docPr id="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
                                <pic:cNvPicPr>
                                  <a:picLocks noChangeAspect="1"/>
                                </pic:cNvPicPr>
                              </pic:nvPicPr>
                              <pic:blipFill>
                                <a:blip r:embed="rId33"/>
                                <a:stretch>
                                  <a:fillRect/>
                                </a:stretch>
                              </pic:blipFill>
                              <pic:spPr>
                                <a:xfrm>
                                  <a:off x="0" y="0"/>
                                  <a:ext cx="1344930" cy="1009015"/>
                                </a:xfrm>
                                <a:prstGeom prst="rect">
                                  <a:avLst/>
                                </a:prstGeom>
                                <a:noFill/>
                                <a:ln>
                                  <a:noFill/>
                                </a:ln>
                              </pic:spPr>
                            </pic:pic>
                          </a:graphicData>
                        </a:graphic>
                      </wp:inline>
                    </w:drawing>
                  </w:r>
                </w:p>
              </w:tc>
              <w:tc>
                <w:tcPr>
                  <w:tcW w:w="753" w:type="pct"/>
                  <w:vAlign w:val="center"/>
                </w:tcPr>
                <w:p w14:paraId="3CADEC2B">
                  <w:pPr>
                    <w:pStyle w:val="45"/>
                    <w:rPr>
                      <w:szCs w:val="21"/>
                    </w:rPr>
                  </w:pPr>
                  <w:r>
                    <w:rPr>
                      <w:szCs w:val="21"/>
                    </w:rPr>
                    <w:t>废</w:t>
                  </w:r>
                  <w:r>
                    <w:rPr>
                      <w:rFonts w:hint="eastAsia"/>
                      <w:szCs w:val="21"/>
                    </w:rPr>
                    <w:t>气</w:t>
                  </w:r>
                  <w:r>
                    <w:rPr>
                      <w:szCs w:val="21"/>
                    </w:rPr>
                    <w:t>排放口</w:t>
                  </w:r>
                </w:p>
              </w:tc>
              <w:tc>
                <w:tcPr>
                  <w:tcW w:w="1253" w:type="pct"/>
                  <w:vAlign w:val="center"/>
                </w:tcPr>
                <w:p w14:paraId="774A04C2">
                  <w:pPr>
                    <w:pStyle w:val="45"/>
                    <w:rPr>
                      <w:szCs w:val="21"/>
                    </w:rPr>
                  </w:pPr>
                  <w:r>
                    <w:rPr>
                      <w:szCs w:val="21"/>
                    </w:rPr>
                    <w:t>表示</w:t>
                  </w:r>
                  <w:r>
                    <w:rPr>
                      <w:rFonts w:hint="eastAsia"/>
                      <w:szCs w:val="21"/>
                    </w:rPr>
                    <w:t>废气</w:t>
                  </w:r>
                  <w:r>
                    <w:rPr>
                      <w:szCs w:val="21"/>
                    </w:rPr>
                    <w:t>向</w:t>
                  </w:r>
                  <w:r>
                    <w:rPr>
                      <w:rFonts w:hint="eastAsia"/>
                      <w:szCs w:val="21"/>
                    </w:rPr>
                    <w:t>大气</w:t>
                  </w:r>
                  <w:r>
                    <w:rPr>
                      <w:szCs w:val="21"/>
                    </w:rPr>
                    <w:t>环境排放</w:t>
                  </w:r>
                </w:p>
              </w:tc>
            </w:tr>
          </w:tbl>
          <w:p w14:paraId="0399A29D">
            <w:pPr>
              <w:spacing w:line="360" w:lineRule="auto"/>
              <w:ind w:firstLine="420" w:firstLineChars="200"/>
              <w:rPr>
                <w:szCs w:val="21"/>
              </w:rPr>
            </w:pPr>
            <w:r>
              <w:rPr>
                <w:rFonts w:hint="eastAsia"/>
                <w:szCs w:val="21"/>
              </w:rPr>
              <w:t>（3）竣工验收</w:t>
            </w:r>
          </w:p>
          <w:p w14:paraId="3800096C">
            <w:pPr>
              <w:spacing w:line="360" w:lineRule="auto"/>
              <w:ind w:firstLine="420" w:firstLineChars="200"/>
              <w:rPr>
                <w:szCs w:val="21"/>
              </w:rPr>
            </w:pPr>
            <w:r>
              <w:rPr>
                <w:rFonts w:hint="eastAsia"/>
                <w:szCs w:val="21"/>
              </w:rPr>
              <w:t>建设单位应依据建设项目竣工环境保护验收技术规范、环评文件及其批复的要求，自主开展环境保护竣工验收相关工作。建设项目配套建设的环境保护设施经验收合格，方可投入生产或者使用，未经验收或者验收不合格的，不得投入生产或者使用。</w:t>
            </w:r>
          </w:p>
          <w:p w14:paraId="74764A66">
            <w:pPr>
              <w:ind w:firstLine="420" w:firstLineChars="200"/>
              <w:rPr>
                <w:szCs w:val="21"/>
              </w:rPr>
            </w:pPr>
          </w:p>
        </w:tc>
      </w:tr>
    </w:tbl>
    <w:p w14:paraId="220E9C3A">
      <w:pPr>
        <w:pStyle w:val="16"/>
        <w:outlineLvl w:val="0"/>
        <w:rPr>
          <w:rFonts w:hint="eastAsia" w:ascii="黑体" w:hAnsi="黑体" w:eastAsia="黑体"/>
          <w:snapToGrid w:val="0"/>
          <w:sz w:val="30"/>
          <w:szCs w:val="30"/>
        </w:rPr>
      </w:pPr>
      <w:r>
        <w:rPr>
          <w:snapToGrid w:val="0"/>
        </w:rPr>
        <w:br w:type="page"/>
      </w:r>
      <w:bookmarkStart w:id="22" w:name="_Toc23775"/>
      <w:r>
        <w:rPr>
          <w:rFonts w:hint="eastAsia" w:ascii="Times New Roman" w:hAnsi="Times New Roman" w:eastAsia="黑体"/>
          <w:b/>
          <w:bCs/>
          <w:kern w:val="44"/>
          <w:sz w:val="30"/>
          <w:szCs w:val="30"/>
        </w:rPr>
        <w:t>六、结论</w:t>
      </w:r>
      <w:bookmarkEnd w:id="22"/>
    </w:p>
    <w:tbl>
      <w:tblPr>
        <w:tblStyle w:val="20"/>
        <w:tblW w:w="1020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206"/>
      </w:tblGrid>
      <w:tr w14:paraId="0A221C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991" w:hRule="atLeast"/>
          <w:jc w:val="center"/>
        </w:trPr>
        <w:tc>
          <w:tcPr>
            <w:tcW w:w="8865" w:type="dxa"/>
            <w:vAlign w:val="center"/>
          </w:tcPr>
          <w:p w14:paraId="258C1FFC">
            <w:pPr>
              <w:autoSpaceDE w:val="0"/>
              <w:autoSpaceDN w:val="0"/>
              <w:adjustRightInd w:val="0"/>
              <w:spacing w:line="360" w:lineRule="auto"/>
              <w:ind w:firstLine="480" w:firstLineChars="200"/>
              <w:rPr>
                <w:kern w:val="0"/>
                <w:sz w:val="24"/>
              </w:rPr>
            </w:pPr>
            <w:r>
              <w:rPr>
                <w:kern w:val="0"/>
                <w:sz w:val="24"/>
              </w:rPr>
              <w:t>本项目建设符合国家产业政策和区域环境功能区划，用地性质符合区域土地利用规划，项目选址合理。项目建设符</w:t>
            </w:r>
            <w:r>
              <w:rPr>
                <w:rFonts w:ascii="宋体" w:hAnsi="宋体"/>
                <w:kern w:val="0"/>
                <w:sz w:val="24"/>
              </w:rPr>
              <w:t>合“三线一单”</w:t>
            </w:r>
            <w:r>
              <w:rPr>
                <w:kern w:val="0"/>
                <w:sz w:val="24"/>
              </w:rPr>
              <w:t>要求，项目不属于《</w:t>
            </w:r>
            <w:r>
              <w:rPr>
                <w:rFonts w:hint="eastAsia"/>
                <w:kern w:val="0"/>
                <w:sz w:val="24"/>
              </w:rPr>
              <w:t>产业结构调整指导目录（2024年本）</w:t>
            </w:r>
            <w:r>
              <w:rPr>
                <w:kern w:val="0"/>
                <w:sz w:val="24"/>
              </w:rPr>
              <w:t>》淘汰类和限制类项目，不属于</w:t>
            </w:r>
            <w:r>
              <w:rPr>
                <w:rFonts w:hint="eastAsia"/>
                <w:kern w:val="0"/>
                <w:sz w:val="24"/>
              </w:rPr>
              <w:t>《市场准入负面清单》</w:t>
            </w:r>
            <w:r>
              <w:rPr>
                <w:rFonts w:hint="eastAsia"/>
                <w:kern w:val="0"/>
                <w:sz w:val="24"/>
                <w:lang w:eastAsia="zh-CN"/>
              </w:rPr>
              <w:t>（</w:t>
            </w:r>
            <w:r>
              <w:rPr>
                <w:rFonts w:hint="eastAsia"/>
                <w:kern w:val="0"/>
                <w:sz w:val="24"/>
              </w:rPr>
              <w:t>2022年版）</w:t>
            </w:r>
            <w:r>
              <w:rPr>
                <w:kern w:val="0"/>
                <w:sz w:val="24"/>
              </w:rPr>
              <w:t>的负面清单禁止准入类项目。建设单位应严格落实报告中要求采取的污染防治措施，保证废气、废水、噪声达标排放，妥善处理各类固体废物。建设单位切实落实好本环境影响报告表中的环保措施，则本项目的建设不会对周围的环境产生明显的影响。</w:t>
            </w:r>
          </w:p>
          <w:p w14:paraId="0BB3C1E5">
            <w:pPr>
              <w:autoSpaceDE w:val="0"/>
              <w:autoSpaceDN w:val="0"/>
              <w:adjustRightInd w:val="0"/>
              <w:spacing w:line="360" w:lineRule="auto"/>
              <w:ind w:firstLine="480" w:firstLineChars="200"/>
              <w:rPr>
                <w:rFonts w:ascii="宋体" w:cs="宋体"/>
                <w:sz w:val="24"/>
              </w:rPr>
            </w:pPr>
            <w:r>
              <w:rPr>
                <w:kern w:val="0"/>
                <w:sz w:val="24"/>
              </w:rPr>
              <w:t>从环境保护的角度分析，本项目建设可行。</w:t>
            </w:r>
          </w:p>
        </w:tc>
      </w:tr>
    </w:tbl>
    <w:p w14:paraId="3010EC14">
      <w:pPr>
        <w:rPr>
          <w:rFonts w:ascii="宋体"/>
        </w:rPr>
        <w:sectPr>
          <w:pgSz w:w="11906" w:h="16838"/>
          <w:pgMar w:top="1701" w:right="1531" w:bottom="1701" w:left="1531" w:header="851" w:footer="851" w:gutter="0"/>
          <w:cols w:space="720" w:num="1"/>
          <w:docGrid w:linePitch="312" w:charSpace="0"/>
        </w:sectPr>
      </w:pPr>
    </w:p>
    <w:p w14:paraId="6F437301">
      <w:pPr>
        <w:pStyle w:val="16"/>
        <w:spacing w:before="0" w:beforeAutospacing="0" w:after="0" w:afterAutospacing="0"/>
        <w:outlineLvl w:val="0"/>
        <w:rPr>
          <w:rFonts w:hint="eastAsia" w:ascii="黑体" w:hAnsi="黑体" w:eastAsia="黑体"/>
          <w:snapToGrid w:val="0"/>
          <w:sz w:val="30"/>
          <w:szCs w:val="30"/>
        </w:rPr>
      </w:pPr>
      <w:bookmarkStart w:id="23" w:name="_Toc20679"/>
      <w:r>
        <w:rPr>
          <w:rFonts w:hint="eastAsia" w:ascii="黑体" w:hAnsi="黑体" w:eastAsia="黑体"/>
          <w:snapToGrid w:val="0"/>
          <w:sz w:val="32"/>
          <w:szCs w:val="32"/>
        </w:rPr>
        <w:t>附表</w:t>
      </w:r>
      <w:bookmarkEnd w:id="23"/>
    </w:p>
    <w:p w14:paraId="099FED58">
      <w:pPr>
        <w:pStyle w:val="16"/>
        <w:spacing w:before="0" w:beforeAutospacing="0" w:after="0" w:afterAutospacing="0"/>
        <w:jc w:val="center"/>
        <w:outlineLvl w:val="0"/>
        <w:rPr>
          <w:rFonts w:hint="eastAsia" w:ascii="黑体" w:hAnsi="黑体" w:eastAsia="黑体"/>
          <w:snapToGrid w:val="0"/>
          <w:sz w:val="30"/>
          <w:szCs w:val="30"/>
        </w:rPr>
      </w:pPr>
      <w:bookmarkStart w:id="24" w:name="_Toc5589"/>
      <w:r>
        <w:rPr>
          <w:rFonts w:hint="eastAsia" w:ascii="黑体" w:hAnsi="黑体" w:eastAsia="黑体"/>
          <w:snapToGrid w:val="0"/>
          <w:sz w:val="30"/>
          <w:szCs w:val="30"/>
        </w:rPr>
        <w:t>建设项目污染物排放量汇总表</w:t>
      </w:r>
      <w:bookmarkEnd w:id="24"/>
    </w:p>
    <w:tbl>
      <w:tblPr>
        <w:tblStyle w:val="20"/>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00"/>
        <w:gridCol w:w="2002"/>
        <w:gridCol w:w="1849"/>
        <w:gridCol w:w="1051"/>
        <w:gridCol w:w="1637"/>
        <w:gridCol w:w="1668"/>
        <w:gridCol w:w="1544"/>
        <w:gridCol w:w="1967"/>
        <w:gridCol w:w="1074"/>
      </w:tblGrid>
      <w:tr w14:paraId="5D3A53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79" w:hRule="atLeast"/>
        </w:trPr>
        <w:tc>
          <w:tcPr>
            <w:tcW w:w="0" w:type="auto"/>
            <w:vMerge w:val="restart"/>
            <w:tcMar>
              <w:left w:w="28" w:type="dxa"/>
              <w:right w:w="28" w:type="dxa"/>
            </w:tcMar>
            <w:vAlign w:val="center"/>
          </w:tcPr>
          <w:p w14:paraId="576105BC">
            <w:pPr>
              <w:widowControl/>
              <w:jc w:val="center"/>
              <w:textAlignment w:val="center"/>
              <w:rPr>
                <w:rFonts w:hint="eastAsia" w:ascii="宋体" w:hAnsi="宋体" w:cs="宋体"/>
                <w:b/>
                <w:bCs/>
                <w:color w:val="000000"/>
                <w:kern w:val="0"/>
                <w:sz w:val="21"/>
                <w:szCs w:val="21"/>
                <w:lang w:bidi="ar"/>
              </w:rPr>
            </w:pPr>
            <w:r>
              <w:rPr>
                <w:rFonts w:hint="eastAsia" w:ascii="宋体" w:hAnsi="宋体" w:cs="宋体"/>
                <w:b/>
                <w:bCs/>
                <w:color w:val="000000"/>
                <w:kern w:val="0"/>
                <w:sz w:val="21"/>
                <w:szCs w:val="21"/>
                <w:lang w:bidi="ar"/>
              </w:rPr>
              <w:t>项目</w:t>
            </w:r>
          </w:p>
          <w:p w14:paraId="7CFC3E46">
            <w:pPr>
              <w:widowControl/>
              <w:jc w:val="center"/>
              <w:textAlignment w:val="center"/>
              <w:rPr>
                <w:b/>
                <w:snapToGrid w:val="0"/>
                <w:kern w:val="21"/>
                <w:sz w:val="21"/>
                <w:szCs w:val="21"/>
              </w:rPr>
            </w:pPr>
            <w:r>
              <w:rPr>
                <w:rFonts w:hint="eastAsia" w:ascii="宋体" w:hAnsi="宋体" w:cs="宋体"/>
                <w:b/>
                <w:bCs/>
                <w:color w:val="000000"/>
                <w:kern w:val="0"/>
                <w:sz w:val="21"/>
                <w:szCs w:val="21"/>
                <w:lang w:bidi="ar"/>
              </w:rPr>
              <w:t>分类</w:t>
            </w:r>
          </w:p>
        </w:tc>
        <w:tc>
          <w:tcPr>
            <w:tcW w:w="0" w:type="auto"/>
            <w:vMerge w:val="restart"/>
            <w:tcMar>
              <w:left w:w="28" w:type="dxa"/>
              <w:right w:w="28" w:type="dxa"/>
            </w:tcMar>
            <w:vAlign w:val="center"/>
          </w:tcPr>
          <w:p w14:paraId="4025E30D">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污染物名称</w:t>
            </w:r>
          </w:p>
        </w:tc>
        <w:tc>
          <w:tcPr>
            <w:tcW w:w="0" w:type="auto"/>
            <w:tcMar>
              <w:left w:w="28" w:type="dxa"/>
              <w:right w:w="28" w:type="dxa"/>
            </w:tcMar>
            <w:vAlign w:val="center"/>
          </w:tcPr>
          <w:p w14:paraId="088436D4">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现有工程</w:t>
            </w:r>
          </w:p>
        </w:tc>
        <w:tc>
          <w:tcPr>
            <w:tcW w:w="0" w:type="auto"/>
            <w:tcMar>
              <w:left w:w="28" w:type="dxa"/>
              <w:right w:w="28" w:type="dxa"/>
            </w:tcMar>
            <w:vAlign w:val="center"/>
          </w:tcPr>
          <w:p w14:paraId="533812F8">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现有工程</w:t>
            </w:r>
          </w:p>
        </w:tc>
        <w:tc>
          <w:tcPr>
            <w:tcW w:w="0" w:type="auto"/>
            <w:tcMar>
              <w:left w:w="28" w:type="dxa"/>
              <w:right w:w="28" w:type="dxa"/>
            </w:tcMar>
            <w:vAlign w:val="center"/>
          </w:tcPr>
          <w:p w14:paraId="293C9786">
            <w:pPr>
              <w:widowControl/>
              <w:jc w:val="center"/>
              <w:textAlignment w:val="center"/>
              <w:rPr>
                <w:b/>
                <w:snapToGrid w:val="0"/>
                <w:color w:val="auto"/>
                <w:spacing w:val="-6"/>
                <w:kern w:val="21"/>
                <w:sz w:val="21"/>
                <w:szCs w:val="21"/>
              </w:rPr>
            </w:pPr>
            <w:r>
              <w:rPr>
                <w:rFonts w:hint="eastAsia" w:ascii="宋体" w:hAnsi="宋体" w:cs="宋体"/>
                <w:b/>
                <w:bCs/>
                <w:color w:val="auto"/>
                <w:kern w:val="0"/>
                <w:sz w:val="21"/>
                <w:szCs w:val="21"/>
                <w:lang w:bidi="ar"/>
              </w:rPr>
              <w:t>在建工程</w:t>
            </w:r>
          </w:p>
        </w:tc>
        <w:tc>
          <w:tcPr>
            <w:tcW w:w="1668" w:type="dxa"/>
            <w:tcMar>
              <w:left w:w="28" w:type="dxa"/>
              <w:right w:w="28" w:type="dxa"/>
            </w:tcMar>
            <w:vAlign w:val="center"/>
          </w:tcPr>
          <w:p w14:paraId="148DCAF2">
            <w:pPr>
              <w:widowControl/>
              <w:jc w:val="center"/>
              <w:textAlignment w:val="center"/>
              <w:rPr>
                <w:b/>
                <w:snapToGrid w:val="0"/>
                <w:color w:val="000000"/>
                <w:spacing w:val="-6"/>
                <w:kern w:val="21"/>
                <w:sz w:val="21"/>
                <w:szCs w:val="21"/>
              </w:rPr>
            </w:pPr>
            <w:r>
              <w:rPr>
                <w:rFonts w:hint="eastAsia" w:ascii="宋体" w:hAnsi="宋体" w:cs="宋体"/>
                <w:b/>
                <w:bCs/>
                <w:color w:val="000000"/>
                <w:kern w:val="0"/>
                <w:sz w:val="21"/>
                <w:szCs w:val="21"/>
                <w:lang w:bidi="ar"/>
              </w:rPr>
              <w:t>本项目</w:t>
            </w:r>
          </w:p>
        </w:tc>
        <w:tc>
          <w:tcPr>
            <w:tcW w:w="1544" w:type="dxa"/>
            <w:tcMar>
              <w:left w:w="28" w:type="dxa"/>
              <w:right w:w="28" w:type="dxa"/>
            </w:tcMar>
            <w:vAlign w:val="center"/>
          </w:tcPr>
          <w:p w14:paraId="1EAF6289">
            <w:pPr>
              <w:widowControl/>
              <w:jc w:val="center"/>
              <w:textAlignment w:val="center"/>
              <w:rPr>
                <w:b/>
                <w:snapToGrid w:val="0"/>
                <w:color w:val="000000"/>
                <w:spacing w:val="-16"/>
                <w:kern w:val="21"/>
                <w:sz w:val="21"/>
                <w:szCs w:val="21"/>
              </w:rPr>
            </w:pPr>
            <w:r>
              <w:rPr>
                <w:rFonts w:hint="eastAsia" w:ascii="宋体" w:hAnsi="宋体" w:cs="宋体"/>
                <w:b/>
                <w:bCs/>
                <w:color w:val="000000"/>
                <w:kern w:val="0"/>
                <w:sz w:val="21"/>
                <w:szCs w:val="21"/>
                <w:lang w:bidi="ar"/>
              </w:rPr>
              <w:t>以新带老削减量</w:t>
            </w:r>
          </w:p>
        </w:tc>
        <w:tc>
          <w:tcPr>
            <w:tcW w:w="0" w:type="auto"/>
            <w:tcMar>
              <w:left w:w="28" w:type="dxa"/>
              <w:right w:w="28" w:type="dxa"/>
            </w:tcMar>
            <w:vAlign w:val="center"/>
          </w:tcPr>
          <w:p w14:paraId="4963D339">
            <w:pPr>
              <w:widowControl/>
              <w:jc w:val="center"/>
              <w:textAlignment w:val="center"/>
              <w:rPr>
                <w:b/>
                <w:snapToGrid w:val="0"/>
                <w:color w:val="000000"/>
                <w:spacing w:val="-16"/>
                <w:kern w:val="21"/>
                <w:sz w:val="21"/>
                <w:szCs w:val="21"/>
              </w:rPr>
            </w:pPr>
            <w:r>
              <w:rPr>
                <w:rFonts w:hint="eastAsia" w:ascii="宋体" w:hAnsi="宋体" w:cs="宋体"/>
                <w:b/>
                <w:bCs/>
                <w:color w:val="000000"/>
                <w:kern w:val="0"/>
                <w:sz w:val="21"/>
                <w:szCs w:val="21"/>
                <w:lang w:bidi="ar"/>
              </w:rPr>
              <w:t>本项目建成后</w:t>
            </w:r>
          </w:p>
        </w:tc>
        <w:tc>
          <w:tcPr>
            <w:tcW w:w="0" w:type="auto"/>
            <w:tcMar>
              <w:left w:w="28" w:type="dxa"/>
              <w:right w:w="28" w:type="dxa"/>
            </w:tcMar>
            <w:vAlign w:val="center"/>
          </w:tcPr>
          <w:p w14:paraId="15AB070E">
            <w:pPr>
              <w:widowControl/>
              <w:jc w:val="center"/>
              <w:textAlignment w:val="center"/>
              <w:rPr>
                <w:b/>
                <w:snapToGrid w:val="0"/>
                <w:color w:val="000000"/>
                <w:spacing w:val="-6"/>
                <w:kern w:val="21"/>
                <w:sz w:val="21"/>
                <w:szCs w:val="21"/>
              </w:rPr>
            </w:pPr>
            <w:r>
              <w:rPr>
                <w:rFonts w:hint="eastAsia" w:ascii="宋体" w:hAnsi="宋体" w:cs="宋体"/>
                <w:b/>
                <w:bCs/>
                <w:color w:val="000000"/>
                <w:kern w:val="0"/>
                <w:sz w:val="21"/>
                <w:szCs w:val="21"/>
                <w:lang w:bidi="ar"/>
              </w:rPr>
              <w:t>变化量</w:t>
            </w:r>
          </w:p>
        </w:tc>
      </w:tr>
      <w:tr w14:paraId="487F80A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219A285C">
            <w:pPr>
              <w:widowControl/>
              <w:jc w:val="center"/>
              <w:textAlignment w:val="center"/>
              <w:rPr>
                <w:b/>
                <w:snapToGrid w:val="0"/>
                <w:kern w:val="21"/>
                <w:sz w:val="21"/>
                <w:szCs w:val="21"/>
              </w:rPr>
            </w:pPr>
          </w:p>
        </w:tc>
        <w:tc>
          <w:tcPr>
            <w:tcW w:w="0" w:type="auto"/>
            <w:vMerge w:val="continue"/>
            <w:vAlign w:val="center"/>
          </w:tcPr>
          <w:p w14:paraId="320B092B">
            <w:pPr>
              <w:jc w:val="center"/>
              <w:rPr>
                <w:color w:val="auto"/>
                <w:sz w:val="21"/>
                <w:szCs w:val="21"/>
              </w:rPr>
            </w:pPr>
          </w:p>
        </w:tc>
        <w:tc>
          <w:tcPr>
            <w:tcW w:w="0" w:type="auto"/>
            <w:vAlign w:val="center"/>
          </w:tcPr>
          <w:p w14:paraId="6C6B95DA">
            <w:pPr>
              <w:widowControl/>
              <w:jc w:val="center"/>
              <w:textAlignment w:val="center"/>
              <w:rPr>
                <w:color w:val="auto"/>
                <w:sz w:val="21"/>
                <w:szCs w:val="21"/>
              </w:rPr>
            </w:pPr>
            <w:r>
              <w:rPr>
                <w:rFonts w:hint="eastAsia" w:ascii="宋体" w:hAnsi="宋体" w:cs="宋体"/>
                <w:b/>
                <w:bCs/>
                <w:color w:val="auto"/>
                <w:kern w:val="0"/>
                <w:sz w:val="21"/>
                <w:szCs w:val="21"/>
                <w:lang w:bidi="ar"/>
              </w:rPr>
              <w:t>排放量（固体废物产生量）</w:t>
            </w:r>
            <w:r>
              <w:rPr>
                <w:rFonts w:hint="eastAsia" w:ascii="宋体" w:hAnsi="宋体" w:cs="宋体"/>
                <w:color w:val="auto"/>
                <w:kern w:val="0"/>
                <w:sz w:val="21"/>
                <w:szCs w:val="21"/>
                <w:lang w:bidi="ar"/>
              </w:rPr>
              <w:t>①</w:t>
            </w:r>
          </w:p>
        </w:tc>
        <w:tc>
          <w:tcPr>
            <w:tcW w:w="0" w:type="auto"/>
            <w:vAlign w:val="center"/>
          </w:tcPr>
          <w:p w14:paraId="7660C739">
            <w:pPr>
              <w:widowControl/>
              <w:jc w:val="center"/>
              <w:textAlignment w:val="center"/>
              <w:rPr>
                <w:color w:val="auto"/>
                <w:sz w:val="21"/>
                <w:szCs w:val="21"/>
              </w:rPr>
            </w:pPr>
            <w:r>
              <w:rPr>
                <w:rFonts w:hint="eastAsia" w:ascii="宋体" w:hAnsi="宋体" w:cs="宋体"/>
                <w:b/>
                <w:bCs/>
                <w:color w:val="auto"/>
                <w:kern w:val="0"/>
                <w:sz w:val="21"/>
                <w:szCs w:val="21"/>
                <w:lang w:bidi="ar"/>
              </w:rPr>
              <w:t>许可排放量</w:t>
            </w:r>
            <w:r>
              <w:rPr>
                <w:rFonts w:hint="eastAsia" w:ascii="宋体" w:hAnsi="宋体" w:cs="宋体"/>
                <w:color w:val="auto"/>
                <w:kern w:val="0"/>
                <w:sz w:val="21"/>
                <w:szCs w:val="21"/>
                <w:lang w:bidi="ar"/>
              </w:rPr>
              <w:t>②</w:t>
            </w:r>
          </w:p>
        </w:tc>
        <w:tc>
          <w:tcPr>
            <w:tcW w:w="0" w:type="auto"/>
            <w:vAlign w:val="center"/>
          </w:tcPr>
          <w:p w14:paraId="79C7DFCC">
            <w:pPr>
              <w:widowControl/>
              <w:jc w:val="center"/>
              <w:textAlignment w:val="center"/>
              <w:rPr>
                <w:snapToGrid w:val="0"/>
                <w:color w:val="auto"/>
                <w:kern w:val="21"/>
                <w:sz w:val="21"/>
                <w:szCs w:val="21"/>
              </w:rPr>
            </w:pPr>
            <w:r>
              <w:rPr>
                <w:rFonts w:hint="eastAsia" w:ascii="宋体" w:hAnsi="宋体" w:cs="宋体"/>
                <w:b/>
                <w:bCs/>
                <w:color w:val="auto"/>
                <w:kern w:val="0"/>
                <w:sz w:val="21"/>
                <w:szCs w:val="21"/>
                <w:lang w:bidi="ar"/>
              </w:rPr>
              <w:t>排放量（固体废物产生量）</w:t>
            </w:r>
            <w:r>
              <w:rPr>
                <w:rFonts w:hint="eastAsia" w:ascii="宋体" w:hAnsi="宋体" w:cs="宋体"/>
                <w:color w:val="auto"/>
                <w:kern w:val="0"/>
                <w:sz w:val="21"/>
                <w:szCs w:val="21"/>
                <w:lang w:bidi="ar"/>
              </w:rPr>
              <w:t>③</w:t>
            </w:r>
          </w:p>
        </w:tc>
        <w:tc>
          <w:tcPr>
            <w:tcW w:w="1668" w:type="dxa"/>
            <w:vAlign w:val="center"/>
          </w:tcPr>
          <w:p w14:paraId="03E18C53">
            <w:pPr>
              <w:widowControl/>
              <w:jc w:val="center"/>
              <w:textAlignment w:val="center"/>
              <w:rPr>
                <w:sz w:val="21"/>
                <w:szCs w:val="21"/>
              </w:rPr>
            </w:pPr>
            <w:r>
              <w:rPr>
                <w:rFonts w:hint="eastAsia" w:ascii="宋体" w:hAnsi="宋体" w:cs="宋体"/>
                <w:b/>
                <w:bCs/>
                <w:color w:val="000000"/>
                <w:kern w:val="0"/>
                <w:sz w:val="21"/>
                <w:szCs w:val="21"/>
                <w:lang w:bidi="ar"/>
              </w:rPr>
              <w:t>排放量（固体废物产生量）</w:t>
            </w:r>
            <w:r>
              <w:rPr>
                <w:rFonts w:hint="eastAsia" w:ascii="宋体" w:hAnsi="宋体" w:cs="宋体"/>
                <w:color w:val="000000"/>
                <w:kern w:val="0"/>
                <w:sz w:val="21"/>
                <w:szCs w:val="21"/>
                <w:lang w:bidi="ar"/>
              </w:rPr>
              <w:t>④</w:t>
            </w:r>
          </w:p>
        </w:tc>
        <w:tc>
          <w:tcPr>
            <w:tcW w:w="1544" w:type="dxa"/>
            <w:shd w:val="clear" w:color="auto" w:fill="auto"/>
            <w:vAlign w:val="center"/>
          </w:tcPr>
          <w:p w14:paraId="7ED0FF53">
            <w:pPr>
              <w:widowControl/>
              <w:jc w:val="center"/>
              <w:textAlignment w:val="center"/>
              <w:rPr>
                <w:sz w:val="21"/>
                <w:szCs w:val="21"/>
              </w:rPr>
            </w:pPr>
            <w:r>
              <w:rPr>
                <w:rFonts w:hint="eastAsia" w:ascii="宋体" w:hAnsi="宋体" w:cs="宋体"/>
                <w:b/>
                <w:bCs/>
                <w:color w:val="000000"/>
                <w:kern w:val="0"/>
                <w:sz w:val="21"/>
                <w:szCs w:val="21"/>
                <w:lang w:bidi="ar"/>
              </w:rPr>
              <w:t>（新建项目不填）</w:t>
            </w:r>
            <w:r>
              <w:rPr>
                <w:rFonts w:hint="eastAsia" w:ascii="宋体" w:hAnsi="宋体" w:cs="宋体"/>
                <w:color w:val="000000"/>
                <w:kern w:val="0"/>
                <w:sz w:val="21"/>
                <w:szCs w:val="21"/>
                <w:lang w:bidi="ar"/>
              </w:rPr>
              <w:t>⑤</w:t>
            </w:r>
          </w:p>
        </w:tc>
        <w:tc>
          <w:tcPr>
            <w:tcW w:w="0" w:type="auto"/>
            <w:shd w:val="clear" w:color="auto" w:fill="auto"/>
            <w:vAlign w:val="center"/>
          </w:tcPr>
          <w:p w14:paraId="32E015AE">
            <w:pPr>
              <w:widowControl/>
              <w:jc w:val="center"/>
              <w:textAlignment w:val="center"/>
              <w:rPr>
                <w:sz w:val="21"/>
                <w:szCs w:val="21"/>
              </w:rPr>
            </w:pPr>
            <w:r>
              <w:rPr>
                <w:rFonts w:hint="eastAsia" w:ascii="宋体" w:hAnsi="宋体" w:cs="宋体"/>
                <w:b/>
                <w:bCs/>
                <w:color w:val="000000"/>
                <w:kern w:val="0"/>
                <w:sz w:val="21"/>
                <w:szCs w:val="21"/>
                <w:lang w:bidi="ar"/>
              </w:rPr>
              <w:t>全厂排放量（固体废物产生量）</w:t>
            </w:r>
            <w:r>
              <w:rPr>
                <w:rFonts w:hint="eastAsia" w:ascii="宋体" w:hAnsi="宋体" w:cs="宋体"/>
                <w:color w:val="000000"/>
                <w:kern w:val="0"/>
                <w:sz w:val="21"/>
                <w:szCs w:val="21"/>
                <w:lang w:bidi="ar"/>
              </w:rPr>
              <w:t>⑥</w:t>
            </w:r>
          </w:p>
        </w:tc>
        <w:tc>
          <w:tcPr>
            <w:tcW w:w="0" w:type="auto"/>
            <w:vAlign w:val="center"/>
          </w:tcPr>
          <w:p w14:paraId="59AC77DF">
            <w:pPr>
              <w:widowControl/>
              <w:jc w:val="center"/>
              <w:textAlignment w:val="center"/>
              <w:rPr>
                <w:sz w:val="21"/>
                <w:szCs w:val="21"/>
              </w:rPr>
            </w:pPr>
            <w:r>
              <w:rPr>
                <w:rFonts w:hint="eastAsia" w:ascii="宋体" w:hAnsi="宋体" w:cs="宋体"/>
                <w:color w:val="000000"/>
                <w:kern w:val="0"/>
                <w:sz w:val="21"/>
                <w:szCs w:val="21"/>
                <w:lang w:bidi="ar"/>
              </w:rPr>
              <w:t>⑦</w:t>
            </w:r>
          </w:p>
        </w:tc>
      </w:tr>
      <w:tr w14:paraId="0DEF7C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restart"/>
            <w:vAlign w:val="center"/>
          </w:tcPr>
          <w:p w14:paraId="5E783E71">
            <w:pPr>
              <w:widowControl/>
              <w:jc w:val="center"/>
              <w:textAlignment w:val="center"/>
              <w:rPr>
                <w:b/>
                <w:snapToGrid w:val="0"/>
                <w:kern w:val="21"/>
                <w:sz w:val="21"/>
                <w:szCs w:val="21"/>
              </w:rPr>
            </w:pPr>
            <w:r>
              <w:rPr>
                <w:rFonts w:hint="eastAsia" w:ascii="宋体" w:hAnsi="宋体" w:cs="宋体"/>
                <w:b/>
                <w:bCs/>
                <w:color w:val="000000"/>
                <w:kern w:val="0"/>
                <w:sz w:val="21"/>
                <w:szCs w:val="21"/>
                <w:lang w:bidi="ar"/>
              </w:rPr>
              <w:t>废气</w:t>
            </w:r>
          </w:p>
        </w:tc>
        <w:tc>
          <w:tcPr>
            <w:tcW w:w="0" w:type="auto"/>
            <w:vAlign w:val="center"/>
          </w:tcPr>
          <w:p w14:paraId="46006DD6">
            <w:pPr>
              <w:widowControl/>
              <w:jc w:val="center"/>
              <w:textAlignment w:val="center"/>
              <w:rPr>
                <w:color w:val="auto"/>
                <w:sz w:val="21"/>
                <w:szCs w:val="21"/>
              </w:rPr>
            </w:pPr>
            <w:r>
              <w:rPr>
                <w:rFonts w:hint="eastAsia" w:ascii="宋体" w:hAnsi="宋体" w:cs="宋体"/>
                <w:color w:val="auto"/>
                <w:kern w:val="0"/>
                <w:sz w:val="21"/>
                <w:szCs w:val="21"/>
                <w:lang w:bidi="ar"/>
              </w:rPr>
              <w:t>废气量</w:t>
            </w:r>
          </w:p>
        </w:tc>
        <w:tc>
          <w:tcPr>
            <w:tcW w:w="1849" w:type="dxa"/>
            <w:vAlign w:val="center"/>
          </w:tcPr>
          <w:p w14:paraId="19827D17">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1000.8</w:t>
            </w:r>
          </w:p>
        </w:tc>
        <w:tc>
          <w:tcPr>
            <w:tcW w:w="0" w:type="auto"/>
            <w:vAlign w:val="center"/>
          </w:tcPr>
          <w:p w14:paraId="3E05A6BC">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79DA49CB">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464DE63C">
            <w:pPr>
              <w:keepNext w:val="0"/>
              <w:keepLines w:val="0"/>
              <w:widowControl/>
              <w:suppressLineNumbers w:val="0"/>
              <w:jc w:val="center"/>
              <w:textAlignment w:val="center"/>
              <w:rPr>
                <w:rFonts w:hint="default" w:eastAsia="宋体"/>
                <w:color w:val="FF0000"/>
                <w:kern w:val="0"/>
                <w:sz w:val="21"/>
                <w:szCs w:val="21"/>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1469.05</w:t>
            </w:r>
          </w:p>
        </w:tc>
        <w:tc>
          <w:tcPr>
            <w:tcW w:w="1544" w:type="dxa"/>
            <w:shd w:val="clear" w:color="auto" w:fill="auto"/>
            <w:vAlign w:val="center"/>
          </w:tcPr>
          <w:p w14:paraId="35865E72">
            <w:pPr>
              <w:keepNext w:val="0"/>
              <w:keepLines w:val="0"/>
              <w:widowControl/>
              <w:suppressLineNumbers w:val="0"/>
              <w:jc w:val="center"/>
              <w:textAlignment w:val="center"/>
              <w:rPr>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1000.8</w:t>
            </w:r>
          </w:p>
        </w:tc>
        <w:tc>
          <w:tcPr>
            <w:tcW w:w="1967" w:type="dxa"/>
            <w:shd w:val="clear" w:color="auto" w:fill="auto"/>
            <w:vAlign w:val="center"/>
          </w:tcPr>
          <w:p w14:paraId="7EE1FC4C">
            <w:pPr>
              <w:keepNext w:val="0"/>
              <w:keepLines w:val="0"/>
              <w:widowControl/>
              <w:suppressLineNumbers w:val="0"/>
              <w:jc w:val="center"/>
              <w:textAlignment w:val="center"/>
              <w:rPr>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1469.05</w:t>
            </w:r>
          </w:p>
        </w:tc>
        <w:tc>
          <w:tcPr>
            <w:tcW w:w="1074" w:type="dxa"/>
            <w:vAlign w:val="center"/>
          </w:tcPr>
          <w:p w14:paraId="3E98FB5A">
            <w:pPr>
              <w:keepNext w:val="0"/>
              <w:keepLines w:val="0"/>
              <w:widowControl/>
              <w:suppressLineNumbers w:val="0"/>
              <w:jc w:val="center"/>
              <w:textAlignment w:val="center"/>
              <w:rPr>
                <w:color w:val="FF0000"/>
                <w:kern w:val="0"/>
                <w:sz w:val="21"/>
                <w:szCs w:val="21"/>
                <w:lang w:bidi="ar"/>
              </w:rPr>
            </w:pPr>
            <w:r>
              <w:rPr>
                <w:rFonts w:hint="default" w:ascii="Times New Roman" w:hAnsi="Times New Roman" w:eastAsia="宋体" w:cs="Times New Roman"/>
                <w:i w:val="0"/>
                <w:iCs w:val="0"/>
                <w:color w:val="000000"/>
                <w:kern w:val="0"/>
                <w:sz w:val="21"/>
                <w:szCs w:val="21"/>
                <w:u w:val="none"/>
                <w:lang w:val="en-US" w:eastAsia="zh-CN" w:bidi="ar"/>
              </w:rPr>
              <w:t>468.25</w:t>
            </w:r>
          </w:p>
        </w:tc>
      </w:tr>
      <w:tr w14:paraId="7981B0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3783FA38">
            <w:pPr>
              <w:jc w:val="center"/>
              <w:rPr>
                <w:b/>
                <w:snapToGrid w:val="0"/>
                <w:kern w:val="21"/>
                <w:sz w:val="21"/>
                <w:szCs w:val="21"/>
              </w:rPr>
            </w:pPr>
          </w:p>
        </w:tc>
        <w:tc>
          <w:tcPr>
            <w:tcW w:w="0" w:type="auto"/>
            <w:vAlign w:val="center"/>
          </w:tcPr>
          <w:p w14:paraId="5D2313C7">
            <w:pPr>
              <w:widowControl/>
              <w:jc w:val="center"/>
              <w:textAlignment w:val="center"/>
              <w:rPr>
                <w:color w:val="auto"/>
                <w:sz w:val="21"/>
                <w:szCs w:val="21"/>
              </w:rPr>
            </w:pPr>
            <w:r>
              <w:rPr>
                <w:rFonts w:hint="eastAsia" w:ascii="宋体" w:hAnsi="宋体" w:cs="宋体"/>
                <w:color w:val="auto"/>
                <w:kern w:val="0"/>
                <w:sz w:val="21"/>
                <w:szCs w:val="21"/>
                <w:lang w:bidi="ar"/>
              </w:rPr>
              <w:t>烟尘</w:t>
            </w:r>
          </w:p>
        </w:tc>
        <w:tc>
          <w:tcPr>
            <w:tcW w:w="1849" w:type="dxa"/>
            <w:vAlign w:val="center"/>
          </w:tcPr>
          <w:p w14:paraId="25BAA68A">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0.221</w:t>
            </w:r>
          </w:p>
        </w:tc>
        <w:tc>
          <w:tcPr>
            <w:tcW w:w="0" w:type="auto"/>
            <w:vAlign w:val="center"/>
          </w:tcPr>
          <w:p w14:paraId="0493CF88">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358D4E40">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08FFCFC9">
            <w:pPr>
              <w:widowControl/>
              <w:jc w:val="center"/>
              <w:textAlignment w:val="center"/>
              <w:rPr>
                <w:rFonts w:hint="default" w:eastAsia="宋体"/>
                <w:color w:val="FF0000"/>
                <w:kern w:val="0"/>
                <w:sz w:val="21"/>
                <w:szCs w:val="21"/>
                <w:lang w:val="en-US" w:eastAsia="zh-CN" w:bidi="ar"/>
              </w:rPr>
            </w:pPr>
            <w:r>
              <w:rPr>
                <w:rFonts w:hint="eastAsia" w:ascii="Times New Roman" w:hAnsi="Times New Roman" w:cs="Times New Roman"/>
                <w:color w:val="auto"/>
                <w:sz w:val="21"/>
                <w:szCs w:val="21"/>
                <w:lang w:val="en-US" w:eastAsia="zh-CN"/>
              </w:rPr>
              <w:t>0.7345</w:t>
            </w:r>
          </w:p>
        </w:tc>
        <w:tc>
          <w:tcPr>
            <w:tcW w:w="1544" w:type="dxa"/>
            <w:shd w:val="clear" w:color="auto" w:fill="auto"/>
            <w:vAlign w:val="center"/>
          </w:tcPr>
          <w:p w14:paraId="58D30006">
            <w:pPr>
              <w:keepNext w:val="0"/>
              <w:keepLines w:val="0"/>
              <w:widowControl/>
              <w:suppressLineNumbers w:val="0"/>
              <w:jc w:val="center"/>
              <w:textAlignment w:val="center"/>
              <w:rPr>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0.221</w:t>
            </w:r>
          </w:p>
        </w:tc>
        <w:tc>
          <w:tcPr>
            <w:tcW w:w="1967" w:type="dxa"/>
            <w:shd w:val="clear" w:color="auto" w:fill="auto"/>
            <w:vAlign w:val="center"/>
          </w:tcPr>
          <w:p w14:paraId="31B4D440">
            <w:pPr>
              <w:widowControl/>
              <w:jc w:val="center"/>
              <w:textAlignment w:val="center"/>
              <w:rPr>
                <w:color w:val="FF0000"/>
                <w:kern w:val="0"/>
                <w:sz w:val="21"/>
                <w:szCs w:val="21"/>
                <w:lang w:bidi="ar"/>
              </w:rPr>
            </w:pPr>
            <w:r>
              <w:rPr>
                <w:rFonts w:hint="eastAsia" w:ascii="Times New Roman" w:hAnsi="Times New Roman" w:cs="Times New Roman"/>
                <w:color w:val="auto"/>
                <w:sz w:val="21"/>
                <w:szCs w:val="21"/>
                <w:lang w:val="en-US" w:eastAsia="zh-CN"/>
              </w:rPr>
              <w:t>0.7345</w:t>
            </w:r>
          </w:p>
        </w:tc>
        <w:tc>
          <w:tcPr>
            <w:tcW w:w="1074" w:type="dxa"/>
            <w:shd w:val="clear" w:color="auto" w:fill="auto"/>
            <w:vAlign w:val="center"/>
          </w:tcPr>
          <w:p w14:paraId="013F6E93">
            <w:pPr>
              <w:keepNext w:val="0"/>
              <w:keepLines w:val="0"/>
              <w:widowControl/>
              <w:suppressLineNumbers w:val="0"/>
              <w:jc w:val="center"/>
              <w:textAlignment w:val="center"/>
              <w:rPr>
                <w:rFonts w:hint="eastAsia"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0.5135</w:t>
            </w:r>
          </w:p>
        </w:tc>
      </w:tr>
      <w:tr w14:paraId="63A98B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7F547A71">
            <w:pPr>
              <w:jc w:val="center"/>
              <w:rPr>
                <w:b/>
                <w:snapToGrid w:val="0"/>
                <w:kern w:val="21"/>
                <w:sz w:val="21"/>
                <w:szCs w:val="21"/>
              </w:rPr>
            </w:pPr>
          </w:p>
        </w:tc>
        <w:tc>
          <w:tcPr>
            <w:tcW w:w="0" w:type="auto"/>
            <w:vAlign w:val="center"/>
          </w:tcPr>
          <w:p w14:paraId="66EA46F2">
            <w:pPr>
              <w:widowControl/>
              <w:jc w:val="center"/>
              <w:textAlignment w:val="center"/>
              <w:rPr>
                <w:snapToGrid w:val="0"/>
                <w:color w:val="auto"/>
                <w:kern w:val="21"/>
                <w:sz w:val="21"/>
                <w:szCs w:val="21"/>
              </w:rPr>
            </w:pPr>
            <w:r>
              <w:rPr>
                <w:rFonts w:hint="eastAsia" w:ascii="宋体" w:hAnsi="宋体" w:cs="宋体"/>
                <w:color w:val="auto"/>
                <w:kern w:val="0"/>
                <w:sz w:val="21"/>
                <w:szCs w:val="21"/>
                <w:lang w:bidi="ar"/>
              </w:rPr>
              <w:t>二氧化硫</w:t>
            </w:r>
          </w:p>
        </w:tc>
        <w:tc>
          <w:tcPr>
            <w:tcW w:w="1849" w:type="dxa"/>
            <w:vAlign w:val="center"/>
          </w:tcPr>
          <w:p w14:paraId="44B0A288">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0.46</w:t>
            </w:r>
          </w:p>
        </w:tc>
        <w:tc>
          <w:tcPr>
            <w:tcW w:w="1051" w:type="dxa"/>
            <w:vAlign w:val="center"/>
          </w:tcPr>
          <w:p w14:paraId="47581578">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193C832C">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4180FC03">
            <w:pPr>
              <w:widowControl/>
              <w:jc w:val="center"/>
              <w:textAlignment w:val="center"/>
              <w:rPr>
                <w:rFonts w:hint="default" w:eastAsia="宋体"/>
                <w:color w:val="FF0000"/>
                <w:kern w:val="0"/>
                <w:sz w:val="21"/>
                <w:szCs w:val="21"/>
                <w:lang w:val="en-US" w:eastAsia="zh-CN" w:bidi="ar"/>
              </w:rPr>
            </w:pPr>
            <w:r>
              <w:rPr>
                <w:rFonts w:hint="eastAsia" w:ascii="Times New Roman" w:hAnsi="Times New Roman" w:cs="Times New Roman"/>
                <w:color w:val="auto"/>
                <w:sz w:val="21"/>
                <w:szCs w:val="21"/>
                <w:lang w:val="en-US" w:eastAsia="zh-CN"/>
              </w:rPr>
              <w:t>3.5257</w:t>
            </w:r>
          </w:p>
        </w:tc>
        <w:tc>
          <w:tcPr>
            <w:tcW w:w="1544" w:type="dxa"/>
            <w:vAlign w:val="center"/>
          </w:tcPr>
          <w:p w14:paraId="0C50CE71">
            <w:pPr>
              <w:keepNext w:val="0"/>
              <w:keepLines w:val="0"/>
              <w:widowControl/>
              <w:suppressLineNumbers w:val="0"/>
              <w:jc w:val="center"/>
              <w:textAlignment w:val="center"/>
              <w:rPr>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0.46</w:t>
            </w:r>
          </w:p>
        </w:tc>
        <w:tc>
          <w:tcPr>
            <w:tcW w:w="1967" w:type="dxa"/>
            <w:vAlign w:val="center"/>
          </w:tcPr>
          <w:p w14:paraId="130C863E">
            <w:pPr>
              <w:widowControl/>
              <w:jc w:val="center"/>
              <w:textAlignment w:val="center"/>
              <w:rPr>
                <w:color w:val="FF0000"/>
                <w:kern w:val="0"/>
                <w:sz w:val="21"/>
                <w:szCs w:val="21"/>
                <w:lang w:bidi="ar"/>
              </w:rPr>
            </w:pPr>
            <w:r>
              <w:rPr>
                <w:rFonts w:hint="eastAsia" w:ascii="Times New Roman" w:hAnsi="Times New Roman" w:cs="Times New Roman"/>
                <w:color w:val="auto"/>
                <w:sz w:val="21"/>
                <w:szCs w:val="21"/>
                <w:lang w:val="en-US" w:eastAsia="zh-CN"/>
              </w:rPr>
              <w:t>3.5257</w:t>
            </w:r>
          </w:p>
        </w:tc>
        <w:tc>
          <w:tcPr>
            <w:tcW w:w="1074" w:type="dxa"/>
            <w:shd w:val="clear" w:color="auto" w:fill="auto"/>
            <w:vAlign w:val="center"/>
          </w:tcPr>
          <w:p w14:paraId="6286AD0C">
            <w:pPr>
              <w:keepNext w:val="0"/>
              <w:keepLines w:val="0"/>
              <w:widowControl/>
              <w:suppressLineNumbers w:val="0"/>
              <w:jc w:val="center"/>
              <w:textAlignment w:val="center"/>
              <w:rPr>
                <w:rFonts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3.0657</w:t>
            </w:r>
          </w:p>
        </w:tc>
      </w:tr>
      <w:tr w14:paraId="0E47BBC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7A676357">
            <w:pPr>
              <w:jc w:val="center"/>
              <w:rPr>
                <w:b/>
                <w:snapToGrid w:val="0"/>
                <w:kern w:val="21"/>
                <w:sz w:val="21"/>
                <w:szCs w:val="21"/>
              </w:rPr>
            </w:pPr>
          </w:p>
        </w:tc>
        <w:tc>
          <w:tcPr>
            <w:tcW w:w="0" w:type="auto"/>
            <w:vAlign w:val="center"/>
          </w:tcPr>
          <w:p w14:paraId="6B5AFA70">
            <w:pPr>
              <w:widowControl/>
              <w:jc w:val="center"/>
              <w:textAlignment w:val="center"/>
              <w:rPr>
                <w:bCs/>
                <w:color w:val="auto"/>
                <w:spacing w:val="-10"/>
                <w:sz w:val="21"/>
                <w:szCs w:val="21"/>
              </w:rPr>
            </w:pPr>
            <w:r>
              <w:rPr>
                <w:rFonts w:hint="eastAsia" w:ascii="宋体" w:hAnsi="宋体" w:cs="宋体"/>
                <w:color w:val="auto"/>
                <w:kern w:val="0"/>
                <w:sz w:val="21"/>
                <w:szCs w:val="21"/>
                <w:lang w:bidi="ar"/>
              </w:rPr>
              <w:t>氮氧化物</w:t>
            </w:r>
          </w:p>
        </w:tc>
        <w:tc>
          <w:tcPr>
            <w:tcW w:w="1849" w:type="dxa"/>
            <w:vAlign w:val="center"/>
          </w:tcPr>
          <w:p w14:paraId="1C468204">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1.331</w:t>
            </w:r>
          </w:p>
        </w:tc>
        <w:tc>
          <w:tcPr>
            <w:tcW w:w="1051" w:type="dxa"/>
            <w:vAlign w:val="center"/>
          </w:tcPr>
          <w:p w14:paraId="57F69983">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2A6C0A10">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0DCAC8A1">
            <w:pPr>
              <w:widowControl/>
              <w:jc w:val="center"/>
              <w:textAlignment w:val="center"/>
              <w:rPr>
                <w:color w:val="FF0000"/>
                <w:kern w:val="0"/>
                <w:sz w:val="21"/>
                <w:szCs w:val="21"/>
                <w:lang w:bidi="ar"/>
              </w:rPr>
            </w:pPr>
            <w:r>
              <w:rPr>
                <w:rFonts w:hint="eastAsia" w:ascii="Times New Roman" w:hAnsi="Times New Roman" w:cs="Times New Roman"/>
                <w:color w:val="auto"/>
                <w:sz w:val="21"/>
                <w:szCs w:val="21"/>
                <w:lang w:val="en-US" w:eastAsia="zh-CN"/>
              </w:rPr>
              <w:t>4.40715</w:t>
            </w:r>
          </w:p>
        </w:tc>
        <w:tc>
          <w:tcPr>
            <w:tcW w:w="1544" w:type="dxa"/>
            <w:vAlign w:val="center"/>
          </w:tcPr>
          <w:p w14:paraId="377F8089">
            <w:pPr>
              <w:keepNext w:val="0"/>
              <w:keepLines w:val="0"/>
              <w:widowControl/>
              <w:suppressLineNumbers w:val="0"/>
              <w:jc w:val="center"/>
              <w:textAlignment w:val="center"/>
              <w:rPr>
                <w:color w:val="FF0000"/>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1.331</w:t>
            </w:r>
          </w:p>
        </w:tc>
        <w:tc>
          <w:tcPr>
            <w:tcW w:w="1967" w:type="dxa"/>
            <w:vAlign w:val="center"/>
          </w:tcPr>
          <w:p w14:paraId="3172DC84">
            <w:pPr>
              <w:widowControl/>
              <w:jc w:val="center"/>
              <w:textAlignment w:val="center"/>
              <w:rPr>
                <w:color w:val="FF0000"/>
                <w:kern w:val="0"/>
                <w:sz w:val="21"/>
                <w:szCs w:val="21"/>
                <w:lang w:bidi="ar"/>
              </w:rPr>
            </w:pPr>
            <w:r>
              <w:rPr>
                <w:rFonts w:hint="eastAsia" w:ascii="Times New Roman" w:hAnsi="Times New Roman" w:cs="Times New Roman"/>
                <w:color w:val="auto"/>
                <w:sz w:val="21"/>
                <w:szCs w:val="21"/>
                <w:lang w:val="en-US" w:eastAsia="zh-CN"/>
              </w:rPr>
              <w:t>4.40715</w:t>
            </w:r>
          </w:p>
        </w:tc>
        <w:tc>
          <w:tcPr>
            <w:tcW w:w="1074" w:type="dxa"/>
            <w:shd w:val="clear" w:color="auto" w:fill="auto"/>
            <w:vAlign w:val="center"/>
          </w:tcPr>
          <w:p w14:paraId="1E827824">
            <w:pPr>
              <w:keepNext w:val="0"/>
              <w:keepLines w:val="0"/>
              <w:widowControl/>
              <w:suppressLineNumbers w:val="0"/>
              <w:jc w:val="center"/>
              <w:textAlignment w:val="center"/>
              <w:rPr>
                <w:rFonts w:ascii="Times New Roman" w:hAnsi="Times New Roman" w:eastAsia="宋体" w:cs="Times New Roman"/>
                <w:color w:val="FF0000"/>
                <w:kern w:val="0"/>
                <w:sz w:val="21"/>
                <w:szCs w:val="21"/>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3.07615</w:t>
            </w:r>
          </w:p>
        </w:tc>
      </w:tr>
      <w:tr w14:paraId="5E1752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70FC35DB">
            <w:pPr>
              <w:jc w:val="center"/>
              <w:rPr>
                <w:b/>
                <w:snapToGrid w:val="0"/>
                <w:kern w:val="21"/>
                <w:sz w:val="21"/>
                <w:szCs w:val="21"/>
              </w:rPr>
            </w:pPr>
          </w:p>
        </w:tc>
        <w:tc>
          <w:tcPr>
            <w:tcW w:w="0" w:type="auto"/>
            <w:vAlign w:val="center"/>
          </w:tcPr>
          <w:p w14:paraId="16AB0DF8">
            <w:pPr>
              <w:widowControl/>
              <w:jc w:val="center"/>
              <w:textAlignment w:val="center"/>
              <w:rPr>
                <w:snapToGrid w:val="0"/>
                <w:color w:val="auto"/>
                <w:kern w:val="21"/>
                <w:sz w:val="21"/>
                <w:szCs w:val="21"/>
              </w:rPr>
            </w:pPr>
            <w:r>
              <w:rPr>
                <w:rFonts w:hint="eastAsia" w:ascii="宋体" w:hAnsi="宋体" w:cs="宋体"/>
                <w:color w:val="auto"/>
                <w:kern w:val="0"/>
                <w:sz w:val="21"/>
                <w:szCs w:val="21"/>
                <w:lang w:bidi="ar"/>
              </w:rPr>
              <w:t>油烟</w:t>
            </w:r>
          </w:p>
        </w:tc>
        <w:tc>
          <w:tcPr>
            <w:tcW w:w="0" w:type="auto"/>
            <w:vAlign w:val="center"/>
          </w:tcPr>
          <w:p w14:paraId="3B439CDD">
            <w:pPr>
              <w:widowControl/>
              <w:jc w:val="center"/>
              <w:textAlignment w:val="center"/>
              <w:rPr>
                <w:color w:val="auto"/>
                <w:kern w:val="0"/>
                <w:sz w:val="21"/>
                <w:szCs w:val="21"/>
                <w:lang w:bidi="ar"/>
              </w:rPr>
            </w:pPr>
            <w:r>
              <w:rPr>
                <w:color w:val="auto"/>
                <w:kern w:val="0"/>
                <w:sz w:val="21"/>
                <w:szCs w:val="21"/>
                <w:lang w:bidi="ar"/>
              </w:rPr>
              <w:t>0.0027</w:t>
            </w:r>
          </w:p>
        </w:tc>
        <w:tc>
          <w:tcPr>
            <w:tcW w:w="0" w:type="auto"/>
            <w:vAlign w:val="center"/>
          </w:tcPr>
          <w:p w14:paraId="2BE5A5D9">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24184E53">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53818D7C">
            <w:pPr>
              <w:widowControl/>
              <w:jc w:val="center"/>
              <w:textAlignment w:val="center"/>
              <w:rPr>
                <w:color w:val="auto"/>
                <w:kern w:val="0"/>
                <w:sz w:val="21"/>
                <w:szCs w:val="21"/>
                <w:lang w:bidi="ar"/>
              </w:rPr>
            </w:pPr>
            <w:r>
              <w:rPr>
                <w:color w:val="auto"/>
                <w:kern w:val="0"/>
                <w:sz w:val="21"/>
                <w:szCs w:val="21"/>
                <w:lang w:bidi="ar"/>
              </w:rPr>
              <w:t>0.00108</w:t>
            </w:r>
          </w:p>
        </w:tc>
        <w:tc>
          <w:tcPr>
            <w:tcW w:w="1544" w:type="dxa"/>
            <w:vAlign w:val="center"/>
          </w:tcPr>
          <w:p w14:paraId="2C1DA4E4">
            <w:pPr>
              <w:widowControl/>
              <w:jc w:val="center"/>
              <w:textAlignment w:val="center"/>
              <w:rPr>
                <w:color w:val="auto"/>
                <w:kern w:val="0"/>
                <w:sz w:val="21"/>
                <w:szCs w:val="21"/>
                <w:lang w:bidi="ar"/>
              </w:rPr>
            </w:pPr>
            <w:r>
              <w:rPr>
                <w:color w:val="auto"/>
                <w:kern w:val="0"/>
                <w:sz w:val="21"/>
                <w:szCs w:val="21"/>
                <w:lang w:bidi="ar"/>
              </w:rPr>
              <w:t>0.00162</w:t>
            </w:r>
          </w:p>
        </w:tc>
        <w:tc>
          <w:tcPr>
            <w:tcW w:w="0" w:type="auto"/>
            <w:vAlign w:val="center"/>
          </w:tcPr>
          <w:p w14:paraId="084B8650">
            <w:pPr>
              <w:widowControl/>
              <w:jc w:val="center"/>
              <w:textAlignment w:val="center"/>
              <w:rPr>
                <w:color w:val="auto"/>
                <w:kern w:val="0"/>
                <w:sz w:val="21"/>
                <w:szCs w:val="21"/>
                <w:lang w:bidi="ar"/>
              </w:rPr>
            </w:pPr>
            <w:r>
              <w:rPr>
                <w:color w:val="auto"/>
                <w:kern w:val="0"/>
                <w:sz w:val="21"/>
                <w:szCs w:val="21"/>
                <w:lang w:bidi="ar"/>
              </w:rPr>
              <w:t>0.00324</w:t>
            </w:r>
          </w:p>
        </w:tc>
        <w:tc>
          <w:tcPr>
            <w:tcW w:w="0" w:type="auto"/>
            <w:vAlign w:val="center"/>
          </w:tcPr>
          <w:p w14:paraId="546C697A">
            <w:pPr>
              <w:widowControl/>
              <w:jc w:val="center"/>
              <w:textAlignment w:val="center"/>
              <w:rPr>
                <w:color w:val="auto"/>
                <w:kern w:val="0"/>
                <w:sz w:val="21"/>
                <w:szCs w:val="21"/>
                <w:lang w:bidi="ar"/>
              </w:rPr>
            </w:pPr>
            <w:r>
              <w:rPr>
                <w:color w:val="auto"/>
                <w:kern w:val="0"/>
                <w:sz w:val="21"/>
                <w:szCs w:val="21"/>
                <w:lang w:bidi="ar"/>
              </w:rPr>
              <w:t>0.00054</w:t>
            </w:r>
          </w:p>
        </w:tc>
      </w:tr>
      <w:tr w14:paraId="6A0BFE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restart"/>
            <w:vAlign w:val="center"/>
          </w:tcPr>
          <w:p w14:paraId="3FD50D43">
            <w:pPr>
              <w:widowControl/>
              <w:jc w:val="center"/>
              <w:textAlignment w:val="center"/>
              <w:rPr>
                <w:b/>
                <w:snapToGrid w:val="0"/>
                <w:kern w:val="21"/>
                <w:sz w:val="21"/>
                <w:szCs w:val="21"/>
              </w:rPr>
            </w:pPr>
            <w:r>
              <w:rPr>
                <w:rFonts w:hint="eastAsia" w:ascii="宋体" w:hAnsi="宋体" w:cs="宋体"/>
                <w:b/>
                <w:bCs/>
                <w:kern w:val="0"/>
                <w:sz w:val="21"/>
                <w:szCs w:val="21"/>
                <w:lang w:bidi="ar"/>
              </w:rPr>
              <w:t>废水</w:t>
            </w:r>
          </w:p>
        </w:tc>
        <w:tc>
          <w:tcPr>
            <w:tcW w:w="0" w:type="auto"/>
            <w:vAlign w:val="center"/>
          </w:tcPr>
          <w:p w14:paraId="6B6AA1E6">
            <w:pPr>
              <w:widowControl/>
              <w:jc w:val="center"/>
              <w:textAlignment w:val="center"/>
              <w:rPr>
                <w:snapToGrid w:val="0"/>
                <w:color w:val="auto"/>
                <w:kern w:val="21"/>
                <w:sz w:val="21"/>
                <w:szCs w:val="21"/>
              </w:rPr>
            </w:pPr>
            <w:r>
              <w:rPr>
                <w:rFonts w:hint="eastAsia" w:ascii="宋体" w:hAnsi="宋体" w:cs="宋体"/>
                <w:color w:val="auto"/>
                <w:kern w:val="0"/>
                <w:sz w:val="21"/>
                <w:szCs w:val="21"/>
                <w:lang w:bidi="ar"/>
              </w:rPr>
              <w:t>排放量</w:t>
            </w:r>
          </w:p>
        </w:tc>
        <w:tc>
          <w:tcPr>
            <w:tcW w:w="1849" w:type="dxa"/>
            <w:vAlign w:val="center"/>
          </w:tcPr>
          <w:p w14:paraId="74D1D73B">
            <w:pPr>
              <w:widowControl/>
              <w:jc w:val="center"/>
              <w:textAlignment w:val="center"/>
              <w:rPr>
                <w:color w:val="auto"/>
                <w:kern w:val="0"/>
                <w:sz w:val="21"/>
                <w:szCs w:val="21"/>
                <w:lang w:bidi="ar"/>
              </w:rPr>
            </w:pPr>
            <w:r>
              <w:rPr>
                <w:rFonts w:hint="eastAsia"/>
                <w:color w:val="auto"/>
                <w:kern w:val="0"/>
                <w:sz w:val="21"/>
                <w:szCs w:val="21"/>
                <w:lang w:val="en-US" w:eastAsia="zh-CN" w:bidi="ar"/>
              </w:rPr>
              <w:t>1.2571</w:t>
            </w:r>
          </w:p>
        </w:tc>
        <w:tc>
          <w:tcPr>
            <w:tcW w:w="0" w:type="auto"/>
            <w:vAlign w:val="center"/>
          </w:tcPr>
          <w:p w14:paraId="313AFB2E">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3EC2DA38">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543A6D42">
            <w:pPr>
              <w:widowControl/>
              <w:jc w:val="center"/>
              <w:textAlignment w:val="center"/>
              <w:rPr>
                <w:color w:val="auto"/>
                <w:kern w:val="0"/>
                <w:sz w:val="21"/>
                <w:szCs w:val="21"/>
                <w:lang w:bidi="ar"/>
              </w:rPr>
            </w:pPr>
            <w:r>
              <w:rPr>
                <w:rFonts w:hint="eastAsia"/>
                <w:color w:val="auto"/>
                <w:kern w:val="0"/>
                <w:sz w:val="21"/>
                <w:szCs w:val="21"/>
                <w:lang w:val="en-US" w:eastAsia="zh-CN" w:bidi="ar"/>
              </w:rPr>
              <w:t>1.9523</w:t>
            </w:r>
          </w:p>
        </w:tc>
        <w:tc>
          <w:tcPr>
            <w:tcW w:w="1544" w:type="dxa"/>
            <w:vAlign w:val="center"/>
          </w:tcPr>
          <w:p w14:paraId="607E71CA">
            <w:pPr>
              <w:widowControl/>
              <w:jc w:val="center"/>
              <w:textAlignment w:val="center"/>
              <w:rPr>
                <w:color w:val="auto"/>
                <w:kern w:val="0"/>
                <w:sz w:val="21"/>
                <w:szCs w:val="21"/>
                <w:lang w:bidi="ar"/>
              </w:rPr>
            </w:pPr>
            <w:r>
              <w:rPr>
                <w:rFonts w:hint="eastAsia"/>
                <w:color w:val="auto"/>
                <w:kern w:val="0"/>
                <w:sz w:val="21"/>
                <w:szCs w:val="21"/>
                <w:lang w:val="en-US" w:eastAsia="zh-CN" w:bidi="ar"/>
              </w:rPr>
              <w:t>0.8496</w:t>
            </w:r>
          </w:p>
        </w:tc>
        <w:tc>
          <w:tcPr>
            <w:tcW w:w="1967" w:type="dxa"/>
            <w:vAlign w:val="center"/>
          </w:tcPr>
          <w:p w14:paraId="6DE0330A">
            <w:pPr>
              <w:widowControl/>
              <w:jc w:val="center"/>
              <w:textAlignment w:val="center"/>
              <w:rPr>
                <w:color w:val="auto"/>
                <w:kern w:val="0"/>
                <w:sz w:val="21"/>
                <w:szCs w:val="21"/>
                <w:lang w:bidi="ar"/>
              </w:rPr>
            </w:pPr>
            <w:r>
              <w:rPr>
                <w:rFonts w:hint="eastAsia"/>
                <w:color w:val="auto"/>
                <w:kern w:val="0"/>
                <w:sz w:val="21"/>
                <w:szCs w:val="21"/>
                <w:lang w:val="en-US" w:eastAsia="zh-CN" w:bidi="ar"/>
              </w:rPr>
              <w:t>2.3598</w:t>
            </w:r>
          </w:p>
        </w:tc>
        <w:tc>
          <w:tcPr>
            <w:tcW w:w="1074" w:type="dxa"/>
            <w:vAlign w:val="center"/>
          </w:tcPr>
          <w:p w14:paraId="4D12EC9C">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1.1027</w:t>
            </w:r>
          </w:p>
        </w:tc>
      </w:tr>
      <w:tr w14:paraId="59C841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69390309">
            <w:pPr>
              <w:jc w:val="center"/>
              <w:rPr>
                <w:b/>
                <w:snapToGrid w:val="0"/>
                <w:kern w:val="21"/>
                <w:sz w:val="21"/>
                <w:szCs w:val="21"/>
              </w:rPr>
            </w:pPr>
          </w:p>
        </w:tc>
        <w:tc>
          <w:tcPr>
            <w:tcW w:w="0" w:type="auto"/>
            <w:vAlign w:val="center"/>
          </w:tcPr>
          <w:p w14:paraId="4B3650B4">
            <w:pPr>
              <w:widowControl/>
              <w:jc w:val="center"/>
              <w:textAlignment w:val="center"/>
              <w:rPr>
                <w:color w:val="auto"/>
                <w:sz w:val="21"/>
                <w:szCs w:val="21"/>
              </w:rPr>
            </w:pPr>
            <w:r>
              <w:rPr>
                <w:color w:val="auto"/>
                <w:kern w:val="0"/>
                <w:sz w:val="21"/>
                <w:szCs w:val="21"/>
                <w:lang w:bidi="ar"/>
              </w:rPr>
              <w:t>COD</w:t>
            </w:r>
          </w:p>
        </w:tc>
        <w:tc>
          <w:tcPr>
            <w:tcW w:w="1849" w:type="dxa"/>
            <w:vAlign w:val="center"/>
          </w:tcPr>
          <w:p w14:paraId="7DC2DA76">
            <w:pPr>
              <w:widowControl/>
              <w:jc w:val="center"/>
              <w:textAlignment w:val="center"/>
              <w:rPr>
                <w:color w:val="auto"/>
                <w:kern w:val="0"/>
                <w:sz w:val="21"/>
                <w:szCs w:val="21"/>
                <w:lang w:bidi="ar"/>
              </w:rPr>
            </w:pPr>
            <w:r>
              <w:rPr>
                <w:rFonts w:hint="eastAsia"/>
                <w:color w:val="auto"/>
                <w:kern w:val="0"/>
                <w:sz w:val="21"/>
                <w:szCs w:val="21"/>
                <w:lang w:val="en-US" w:eastAsia="zh-CN" w:bidi="ar"/>
              </w:rPr>
              <w:t>1.911</w:t>
            </w:r>
          </w:p>
        </w:tc>
        <w:tc>
          <w:tcPr>
            <w:tcW w:w="1051" w:type="dxa"/>
            <w:shd w:val="clear" w:color="auto" w:fill="auto"/>
            <w:vAlign w:val="center"/>
          </w:tcPr>
          <w:p w14:paraId="3743CF3D">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3F722011">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1844FBE7">
            <w:pPr>
              <w:widowControl/>
              <w:jc w:val="center"/>
              <w:textAlignment w:val="center"/>
              <w:rPr>
                <w:color w:val="auto"/>
                <w:kern w:val="0"/>
                <w:sz w:val="21"/>
                <w:szCs w:val="21"/>
                <w:lang w:bidi="ar"/>
              </w:rPr>
            </w:pPr>
            <w:r>
              <w:rPr>
                <w:rFonts w:hint="eastAsia"/>
                <w:color w:val="auto"/>
                <w:kern w:val="0"/>
                <w:sz w:val="21"/>
                <w:szCs w:val="21"/>
                <w:lang w:val="en-US" w:eastAsia="zh-CN" w:bidi="ar"/>
              </w:rPr>
              <w:t>2.8498</w:t>
            </w:r>
          </w:p>
        </w:tc>
        <w:tc>
          <w:tcPr>
            <w:tcW w:w="1544" w:type="dxa"/>
            <w:vAlign w:val="center"/>
          </w:tcPr>
          <w:p w14:paraId="29808A96">
            <w:pPr>
              <w:widowControl/>
              <w:jc w:val="center"/>
              <w:textAlignment w:val="center"/>
              <w:rPr>
                <w:color w:val="auto"/>
                <w:kern w:val="0"/>
                <w:sz w:val="21"/>
                <w:szCs w:val="21"/>
                <w:lang w:bidi="ar"/>
              </w:rPr>
            </w:pPr>
            <w:r>
              <w:rPr>
                <w:rFonts w:hint="eastAsia"/>
                <w:color w:val="auto"/>
                <w:kern w:val="0"/>
                <w:sz w:val="21"/>
                <w:szCs w:val="21"/>
                <w:lang w:val="en-US" w:eastAsia="zh-CN" w:bidi="ar"/>
              </w:rPr>
              <w:t>1.2914</w:t>
            </w:r>
          </w:p>
        </w:tc>
        <w:tc>
          <w:tcPr>
            <w:tcW w:w="1967" w:type="dxa"/>
            <w:vAlign w:val="center"/>
          </w:tcPr>
          <w:p w14:paraId="435162C6">
            <w:pPr>
              <w:widowControl/>
              <w:jc w:val="center"/>
              <w:textAlignment w:val="center"/>
              <w:rPr>
                <w:color w:val="auto"/>
                <w:kern w:val="0"/>
                <w:sz w:val="21"/>
                <w:szCs w:val="21"/>
                <w:lang w:bidi="ar"/>
              </w:rPr>
            </w:pPr>
            <w:r>
              <w:rPr>
                <w:color w:val="auto"/>
                <w:kern w:val="0"/>
                <w:sz w:val="21"/>
                <w:szCs w:val="21"/>
                <w:lang w:bidi="ar"/>
              </w:rPr>
              <w:t>4.8825</w:t>
            </w:r>
          </w:p>
        </w:tc>
        <w:tc>
          <w:tcPr>
            <w:tcW w:w="1074" w:type="dxa"/>
            <w:vAlign w:val="center"/>
          </w:tcPr>
          <w:p w14:paraId="24472E4F">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1.5584</w:t>
            </w:r>
          </w:p>
        </w:tc>
      </w:tr>
      <w:tr w14:paraId="1E2333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72782E56">
            <w:pPr>
              <w:jc w:val="center"/>
              <w:rPr>
                <w:b/>
                <w:snapToGrid w:val="0"/>
                <w:kern w:val="21"/>
                <w:sz w:val="21"/>
                <w:szCs w:val="21"/>
              </w:rPr>
            </w:pPr>
          </w:p>
        </w:tc>
        <w:tc>
          <w:tcPr>
            <w:tcW w:w="0" w:type="auto"/>
            <w:shd w:val="clear" w:color="auto" w:fill="auto"/>
            <w:vAlign w:val="center"/>
          </w:tcPr>
          <w:p w14:paraId="079689CA">
            <w:pPr>
              <w:widowControl/>
              <w:jc w:val="center"/>
              <w:textAlignment w:val="center"/>
              <w:rPr>
                <w:color w:val="auto"/>
                <w:sz w:val="21"/>
                <w:szCs w:val="21"/>
              </w:rPr>
            </w:pPr>
            <w:r>
              <w:rPr>
                <w:color w:val="auto"/>
                <w:kern w:val="0"/>
                <w:sz w:val="21"/>
                <w:szCs w:val="21"/>
                <w:lang w:bidi="ar"/>
              </w:rPr>
              <w:t>NH</w:t>
            </w:r>
            <w:r>
              <w:rPr>
                <w:rStyle w:val="50"/>
                <w:color w:val="auto"/>
                <w:sz w:val="21"/>
                <w:szCs w:val="21"/>
                <w:lang w:bidi="ar"/>
              </w:rPr>
              <w:t>3</w:t>
            </w:r>
            <w:r>
              <w:rPr>
                <w:color w:val="auto"/>
                <w:kern w:val="0"/>
                <w:sz w:val="21"/>
                <w:szCs w:val="21"/>
                <w:lang w:bidi="ar"/>
              </w:rPr>
              <w:t>-N</w:t>
            </w:r>
          </w:p>
        </w:tc>
        <w:tc>
          <w:tcPr>
            <w:tcW w:w="1849" w:type="dxa"/>
            <w:shd w:val="clear" w:color="auto" w:fill="auto"/>
            <w:vAlign w:val="center"/>
          </w:tcPr>
          <w:p w14:paraId="3530B744">
            <w:pPr>
              <w:widowControl/>
              <w:jc w:val="center"/>
              <w:textAlignment w:val="center"/>
              <w:rPr>
                <w:color w:val="auto"/>
                <w:kern w:val="0"/>
                <w:sz w:val="21"/>
                <w:szCs w:val="21"/>
                <w:lang w:bidi="ar"/>
              </w:rPr>
            </w:pPr>
            <w:r>
              <w:rPr>
                <w:rFonts w:hint="eastAsia"/>
                <w:color w:val="auto"/>
                <w:kern w:val="0"/>
                <w:sz w:val="21"/>
                <w:szCs w:val="21"/>
                <w:lang w:val="en-US" w:eastAsia="zh-CN" w:bidi="ar"/>
              </w:rPr>
              <w:t>0.0887</w:t>
            </w:r>
          </w:p>
        </w:tc>
        <w:tc>
          <w:tcPr>
            <w:tcW w:w="1051" w:type="dxa"/>
            <w:shd w:val="clear" w:color="auto" w:fill="auto"/>
            <w:vAlign w:val="center"/>
          </w:tcPr>
          <w:p w14:paraId="28F37DFA">
            <w:pPr>
              <w:widowControl/>
              <w:jc w:val="center"/>
              <w:textAlignment w:val="center"/>
              <w:rPr>
                <w:color w:val="auto"/>
                <w:kern w:val="0"/>
                <w:sz w:val="21"/>
                <w:szCs w:val="21"/>
                <w:lang w:bidi="ar"/>
              </w:rPr>
            </w:pPr>
            <w:r>
              <w:rPr>
                <w:color w:val="auto"/>
                <w:kern w:val="0"/>
                <w:sz w:val="21"/>
                <w:szCs w:val="21"/>
                <w:lang w:bidi="ar"/>
              </w:rPr>
              <w:t>/</w:t>
            </w:r>
          </w:p>
        </w:tc>
        <w:tc>
          <w:tcPr>
            <w:tcW w:w="0" w:type="auto"/>
            <w:vAlign w:val="center"/>
          </w:tcPr>
          <w:p w14:paraId="2034A43B">
            <w:pPr>
              <w:widowControl/>
              <w:jc w:val="center"/>
              <w:textAlignment w:val="center"/>
              <w:rPr>
                <w:color w:val="auto"/>
                <w:kern w:val="0"/>
                <w:sz w:val="21"/>
                <w:szCs w:val="21"/>
                <w:lang w:bidi="ar"/>
              </w:rPr>
            </w:pPr>
            <w:r>
              <w:rPr>
                <w:color w:val="auto"/>
                <w:kern w:val="0"/>
                <w:sz w:val="21"/>
                <w:szCs w:val="21"/>
                <w:lang w:bidi="ar"/>
              </w:rPr>
              <w:t>0</w:t>
            </w:r>
          </w:p>
        </w:tc>
        <w:tc>
          <w:tcPr>
            <w:tcW w:w="1668" w:type="dxa"/>
            <w:shd w:val="clear" w:color="auto" w:fill="auto"/>
            <w:vAlign w:val="center"/>
          </w:tcPr>
          <w:p w14:paraId="1E8D3F0E">
            <w:pPr>
              <w:widowControl/>
              <w:jc w:val="center"/>
              <w:textAlignment w:val="center"/>
              <w:rPr>
                <w:color w:val="auto"/>
                <w:kern w:val="0"/>
                <w:sz w:val="21"/>
                <w:szCs w:val="21"/>
                <w:lang w:bidi="ar"/>
              </w:rPr>
            </w:pPr>
            <w:r>
              <w:rPr>
                <w:rFonts w:hint="eastAsia"/>
                <w:color w:val="auto"/>
                <w:kern w:val="0"/>
                <w:sz w:val="21"/>
                <w:szCs w:val="21"/>
                <w:lang w:val="en-US" w:eastAsia="zh-CN" w:bidi="ar"/>
              </w:rPr>
              <w:t>0.1354</w:t>
            </w:r>
          </w:p>
        </w:tc>
        <w:tc>
          <w:tcPr>
            <w:tcW w:w="1544" w:type="dxa"/>
            <w:shd w:val="clear" w:color="auto" w:fill="auto"/>
            <w:vAlign w:val="center"/>
          </w:tcPr>
          <w:p w14:paraId="2BB8CAD6">
            <w:pPr>
              <w:widowControl/>
              <w:jc w:val="center"/>
              <w:textAlignment w:val="center"/>
              <w:rPr>
                <w:color w:val="auto"/>
                <w:kern w:val="0"/>
                <w:sz w:val="21"/>
                <w:szCs w:val="21"/>
                <w:lang w:bidi="ar"/>
              </w:rPr>
            </w:pPr>
            <w:r>
              <w:rPr>
                <w:rFonts w:hint="eastAsia"/>
                <w:color w:val="auto"/>
                <w:kern w:val="0"/>
                <w:sz w:val="21"/>
                <w:szCs w:val="21"/>
                <w:lang w:val="en-US" w:eastAsia="zh-CN" w:bidi="ar"/>
              </w:rPr>
              <w:t>0.0600</w:t>
            </w:r>
          </w:p>
        </w:tc>
        <w:tc>
          <w:tcPr>
            <w:tcW w:w="1967" w:type="dxa"/>
            <w:vAlign w:val="center"/>
          </w:tcPr>
          <w:p w14:paraId="6B4A49E8">
            <w:pPr>
              <w:widowControl/>
              <w:jc w:val="center"/>
              <w:textAlignment w:val="center"/>
              <w:rPr>
                <w:color w:val="auto"/>
                <w:kern w:val="0"/>
                <w:sz w:val="21"/>
                <w:szCs w:val="21"/>
                <w:lang w:bidi="ar"/>
              </w:rPr>
            </w:pPr>
            <w:r>
              <w:rPr>
                <w:color w:val="auto"/>
                <w:kern w:val="0"/>
                <w:sz w:val="21"/>
                <w:szCs w:val="21"/>
                <w:lang w:bidi="ar"/>
              </w:rPr>
              <w:t>0.43187</w:t>
            </w:r>
          </w:p>
        </w:tc>
        <w:tc>
          <w:tcPr>
            <w:tcW w:w="1074" w:type="dxa"/>
            <w:vAlign w:val="center"/>
          </w:tcPr>
          <w:p w14:paraId="1C024524">
            <w:pPr>
              <w:keepNext w:val="0"/>
              <w:keepLines w:val="0"/>
              <w:widowControl/>
              <w:suppressLineNumbers w:val="0"/>
              <w:jc w:val="center"/>
              <w:textAlignment w:val="center"/>
              <w:rPr>
                <w:color w:val="auto"/>
                <w:kern w:val="0"/>
                <w:sz w:val="21"/>
                <w:szCs w:val="21"/>
                <w:lang w:bidi="ar"/>
              </w:rPr>
            </w:pPr>
            <w:r>
              <w:rPr>
                <w:rFonts w:hint="default" w:ascii="Times New Roman" w:hAnsi="Times New Roman" w:eastAsia="宋体" w:cs="Times New Roman"/>
                <w:i w:val="0"/>
                <w:iCs w:val="0"/>
                <w:color w:val="auto"/>
                <w:kern w:val="0"/>
                <w:sz w:val="21"/>
                <w:szCs w:val="21"/>
                <w:u w:val="none"/>
                <w:lang w:val="en-US" w:eastAsia="zh-CN" w:bidi="ar"/>
              </w:rPr>
              <w:t>0.0754</w:t>
            </w:r>
          </w:p>
        </w:tc>
      </w:tr>
      <w:tr w14:paraId="63AD5A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restart"/>
            <w:vAlign w:val="center"/>
          </w:tcPr>
          <w:p w14:paraId="4773AD72">
            <w:pPr>
              <w:widowControl/>
              <w:jc w:val="center"/>
              <w:textAlignment w:val="center"/>
              <w:rPr>
                <w:rFonts w:hint="eastAsia" w:ascii="宋体" w:hAnsi="宋体" w:cs="宋体"/>
                <w:b/>
                <w:bCs/>
                <w:kern w:val="0"/>
                <w:sz w:val="21"/>
                <w:szCs w:val="21"/>
                <w:lang w:bidi="ar"/>
              </w:rPr>
            </w:pPr>
            <w:r>
              <w:rPr>
                <w:rFonts w:hint="eastAsia" w:ascii="宋体" w:hAnsi="宋体" w:cs="宋体"/>
                <w:b/>
                <w:bCs/>
                <w:kern w:val="0"/>
                <w:sz w:val="21"/>
                <w:szCs w:val="21"/>
                <w:lang w:bidi="ar"/>
              </w:rPr>
              <w:t>一般工业</w:t>
            </w:r>
          </w:p>
          <w:p w14:paraId="3BD1C927">
            <w:pPr>
              <w:widowControl/>
              <w:jc w:val="center"/>
              <w:textAlignment w:val="center"/>
              <w:rPr>
                <w:b/>
                <w:snapToGrid w:val="0"/>
                <w:kern w:val="21"/>
                <w:sz w:val="21"/>
                <w:szCs w:val="21"/>
              </w:rPr>
            </w:pPr>
            <w:r>
              <w:rPr>
                <w:rFonts w:hint="eastAsia" w:ascii="宋体" w:hAnsi="宋体" w:cs="宋体"/>
                <w:b/>
                <w:bCs/>
                <w:kern w:val="0"/>
                <w:sz w:val="21"/>
                <w:szCs w:val="21"/>
                <w:lang w:bidi="ar"/>
              </w:rPr>
              <w:t>固体废物</w:t>
            </w:r>
          </w:p>
        </w:tc>
        <w:tc>
          <w:tcPr>
            <w:tcW w:w="0" w:type="auto"/>
            <w:shd w:val="clear" w:color="auto" w:fill="auto"/>
            <w:vAlign w:val="center"/>
          </w:tcPr>
          <w:p w14:paraId="7A1EB5BB">
            <w:pPr>
              <w:widowControl/>
              <w:jc w:val="center"/>
              <w:textAlignment w:val="center"/>
              <w:rPr>
                <w:color w:val="auto"/>
                <w:sz w:val="21"/>
                <w:szCs w:val="21"/>
              </w:rPr>
            </w:pPr>
            <w:r>
              <w:rPr>
                <w:rFonts w:hint="eastAsia" w:ascii="宋体" w:hAnsi="宋体" w:cs="宋体"/>
                <w:color w:val="auto"/>
                <w:kern w:val="0"/>
                <w:sz w:val="21"/>
                <w:szCs w:val="21"/>
                <w:lang w:bidi="ar"/>
              </w:rPr>
              <w:t>破损的周转箱</w:t>
            </w:r>
          </w:p>
        </w:tc>
        <w:tc>
          <w:tcPr>
            <w:tcW w:w="0" w:type="auto"/>
            <w:shd w:val="clear" w:color="auto" w:fill="auto"/>
            <w:vAlign w:val="center"/>
          </w:tcPr>
          <w:p w14:paraId="072EBB9A">
            <w:pPr>
              <w:widowControl/>
              <w:jc w:val="center"/>
              <w:textAlignment w:val="center"/>
              <w:rPr>
                <w:color w:val="auto"/>
                <w:sz w:val="21"/>
                <w:szCs w:val="21"/>
              </w:rPr>
            </w:pPr>
            <w:r>
              <w:rPr>
                <w:color w:val="auto"/>
                <w:kern w:val="0"/>
                <w:sz w:val="21"/>
                <w:szCs w:val="21"/>
                <w:lang w:bidi="ar"/>
              </w:rPr>
              <w:t>3000</w:t>
            </w:r>
            <w:r>
              <w:rPr>
                <w:rStyle w:val="51"/>
                <w:rFonts w:hint="default"/>
                <w:color w:val="auto"/>
                <w:sz w:val="21"/>
                <w:szCs w:val="21"/>
                <w:lang w:bidi="ar"/>
              </w:rPr>
              <w:t>个</w:t>
            </w:r>
            <w:r>
              <w:rPr>
                <w:color w:val="auto"/>
                <w:kern w:val="0"/>
                <w:sz w:val="21"/>
                <w:szCs w:val="21"/>
                <w:lang w:bidi="ar"/>
              </w:rPr>
              <w:t>/a</w:t>
            </w:r>
          </w:p>
        </w:tc>
        <w:tc>
          <w:tcPr>
            <w:tcW w:w="0" w:type="auto"/>
            <w:shd w:val="clear" w:color="auto" w:fill="auto"/>
            <w:vAlign w:val="center"/>
          </w:tcPr>
          <w:p w14:paraId="26DFAF61">
            <w:pPr>
              <w:widowControl/>
              <w:jc w:val="center"/>
              <w:textAlignment w:val="center"/>
              <w:rPr>
                <w:color w:val="auto"/>
                <w:sz w:val="21"/>
                <w:szCs w:val="21"/>
              </w:rPr>
            </w:pPr>
            <w:r>
              <w:rPr>
                <w:color w:val="auto"/>
                <w:kern w:val="0"/>
                <w:sz w:val="21"/>
                <w:szCs w:val="21"/>
                <w:lang w:bidi="ar"/>
              </w:rPr>
              <w:t>3000</w:t>
            </w:r>
            <w:r>
              <w:rPr>
                <w:rStyle w:val="51"/>
                <w:rFonts w:hint="default"/>
                <w:color w:val="auto"/>
                <w:sz w:val="21"/>
                <w:szCs w:val="21"/>
                <w:lang w:bidi="ar"/>
              </w:rPr>
              <w:t>个</w:t>
            </w:r>
            <w:r>
              <w:rPr>
                <w:color w:val="auto"/>
                <w:kern w:val="0"/>
                <w:sz w:val="21"/>
                <w:szCs w:val="21"/>
                <w:lang w:bidi="ar"/>
              </w:rPr>
              <w:t>/a</w:t>
            </w:r>
          </w:p>
        </w:tc>
        <w:tc>
          <w:tcPr>
            <w:tcW w:w="0" w:type="auto"/>
            <w:vAlign w:val="center"/>
          </w:tcPr>
          <w:p w14:paraId="6E57EB0F">
            <w:pPr>
              <w:widowControl/>
              <w:jc w:val="center"/>
              <w:textAlignment w:val="center"/>
              <w:rPr>
                <w:snapToGrid w:val="0"/>
                <w:color w:val="auto"/>
                <w:kern w:val="21"/>
                <w:sz w:val="21"/>
                <w:szCs w:val="21"/>
              </w:rPr>
            </w:pPr>
            <w:r>
              <w:rPr>
                <w:color w:val="auto"/>
                <w:kern w:val="0"/>
                <w:sz w:val="21"/>
                <w:szCs w:val="21"/>
                <w:lang w:bidi="ar"/>
              </w:rPr>
              <w:t>0</w:t>
            </w:r>
          </w:p>
        </w:tc>
        <w:tc>
          <w:tcPr>
            <w:tcW w:w="1668" w:type="dxa"/>
            <w:shd w:val="clear" w:color="auto" w:fill="auto"/>
            <w:vAlign w:val="center"/>
          </w:tcPr>
          <w:p w14:paraId="3DE1A1F3">
            <w:pPr>
              <w:widowControl/>
              <w:jc w:val="center"/>
              <w:textAlignment w:val="center"/>
              <w:rPr>
                <w:color w:val="auto"/>
                <w:sz w:val="21"/>
                <w:szCs w:val="21"/>
              </w:rPr>
            </w:pPr>
            <w:r>
              <w:rPr>
                <w:color w:val="auto"/>
                <w:kern w:val="0"/>
                <w:sz w:val="21"/>
                <w:szCs w:val="21"/>
                <w:lang w:bidi="ar"/>
              </w:rPr>
              <w:t>0</w:t>
            </w:r>
          </w:p>
        </w:tc>
        <w:tc>
          <w:tcPr>
            <w:tcW w:w="1544" w:type="dxa"/>
            <w:shd w:val="clear" w:color="auto" w:fill="auto"/>
            <w:vAlign w:val="center"/>
          </w:tcPr>
          <w:p w14:paraId="140EB8BA">
            <w:pPr>
              <w:widowControl/>
              <w:jc w:val="center"/>
              <w:textAlignment w:val="center"/>
              <w:rPr>
                <w:color w:val="auto"/>
                <w:sz w:val="21"/>
                <w:szCs w:val="21"/>
              </w:rPr>
            </w:pPr>
            <w:r>
              <w:rPr>
                <w:color w:val="auto"/>
                <w:kern w:val="0"/>
                <w:sz w:val="21"/>
                <w:szCs w:val="21"/>
                <w:lang w:bidi="ar"/>
              </w:rPr>
              <w:t>0</w:t>
            </w:r>
          </w:p>
        </w:tc>
        <w:tc>
          <w:tcPr>
            <w:tcW w:w="0" w:type="auto"/>
            <w:vAlign w:val="center"/>
          </w:tcPr>
          <w:p w14:paraId="13D17C0F">
            <w:pPr>
              <w:widowControl/>
              <w:jc w:val="center"/>
              <w:textAlignment w:val="center"/>
              <w:rPr>
                <w:color w:val="auto"/>
                <w:sz w:val="21"/>
                <w:szCs w:val="21"/>
              </w:rPr>
            </w:pPr>
            <w:r>
              <w:rPr>
                <w:color w:val="auto"/>
                <w:kern w:val="0"/>
                <w:sz w:val="21"/>
                <w:szCs w:val="21"/>
                <w:lang w:bidi="ar"/>
              </w:rPr>
              <w:t>3000</w:t>
            </w:r>
            <w:r>
              <w:rPr>
                <w:rStyle w:val="51"/>
                <w:rFonts w:hint="default"/>
                <w:color w:val="auto"/>
                <w:sz w:val="21"/>
                <w:szCs w:val="21"/>
                <w:lang w:bidi="ar"/>
              </w:rPr>
              <w:t>个</w:t>
            </w:r>
            <w:r>
              <w:rPr>
                <w:color w:val="auto"/>
                <w:kern w:val="0"/>
                <w:sz w:val="21"/>
                <w:szCs w:val="21"/>
                <w:lang w:bidi="ar"/>
              </w:rPr>
              <w:t>/a</w:t>
            </w:r>
          </w:p>
        </w:tc>
        <w:tc>
          <w:tcPr>
            <w:tcW w:w="0" w:type="auto"/>
            <w:vAlign w:val="center"/>
          </w:tcPr>
          <w:p w14:paraId="6690FFAC">
            <w:pPr>
              <w:widowControl/>
              <w:jc w:val="center"/>
              <w:textAlignment w:val="center"/>
              <w:rPr>
                <w:color w:val="auto"/>
                <w:sz w:val="21"/>
                <w:szCs w:val="21"/>
              </w:rPr>
            </w:pPr>
            <w:r>
              <w:rPr>
                <w:color w:val="auto"/>
                <w:kern w:val="0"/>
                <w:sz w:val="21"/>
                <w:szCs w:val="21"/>
                <w:lang w:bidi="ar"/>
              </w:rPr>
              <w:t>0</w:t>
            </w:r>
          </w:p>
        </w:tc>
      </w:tr>
      <w:tr w14:paraId="42D526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0C74D0DE">
            <w:pPr>
              <w:widowControl/>
              <w:jc w:val="center"/>
              <w:textAlignment w:val="center"/>
              <w:rPr>
                <w:b/>
                <w:snapToGrid w:val="0"/>
                <w:kern w:val="21"/>
                <w:sz w:val="21"/>
                <w:szCs w:val="21"/>
              </w:rPr>
            </w:pPr>
          </w:p>
        </w:tc>
        <w:tc>
          <w:tcPr>
            <w:tcW w:w="0" w:type="auto"/>
            <w:shd w:val="clear" w:color="auto" w:fill="auto"/>
            <w:vAlign w:val="center"/>
          </w:tcPr>
          <w:p w14:paraId="787D8041">
            <w:pPr>
              <w:widowControl/>
              <w:jc w:val="center"/>
              <w:textAlignment w:val="center"/>
              <w:rPr>
                <w:color w:val="auto"/>
                <w:sz w:val="21"/>
                <w:szCs w:val="21"/>
              </w:rPr>
            </w:pPr>
            <w:r>
              <w:rPr>
                <w:rFonts w:hint="eastAsia" w:ascii="宋体" w:hAnsi="宋体" w:cs="宋体"/>
                <w:color w:val="auto"/>
                <w:kern w:val="0"/>
                <w:sz w:val="21"/>
                <w:szCs w:val="21"/>
                <w:lang w:bidi="ar"/>
              </w:rPr>
              <w:t>破损的碗碟</w:t>
            </w:r>
          </w:p>
        </w:tc>
        <w:tc>
          <w:tcPr>
            <w:tcW w:w="0" w:type="auto"/>
            <w:shd w:val="clear" w:color="auto" w:fill="auto"/>
            <w:vAlign w:val="center"/>
          </w:tcPr>
          <w:p w14:paraId="01AE32E1">
            <w:pPr>
              <w:widowControl/>
              <w:jc w:val="center"/>
              <w:textAlignment w:val="center"/>
              <w:rPr>
                <w:color w:val="auto"/>
                <w:sz w:val="21"/>
                <w:szCs w:val="21"/>
              </w:rPr>
            </w:pPr>
            <w:r>
              <w:rPr>
                <w:color w:val="auto"/>
                <w:kern w:val="0"/>
                <w:sz w:val="21"/>
                <w:szCs w:val="21"/>
                <w:lang w:bidi="ar"/>
              </w:rPr>
              <w:t>1.2</w:t>
            </w:r>
          </w:p>
        </w:tc>
        <w:tc>
          <w:tcPr>
            <w:tcW w:w="0" w:type="auto"/>
            <w:shd w:val="clear" w:color="auto" w:fill="auto"/>
            <w:vAlign w:val="center"/>
          </w:tcPr>
          <w:p w14:paraId="12E29F8F">
            <w:pPr>
              <w:widowControl/>
              <w:jc w:val="center"/>
              <w:textAlignment w:val="center"/>
              <w:rPr>
                <w:color w:val="auto"/>
                <w:sz w:val="21"/>
                <w:szCs w:val="21"/>
              </w:rPr>
            </w:pPr>
            <w:r>
              <w:rPr>
                <w:color w:val="auto"/>
                <w:kern w:val="0"/>
                <w:sz w:val="21"/>
                <w:szCs w:val="21"/>
                <w:lang w:bidi="ar"/>
              </w:rPr>
              <w:t>1.2</w:t>
            </w:r>
          </w:p>
        </w:tc>
        <w:tc>
          <w:tcPr>
            <w:tcW w:w="0" w:type="auto"/>
            <w:vAlign w:val="center"/>
          </w:tcPr>
          <w:p w14:paraId="1B0FDECF">
            <w:pPr>
              <w:widowControl/>
              <w:jc w:val="center"/>
              <w:textAlignment w:val="center"/>
              <w:rPr>
                <w:snapToGrid w:val="0"/>
                <w:color w:val="auto"/>
                <w:kern w:val="21"/>
                <w:sz w:val="21"/>
                <w:szCs w:val="21"/>
              </w:rPr>
            </w:pPr>
            <w:r>
              <w:rPr>
                <w:color w:val="auto"/>
                <w:kern w:val="0"/>
                <w:sz w:val="21"/>
                <w:szCs w:val="21"/>
                <w:lang w:bidi="ar"/>
              </w:rPr>
              <w:t>0</w:t>
            </w:r>
          </w:p>
        </w:tc>
        <w:tc>
          <w:tcPr>
            <w:tcW w:w="1668" w:type="dxa"/>
            <w:vAlign w:val="center"/>
          </w:tcPr>
          <w:p w14:paraId="4AE37BF9">
            <w:pPr>
              <w:widowControl/>
              <w:jc w:val="center"/>
              <w:textAlignment w:val="center"/>
              <w:rPr>
                <w:color w:val="auto"/>
                <w:sz w:val="21"/>
                <w:szCs w:val="21"/>
              </w:rPr>
            </w:pPr>
            <w:r>
              <w:rPr>
                <w:color w:val="auto"/>
                <w:kern w:val="0"/>
                <w:sz w:val="21"/>
                <w:szCs w:val="21"/>
                <w:lang w:bidi="ar"/>
              </w:rPr>
              <w:t>0</w:t>
            </w:r>
          </w:p>
        </w:tc>
        <w:tc>
          <w:tcPr>
            <w:tcW w:w="1544" w:type="dxa"/>
            <w:vAlign w:val="center"/>
          </w:tcPr>
          <w:p w14:paraId="1417D1F5">
            <w:pPr>
              <w:widowControl/>
              <w:jc w:val="center"/>
              <w:textAlignment w:val="center"/>
              <w:rPr>
                <w:color w:val="auto"/>
                <w:sz w:val="21"/>
                <w:szCs w:val="21"/>
              </w:rPr>
            </w:pPr>
            <w:r>
              <w:rPr>
                <w:color w:val="auto"/>
                <w:kern w:val="0"/>
                <w:sz w:val="21"/>
                <w:szCs w:val="21"/>
                <w:lang w:bidi="ar"/>
              </w:rPr>
              <w:t>0</w:t>
            </w:r>
          </w:p>
        </w:tc>
        <w:tc>
          <w:tcPr>
            <w:tcW w:w="0" w:type="auto"/>
            <w:vAlign w:val="center"/>
          </w:tcPr>
          <w:p w14:paraId="70DE56F4">
            <w:pPr>
              <w:widowControl/>
              <w:jc w:val="center"/>
              <w:textAlignment w:val="center"/>
              <w:rPr>
                <w:color w:val="auto"/>
                <w:sz w:val="21"/>
                <w:szCs w:val="21"/>
              </w:rPr>
            </w:pPr>
            <w:r>
              <w:rPr>
                <w:color w:val="auto"/>
                <w:kern w:val="0"/>
                <w:sz w:val="21"/>
                <w:szCs w:val="21"/>
                <w:lang w:bidi="ar"/>
              </w:rPr>
              <w:t>1.2</w:t>
            </w:r>
          </w:p>
        </w:tc>
        <w:tc>
          <w:tcPr>
            <w:tcW w:w="0" w:type="auto"/>
            <w:vAlign w:val="center"/>
          </w:tcPr>
          <w:p w14:paraId="1CBABC43">
            <w:pPr>
              <w:widowControl/>
              <w:jc w:val="center"/>
              <w:textAlignment w:val="center"/>
              <w:rPr>
                <w:color w:val="auto"/>
                <w:sz w:val="21"/>
                <w:szCs w:val="21"/>
              </w:rPr>
            </w:pPr>
            <w:r>
              <w:rPr>
                <w:color w:val="auto"/>
                <w:kern w:val="0"/>
                <w:sz w:val="21"/>
                <w:szCs w:val="21"/>
                <w:lang w:bidi="ar"/>
              </w:rPr>
              <w:t>0</w:t>
            </w:r>
          </w:p>
        </w:tc>
      </w:tr>
      <w:tr w14:paraId="76E781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062AB775">
            <w:pPr>
              <w:rPr>
                <w:b/>
                <w:snapToGrid w:val="0"/>
                <w:kern w:val="21"/>
                <w:sz w:val="21"/>
                <w:szCs w:val="21"/>
              </w:rPr>
            </w:pPr>
          </w:p>
        </w:tc>
        <w:tc>
          <w:tcPr>
            <w:tcW w:w="0" w:type="auto"/>
            <w:shd w:val="clear" w:color="auto" w:fill="auto"/>
            <w:vAlign w:val="center"/>
          </w:tcPr>
          <w:p w14:paraId="2FCCBD6D">
            <w:pPr>
              <w:widowControl/>
              <w:jc w:val="center"/>
              <w:textAlignment w:val="center"/>
              <w:rPr>
                <w:color w:val="auto"/>
                <w:sz w:val="21"/>
                <w:szCs w:val="21"/>
              </w:rPr>
            </w:pPr>
            <w:r>
              <w:rPr>
                <w:rFonts w:hint="eastAsia" w:ascii="宋体" w:hAnsi="宋体" w:cs="宋体"/>
                <w:color w:val="auto"/>
                <w:kern w:val="0"/>
                <w:sz w:val="21"/>
                <w:szCs w:val="21"/>
                <w:lang w:bidi="ar"/>
              </w:rPr>
              <w:t>餐具清洗除渣机除得的渣</w:t>
            </w:r>
          </w:p>
        </w:tc>
        <w:tc>
          <w:tcPr>
            <w:tcW w:w="0" w:type="auto"/>
            <w:shd w:val="clear" w:color="auto" w:fill="auto"/>
            <w:vAlign w:val="center"/>
          </w:tcPr>
          <w:p w14:paraId="5C8BC1BB">
            <w:pPr>
              <w:widowControl/>
              <w:jc w:val="center"/>
              <w:textAlignment w:val="center"/>
              <w:rPr>
                <w:color w:val="auto"/>
                <w:sz w:val="21"/>
                <w:szCs w:val="21"/>
              </w:rPr>
            </w:pPr>
            <w:r>
              <w:rPr>
                <w:color w:val="auto"/>
                <w:kern w:val="0"/>
                <w:sz w:val="21"/>
                <w:szCs w:val="21"/>
                <w:lang w:bidi="ar"/>
              </w:rPr>
              <w:t>6.2</w:t>
            </w:r>
          </w:p>
        </w:tc>
        <w:tc>
          <w:tcPr>
            <w:tcW w:w="0" w:type="auto"/>
            <w:shd w:val="clear" w:color="auto" w:fill="auto"/>
            <w:vAlign w:val="center"/>
          </w:tcPr>
          <w:p w14:paraId="7894198B">
            <w:pPr>
              <w:widowControl/>
              <w:jc w:val="center"/>
              <w:textAlignment w:val="center"/>
              <w:rPr>
                <w:color w:val="auto"/>
                <w:sz w:val="21"/>
                <w:szCs w:val="21"/>
              </w:rPr>
            </w:pPr>
            <w:r>
              <w:rPr>
                <w:color w:val="auto"/>
                <w:kern w:val="0"/>
                <w:sz w:val="21"/>
                <w:szCs w:val="21"/>
                <w:lang w:bidi="ar"/>
              </w:rPr>
              <w:t>6.2</w:t>
            </w:r>
          </w:p>
        </w:tc>
        <w:tc>
          <w:tcPr>
            <w:tcW w:w="0" w:type="auto"/>
            <w:vAlign w:val="center"/>
          </w:tcPr>
          <w:p w14:paraId="64A4D7F0">
            <w:pPr>
              <w:widowControl/>
              <w:jc w:val="center"/>
              <w:textAlignment w:val="center"/>
              <w:rPr>
                <w:snapToGrid w:val="0"/>
                <w:color w:val="auto"/>
                <w:kern w:val="21"/>
                <w:sz w:val="21"/>
                <w:szCs w:val="21"/>
              </w:rPr>
            </w:pPr>
            <w:r>
              <w:rPr>
                <w:color w:val="auto"/>
                <w:kern w:val="0"/>
                <w:sz w:val="21"/>
                <w:szCs w:val="21"/>
                <w:lang w:bidi="ar"/>
              </w:rPr>
              <w:t>0</w:t>
            </w:r>
          </w:p>
        </w:tc>
        <w:tc>
          <w:tcPr>
            <w:tcW w:w="1668" w:type="dxa"/>
            <w:vAlign w:val="center"/>
          </w:tcPr>
          <w:p w14:paraId="22FD0880">
            <w:pPr>
              <w:widowControl/>
              <w:jc w:val="center"/>
              <w:textAlignment w:val="center"/>
              <w:rPr>
                <w:color w:val="auto"/>
                <w:sz w:val="21"/>
                <w:szCs w:val="21"/>
              </w:rPr>
            </w:pPr>
            <w:r>
              <w:rPr>
                <w:color w:val="auto"/>
                <w:kern w:val="0"/>
                <w:sz w:val="21"/>
                <w:szCs w:val="21"/>
                <w:lang w:bidi="ar"/>
              </w:rPr>
              <w:t>0</w:t>
            </w:r>
          </w:p>
        </w:tc>
        <w:tc>
          <w:tcPr>
            <w:tcW w:w="1544" w:type="dxa"/>
            <w:vAlign w:val="center"/>
          </w:tcPr>
          <w:p w14:paraId="603BE912">
            <w:pPr>
              <w:widowControl/>
              <w:jc w:val="center"/>
              <w:textAlignment w:val="center"/>
              <w:rPr>
                <w:color w:val="auto"/>
                <w:sz w:val="21"/>
                <w:szCs w:val="21"/>
              </w:rPr>
            </w:pPr>
            <w:r>
              <w:rPr>
                <w:color w:val="auto"/>
                <w:kern w:val="0"/>
                <w:sz w:val="21"/>
                <w:szCs w:val="21"/>
                <w:lang w:bidi="ar"/>
              </w:rPr>
              <w:t>0</w:t>
            </w:r>
          </w:p>
        </w:tc>
        <w:tc>
          <w:tcPr>
            <w:tcW w:w="0" w:type="auto"/>
            <w:vAlign w:val="center"/>
          </w:tcPr>
          <w:p w14:paraId="756937D2">
            <w:pPr>
              <w:widowControl/>
              <w:jc w:val="center"/>
              <w:textAlignment w:val="center"/>
              <w:rPr>
                <w:color w:val="auto"/>
                <w:sz w:val="21"/>
                <w:szCs w:val="21"/>
              </w:rPr>
            </w:pPr>
            <w:r>
              <w:rPr>
                <w:color w:val="auto"/>
                <w:kern w:val="0"/>
                <w:sz w:val="21"/>
                <w:szCs w:val="21"/>
                <w:lang w:bidi="ar"/>
              </w:rPr>
              <w:t>6.2</w:t>
            </w:r>
          </w:p>
        </w:tc>
        <w:tc>
          <w:tcPr>
            <w:tcW w:w="0" w:type="auto"/>
            <w:vAlign w:val="center"/>
          </w:tcPr>
          <w:p w14:paraId="608F5CC9">
            <w:pPr>
              <w:widowControl/>
              <w:jc w:val="center"/>
              <w:textAlignment w:val="center"/>
              <w:rPr>
                <w:color w:val="auto"/>
                <w:sz w:val="21"/>
                <w:szCs w:val="21"/>
              </w:rPr>
            </w:pPr>
            <w:r>
              <w:rPr>
                <w:color w:val="auto"/>
                <w:kern w:val="0"/>
                <w:sz w:val="21"/>
                <w:szCs w:val="21"/>
                <w:lang w:bidi="ar"/>
              </w:rPr>
              <w:t>0</w:t>
            </w:r>
          </w:p>
        </w:tc>
      </w:tr>
      <w:tr w14:paraId="60D14B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2A64EBEF">
            <w:pPr>
              <w:rPr>
                <w:b/>
                <w:snapToGrid w:val="0"/>
                <w:kern w:val="21"/>
                <w:sz w:val="21"/>
                <w:szCs w:val="21"/>
              </w:rPr>
            </w:pPr>
          </w:p>
        </w:tc>
        <w:tc>
          <w:tcPr>
            <w:tcW w:w="0" w:type="auto"/>
            <w:shd w:val="clear" w:color="auto" w:fill="auto"/>
            <w:vAlign w:val="center"/>
          </w:tcPr>
          <w:p w14:paraId="7CBBFFC5">
            <w:pPr>
              <w:widowControl/>
              <w:jc w:val="center"/>
              <w:textAlignment w:val="center"/>
              <w:rPr>
                <w:color w:val="auto"/>
                <w:sz w:val="21"/>
                <w:szCs w:val="21"/>
              </w:rPr>
            </w:pPr>
            <w:r>
              <w:rPr>
                <w:rFonts w:hint="eastAsia" w:ascii="宋体" w:hAnsi="宋体" w:cs="宋体"/>
                <w:color w:val="auto"/>
                <w:kern w:val="0"/>
                <w:sz w:val="21"/>
                <w:szCs w:val="21"/>
                <w:lang w:bidi="ar"/>
              </w:rPr>
              <w:t>筛网与沉淀池处理生产废水除得的渣</w:t>
            </w:r>
          </w:p>
        </w:tc>
        <w:tc>
          <w:tcPr>
            <w:tcW w:w="0" w:type="auto"/>
            <w:shd w:val="clear" w:color="auto" w:fill="auto"/>
            <w:vAlign w:val="center"/>
          </w:tcPr>
          <w:p w14:paraId="53502180">
            <w:pPr>
              <w:widowControl/>
              <w:jc w:val="center"/>
              <w:textAlignment w:val="center"/>
              <w:rPr>
                <w:color w:val="auto"/>
                <w:sz w:val="21"/>
                <w:szCs w:val="21"/>
              </w:rPr>
            </w:pPr>
            <w:r>
              <w:rPr>
                <w:color w:val="auto"/>
                <w:kern w:val="0"/>
                <w:sz w:val="21"/>
                <w:szCs w:val="21"/>
                <w:lang w:bidi="ar"/>
              </w:rPr>
              <w:t>12.7</w:t>
            </w:r>
          </w:p>
        </w:tc>
        <w:tc>
          <w:tcPr>
            <w:tcW w:w="0" w:type="auto"/>
            <w:shd w:val="clear" w:color="auto" w:fill="auto"/>
            <w:vAlign w:val="center"/>
          </w:tcPr>
          <w:p w14:paraId="44220BEF">
            <w:pPr>
              <w:widowControl/>
              <w:jc w:val="center"/>
              <w:textAlignment w:val="center"/>
              <w:rPr>
                <w:color w:val="auto"/>
                <w:sz w:val="21"/>
                <w:szCs w:val="21"/>
              </w:rPr>
            </w:pPr>
            <w:r>
              <w:rPr>
                <w:color w:val="auto"/>
                <w:kern w:val="0"/>
                <w:sz w:val="21"/>
                <w:szCs w:val="21"/>
                <w:lang w:bidi="ar"/>
              </w:rPr>
              <w:t>12.7</w:t>
            </w:r>
          </w:p>
        </w:tc>
        <w:tc>
          <w:tcPr>
            <w:tcW w:w="0" w:type="auto"/>
            <w:vAlign w:val="center"/>
          </w:tcPr>
          <w:p w14:paraId="6930A0E5">
            <w:pPr>
              <w:widowControl/>
              <w:jc w:val="center"/>
              <w:textAlignment w:val="center"/>
              <w:rPr>
                <w:snapToGrid w:val="0"/>
                <w:color w:val="auto"/>
                <w:kern w:val="21"/>
                <w:sz w:val="21"/>
                <w:szCs w:val="21"/>
              </w:rPr>
            </w:pPr>
            <w:r>
              <w:rPr>
                <w:color w:val="auto"/>
                <w:kern w:val="0"/>
                <w:sz w:val="21"/>
                <w:szCs w:val="21"/>
                <w:lang w:bidi="ar"/>
              </w:rPr>
              <w:t>0</w:t>
            </w:r>
          </w:p>
        </w:tc>
        <w:tc>
          <w:tcPr>
            <w:tcW w:w="1668" w:type="dxa"/>
            <w:vAlign w:val="center"/>
          </w:tcPr>
          <w:p w14:paraId="09995F90">
            <w:pPr>
              <w:widowControl/>
              <w:jc w:val="center"/>
              <w:textAlignment w:val="center"/>
              <w:rPr>
                <w:rFonts w:hint="default" w:eastAsia="宋体"/>
                <w:color w:val="auto"/>
                <w:sz w:val="21"/>
                <w:szCs w:val="21"/>
                <w:lang w:val="en-US" w:eastAsia="zh-CN"/>
              </w:rPr>
            </w:pPr>
            <w:r>
              <w:rPr>
                <w:rFonts w:hint="eastAsia"/>
                <w:color w:val="auto"/>
                <w:sz w:val="21"/>
                <w:szCs w:val="21"/>
                <w:lang w:val="en-US" w:eastAsia="zh-CN"/>
              </w:rPr>
              <w:t>5.7</w:t>
            </w:r>
          </w:p>
        </w:tc>
        <w:tc>
          <w:tcPr>
            <w:tcW w:w="1544" w:type="dxa"/>
            <w:vAlign w:val="center"/>
          </w:tcPr>
          <w:p w14:paraId="5BF3E024">
            <w:pPr>
              <w:widowControl/>
              <w:jc w:val="center"/>
              <w:textAlignment w:val="center"/>
              <w:rPr>
                <w:color w:val="auto"/>
                <w:sz w:val="21"/>
                <w:szCs w:val="21"/>
              </w:rPr>
            </w:pPr>
            <w:r>
              <w:rPr>
                <w:rFonts w:hint="eastAsia"/>
                <w:color w:val="auto"/>
                <w:sz w:val="21"/>
                <w:szCs w:val="21"/>
                <w:lang w:val="en-US" w:eastAsia="zh-CN"/>
              </w:rPr>
              <w:t>7</w:t>
            </w:r>
          </w:p>
        </w:tc>
        <w:tc>
          <w:tcPr>
            <w:tcW w:w="0" w:type="auto"/>
            <w:vAlign w:val="center"/>
          </w:tcPr>
          <w:p w14:paraId="35EAB433">
            <w:pPr>
              <w:widowControl/>
              <w:jc w:val="center"/>
              <w:textAlignment w:val="center"/>
              <w:rPr>
                <w:color w:val="auto"/>
                <w:sz w:val="21"/>
                <w:szCs w:val="21"/>
              </w:rPr>
            </w:pPr>
            <w:r>
              <w:rPr>
                <w:rFonts w:hint="eastAsia"/>
                <w:color w:val="auto"/>
                <w:sz w:val="21"/>
                <w:szCs w:val="21"/>
                <w:lang w:val="en-US" w:eastAsia="zh-CN"/>
              </w:rPr>
              <w:t>5.7</w:t>
            </w:r>
          </w:p>
        </w:tc>
        <w:tc>
          <w:tcPr>
            <w:tcW w:w="0" w:type="auto"/>
            <w:vAlign w:val="center"/>
          </w:tcPr>
          <w:p w14:paraId="080FCA51">
            <w:pPr>
              <w:widowControl/>
              <w:jc w:val="center"/>
              <w:textAlignment w:val="center"/>
              <w:rPr>
                <w:color w:val="auto"/>
                <w:sz w:val="21"/>
                <w:szCs w:val="21"/>
              </w:rPr>
            </w:pPr>
            <w:r>
              <w:rPr>
                <w:rFonts w:hint="eastAsia"/>
                <w:color w:val="auto"/>
                <w:sz w:val="21"/>
                <w:szCs w:val="21"/>
                <w:lang w:val="en-US" w:eastAsia="zh-CN"/>
              </w:rPr>
              <w:t>5.7</w:t>
            </w:r>
          </w:p>
        </w:tc>
      </w:tr>
      <w:tr w14:paraId="40F94D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5843E7C6">
            <w:pPr>
              <w:rPr>
                <w:b/>
                <w:snapToGrid w:val="0"/>
                <w:kern w:val="21"/>
                <w:sz w:val="21"/>
                <w:szCs w:val="21"/>
              </w:rPr>
            </w:pPr>
          </w:p>
        </w:tc>
        <w:tc>
          <w:tcPr>
            <w:tcW w:w="0" w:type="auto"/>
            <w:shd w:val="clear" w:color="auto" w:fill="auto"/>
            <w:vAlign w:val="center"/>
          </w:tcPr>
          <w:p w14:paraId="401F8659">
            <w:pPr>
              <w:widowControl/>
              <w:jc w:val="center"/>
              <w:textAlignment w:val="center"/>
              <w:rPr>
                <w:color w:val="auto"/>
                <w:sz w:val="21"/>
                <w:szCs w:val="21"/>
              </w:rPr>
            </w:pPr>
            <w:r>
              <w:rPr>
                <w:rFonts w:hint="eastAsia" w:ascii="宋体" w:hAnsi="宋体" w:cs="宋体"/>
                <w:color w:val="auto"/>
                <w:kern w:val="0"/>
                <w:sz w:val="21"/>
                <w:szCs w:val="21"/>
                <w:lang w:bidi="ar"/>
              </w:rPr>
              <w:t>生物质锅炉燃烧灰渣、除尘器除尘渣</w:t>
            </w:r>
          </w:p>
        </w:tc>
        <w:tc>
          <w:tcPr>
            <w:tcW w:w="0" w:type="auto"/>
            <w:shd w:val="clear" w:color="auto" w:fill="auto"/>
            <w:vAlign w:val="center"/>
          </w:tcPr>
          <w:p w14:paraId="1471E1FF">
            <w:pPr>
              <w:widowControl/>
              <w:jc w:val="center"/>
              <w:textAlignment w:val="center"/>
              <w:rPr>
                <w:color w:val="auto"/>
                <w:sz w:val="21"/>
                <w:szCs w:val="21"/>
              </w:rPr>
            </w:pPr>
            <w:r>
              <w:rPr>
                <w:color w:val="auto"/>
                <w:kern w:val="0"/>
                <w:sz w:val="21"/>
                <w:szCs w:val="21"/>
                <w:lang w:bidi="ar"/>
              </w:rPr>
              <w:t>37.1</w:t>
            </w:r>
          </w:p>
        </w:tc>
        <w:tc>
          <w:tcPr>
            <w:tcW w:w="0" w:type="auto"/>
            <w:shd w:val="clear" w:color="auto" w:fill="auto"/>
            <w:vAlign w:val="center"/>
          </w:tcPr>
          <w:p w14:paraId="6FF7A90F">
            <w:pPr>
              <w:widowControl/>
              <w:jc w:val="center"/>
              <w:textAlignment w:val="center"/>
              <w:rPr>
                <w:color w:val="auto"/>
                <w:sz w:val="21"/>
                <w:szCs w:val="21"/>
              </w:rPr>
            </w:pPr>
            <w:r>
              <w:rPr>
                <w:color w:val="auto"/>
                <w:kern w:val="0"/>
                <w:sz w:val="21"/>
                <w:szCs w:val="21"/>
                <w:lang w:bidi="ar"/>
              </w:rPr>
              <w:t>37.1</w:t>
            </w:r>
          </w:p>
        </w:tc>
        <w:tc>
          <w:tcPr>
            <w:tcW w:w="0" w:type="auto"/>
            <w:vAlign w:val="center"/>
          </w:tcPr>
          <w:p w14:paraId="0B1D91D9">
            <w:pPr>
              <w:widowControl/>
              <w:jc w:val="center"/>
              <w:textAlignment w:val="center"/>
              <w:rPr>
                <w:snapToGrid w:val="0"/>
                <w:color w:val="auto"/>
                <w:kern w:val="21"/>
                <w:sz w:val="21"/>
                <w:szCs w:val="21"/>
              </w:rPr>
            </w:pPr>
            <w:r>
              <w:rPr>
                <w:color w:val="auto"/>
                <w:kern w:val="0"/>
                <w:sz w:val="21"/>
                <w:szCs w:val="21"/>
                <w:lang w:bidi="ar"/>
              </w:rPr>
              <w:t>0</w:t>
            </w:r>
          </w:p>
        </w:tc>
        <w:tc>
          <w:tcPr>
            <w:tcW w:w="1668" w:type="dxa"/>
            <w:vAlign w:val="center"/>
          </w:tcPr>
          <w:p w14:paraId="0870ECCE">
            <w:pPr>
              <w:widowControl/>
              <w:jc w:val="center"/>
              <w:textAlignment w:val="center"/>
              <w:rPr>
                <w:color w:val="auto"/>
                <w:sz w:val="21"/>
                <w:szCs w:val="21"/>
              </w:rPr>
            </w:pPr>
            <w:r>
              <w:rPr>
                <w:color w:val="auto"/>
                <w:kern w:val="0"/>
                <w:sz w:val="21"/>
                <w:szCs w:val="21"/>
                <w:lang w:bidi="ar"/>
              </w:rPr>
              <w:t>111.089</w:t>
            </w:r>
          </w:p>
        </w:tc>
        <w:tc>
          <w:tcPr>
            <w:tcW w:w="1544" w:type="dxa"/>
            <w:vAlign w:val="center"/>
          </w:tcPr>
          <w:p w14:paraId="6F394C70">
            <w:pPr>
              <w:widowControl/>
              <w:jc w:val="center"/>
              <w:textAlignment w:val="center"/>
              <w:rPr>
                <w:color w:val="auto"/>
                <w:sz w:val="21"/>
                <w:szCs w:val="21"/>
              </w:rPr>
            </w:pPr>
            <w:r>
              <w:rPr>
                <w:color w:val="auto"/>
                <w:kern w:val="0"/>
                <w:sz w:val="21"/>
                <w:szCs w:val="21"/>
                <w:lang w:bidi="ar"/>
              </w:rPr>
              <w:t>37.1</w:t>
            </w:r>
          </w:p>
        </w:tc>
        <w:tc>
          <w:tcPr>
            <w:tcW w:w="0" w:type="auto"/>
            <w:vAlign w:val="center"/>
          </w:tcPr>
          <w:p w14:paraId="043647F9">
            <w:pPr>
              <w:widowControl/>
              <w:jc w:val="center"/>
              <w:textAlignment w:val="center"/>
              <w:rPr>
                <w:color w:val="auto"/>
                <w:sz w:val="21"/>
                <w:szCs w:val="21"/>
              </w:rPr>
            </w:pPr>
            <w:r>
              <w:rPr>
                <w:color w:val="auto"/>
                <w:kern w:val="0"/>
                <w:sz w:val="21"/>
                <w:szCs w:val="21"/>
                <w:lang w:bidi="ar"/>
              </w:rPr>
              <w:t>111.089</w:t>
            </w:r>
          </w:p>
        </w:tc>
        <w:tc>
          <w:tcPr>
            <w:tcW w:w="0" w:type="auto"/>
            <w:vAlign w:val="center"/>
          </w:tcPr>
          <w:p w14:paraId="3173C27F">
            <w:pPr>
              <w:widowControl/>
              <w:jc w:val="center"/>
              <w:textAlignment w:val="center"/>
              <w:rPr>
                <w:color w:val="auto"/>
                <w:sz w:val="21"/>
                <w:szCs w:val="21"/>
              </w:rPr>
            </w:pPr>
            <w:r>
              <w:rPr>
                <w:color w:val="auto"/>
                <w:kern w:val="0"/>
                <w:sz w:val="21"/>
                <w:szCs w:val="21"/>
                <w:lang w:bidi="ar"/>
              </w:rPr>
              <w:t>73.989</w:t>
            </w:r>
          </w:p>
        </w:tc>
      </w:tr>
      <w:tr w14:paraId="65264E3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3730CFAD">
            <w:pPr>
              <w:rPr>
                <w:b/>
                <w:snapToGrid w:val="0"/>
                <w:kern w:val="21"/>
                <w:sz w:val="21"/>
                <w:szCs w:val="21"/>
              </w:rPr>
            </w:pPr>
          </w:p>
        </w:tc>
        <w:tc>
          <w:tcPr>
            <w:tcW w:w="0" w:type="auto"/>
            <w:shd w:val="clear" w:color="auto" w:fill="auto"/>
            <w:vAlign w:val="center"/>
          </w:tcPr>
          <w:p w14:paraId="669BFC9B">
            <w:pPr>
              <w:widowControl/>
              <w:jc w:val="center"/>
              <w:textAlignment w:val="center"/>
              <w:rPr>
                <w:rFonts w:hint="eastAsia" w:ascii="宋体" w:hAnsi="宋体" w:cs="宋体"/>
                <w:color w:val="auto"/>
                <w:kern w:val="0"/>
                <w:sz w:val="21"/>
                <w:szCs w:val="21"/>
                <w:lang w:bidi="ar"/>
              </w:rPr>
            </w:pPr>
            <w:r>
              <w:rPr>
                <w:rFonts w:hint="eastAsia" w:ascii="宋体" w:hAnsi="宋体" w:cs="宋体"/>
                <w:color w:val="auto"/>
                <w:kern w:val="0"/>
                <w:sz w:val="21"/>
                <w:szCs w:val="21"/>
                <w:lang w:bidi="ar"/>
              </w:rPr>
              <w:t>废离子交换树脂</w:t>
            </w:r>
          </w:p>
        </w:tc>
        <w:tc>
          <w:tcPr>
            <w:tcW w:w="0" w:type="auto"/>
            <w:shd w:val="clear" w:color="auto" w:fill="auto"/>
            <w:vAlign w:val="center"/>
          </w:tcPr>
          <w:p w14:paraId="0936C192">
            <w:pPr>
              <w:widowControl/>
              <w:jc w:val="center"/>
              <w:textAlignment w:val="center"/>
              <w:rPr>
                <w:color w:val="auto"/>
                <w:kern w:val="0"/>
                <w:sz w:val="21"/>
                <w:szCs w:val="21"/>
                <w:lang w:bidi="ar"/>
              </w:rPr>
            </w:pPr>
            <w:r>
              <w:rPr>
                <w:color w:val="auto"/>
                <w:kern w:val="0"/>
                <w:sz w:val="21"/>
                <w:szCs w:val="21"/>
                <w:lang w:bidi="ar"/>
              </w:rPr>
              <w:t>0.15</w:t>
            </w:r>
          </w:p>
        </w:tc>
        <w:tc>
          <w:tcPr>
            <w:tcW w:w="0" w:type="auto"/>
            <w:shd w:val="clear" w:color="auto" w:fill="auto"/>
            <w:vAlign w:val="center"/>
          </w:tcPr>
          <w:p w14:paraId="14ACA9CD">
            <w:pPr>
              <w:widowControl/>
              <w:jc w:val="center"/>
              <w:textAlignment w:val="center"/>
              <w:rPr>
                <w:color w:val="auto"/>
                <w:kern w:val="0"/>
                <w:sz w:val="21"/>
                <w:szCs w:val="21"/>
                <w:lang w:bidi="ar"/>
              </w:rPr>
            </w:pPr>
            <w:r>
              <w:rPr>
                <w:color w:val="auto"/>
                <w:kern w:val="0"/>
                <w:sz w:val="21"/>
                <w:szCs w:val="21"/>
                <w:lang w:bidi="ar"/>
              </w:rPr>
              <w:t>0.15</w:t>
            </w:r>
          </w:p>
        </w:tc>
        <w:tc>
          <w:tcPr>
            <w:tcW w:w="0" w:type="auto"/>
            <w:vAlign w:val="center"/>
          </w:tcPr>
          <w:p w14:paraId="3EFAD3F2">
            <w:pPr>
              <w:widowControl/>
              <w:jc w:val="center"/>
              <w:textAlignment w:val="center"/>
              <w:rPr>
                <w:color w:val="auto"/>
                <w:kern w:val="0"/>
                <w:sz w:val="21"/>
                <w:szCs w:val="21"/>
                <w:lang w:bidi="ar"/>
              </w:rPr>
            </w:pPr>
            <w:r>
              <w:rPr>
                <w:color w:val="auto"/>
                <w:kern w:val="0"/>
                <w:sz w:val="21"/>
                <w:szCs w:val="21"/>
                <w:lang w:bidi="ar"/>
              </w:rPr>
              <w:t>0</w:t>
            </w:r>
          </w:p>
        </w:tc>
        <w:tc>
          <w:tcPr>
            <w:tcW w:w="1668" w:type="dxa"/>
            <w:vAlign w:val="center"/>
          </w:tcPr>
          <w:p w14:paraId="37A1C6C7">
            <w:pPr>
              <w:widowControl/>
              <w:jc w:val="center"/>
              <w:textAlignment w:val="center"/>
              <w:rPr>
                <w:color w:val="auto"/>
                <w:kern w:val="0"/>
                <w:sz w:val="21"/>
                <w:szCs w:val="21"/>
                <w:lang w:bidi="ar"/>
              </w:rPr>
            </w:pPr>
            <w:r>
              <w:rPr>
                <w:color w:val="auto"/>
                <w:kern w:val="0"/>
                <w:sz w:val="21"/>
                <w:szCs w:val="21"/>
                <w:lang w:bidi="ar"/>
              </w:rPr>
              <w:t>0.3</w:t>
            </w:r>
          </w:p>
        </w:tc>
        <w:tc>
          <w:tcPr>
            <w:tcW w:w="1544" w:type="dxa"/>
            <w:vAlign w:val="center"/>
          </w:tcPr>
          <w:p w14:paraId="54538E4B">
            <w:pPr>
              <w:widowControl/>
              <w:jc w:val="center"/>
              <w:textAlignment w:val="center"/>
              <w:rPr>
                <w:color w:val="auto"/>
                <w:kern w:val="0"/>
                <w:sz w:val="21"/>
                <w:szCs w:val="21"/>
                <w:lang w:bidi="ar"/>
              </w:rPr>
            </w:pPr>
            <w:r>
              <w:rPr>
                <w:color w:val="auto"/>
                <w:kern w:val="0"/>
                <w:sz w:val="21"/>
                <w:szCs w:val="21"/>
                <w:lang w:bidi="ar"/>
              </w:rPr>
              <w:t>0.15</w:t>
            </w:r>
          </w:p>
        </w:tc>
        <w:tc>
          <w:tcPr>
            <w:tcW w:w="0" w:type="auto"/>
            <w:vAlign w:val="center"/>
          </w:tcPr>
          <w:p w14:paraId="2486B075">
            <w:pPr>
              <w:widowControl/>
              <w:jc w:val="center"/>
              <w:textAlignment w:val="center"/>
              <w:rPr>
                <w:color w:val="auto"/>
                <w:kern w:val="0"/>
                <w:sz w:val="21"/>
                <w:szCs w:val="21"/>
                <w:lang w:bidi="ar"/>
              </w:rPr>
            </w:pPr>
            <w:r>
              <w:rPr>
                <w:color w:val="auto"/>
                <w:kern w:val="0"/>
                <w:sz w:val="21"/>
                <w:szCs w:val="21"/>
                <w:lang w:bidi="ar"/>
              </w:rPr>
              <w:t>0.3</w:t>
            </w:r>
          </w:p>
        </w:tc>
        <w:tc>
          <w:tcPr>
            <w:tcW w:w="0" w:type="auto"/>
            <w:vAlign w:val="center"/>
          </w:tcPr>
          <w:p w14:paraId="5E2C50D8">
            <w:pPr>
              <w:widowControl/>
              <w:jc w:val="center"/>
              <w:textAlignment w:val="center"/>
              <w:rPr>
                <w:color w:val="auto"/>
                <w:kern w:val="0"/>
                <w:sz w:val="21"/>
                <w:szCs w:val="21"/>
                <w:lang w:bidi="ar"/>
              </w:rPr>
            </w:pPr>
            <w:r>
              <w:rPr>
                <w:color w:val="auto"/>
                <w:kern w:val="0"/>
                <w:sz w:val="21"/>
                <w:szCs w:val="21"/>
                <w:lang w:bidi="ar"/>
              </w:rPr>
              <w:t>0.15</w:t>
            </w:r>
          </w:p>
        </w:tc>
      </w:tr>
      <w:tr w14:paraId="1E49CF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782930EC">
            <w:pPr>
              <w:rPr>
                <w:b/>
                <w:snapToGrid w:val="0"/>
                <w:kern w:val="21"/>
                <w:sz w:val="21"/>
                <w:szCs w:val="21"/>
              </w:rPr>
            </w:pPr>
          </w:p>
        </w:tc>
        <w:tc>
          <w:tcPr>
            <w:tcW w:w="0" w:type="auto"/>
            <w:shd w:val="clear" w:color="auto" w:fill="auto"/>
            <w:vAlign w:val="center"/>
          </w:tcPr>
          <w:p w14:paraId="67BE3129">
            <w:pPr>
              <w:widowControl/>
              <w:jc w:val="center"/>
              <w:textAlignment w:val="center"/>
              <w:rPr>
                <w:rFonts w:hint="eastAsia" w:ascii="宋体" w:hAnsi="宋体" w:eastAsia="宋体" w:cs="宋体"/>
                <w:color w:val="auto"/>
                <w:kern w:val="0"/>
                <w:sz w:val="21"/>
                <w:szCs w:val="21"/>
                <w:lang w:eastAsia="zh-CN" w:bidi="ar"/>
              </w:rPr>
            </w:pPr>
            <w:r>
              <w:rPr>
                <w:rFonts w:hint="eastAsia" w:ascii="宋体" w:hAnsi="宋体" w:cs="宋体"/>
                <w:color w:val="auto"/>
                <w:kern w:val="0"/>
                <w:sz w:val="21"/>
                <w:szCs w:val="21"/>
                <w:lang w:eastAsia="zh-CN" w:bidi="ar"/>
              </w:rPr>
              <w:t>纤维尘</w:t>
            </w:r>
          </w:p>
        </w:tc>
        <w:tc>
          <w:tcPr>
            <w:tcW w:w="0" w:type="auto"/>
            <w:shd w:val="clear" w:color="auto" w:fill="auto"/>
            <w:vAlign w:val="center"/>
          </w:tcPr>
          <w:p w14:paraId="2DC38FD2">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w:t>
            </w:r>
          </w:p>
        </w:tc>
        <w:tc>
          <w:tcPr>
            <w:tcW w:w="0" w:type="auto"/>
            <w:shd w:val="clear" w:color="auto" w:fill="auto"/>
            <w:vAlign w:val="center"/>
          </w:tcPr>
          <w:p w14:paraId="00EB3174">
            <w:pPr>
              <w:widowControl/>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0</w:t>
            </w:r>
          </w:p>
        </w:tc>
        <w:tc>
          <w:tcPr>
            <w:tcW w:w="0" w:type="auto"/>
            <w:vAlign w:val="center"/>
          </w:tcPr>
          <w:p w14:paraId="74CE8D11">
            <w:pPr>
              <w:widowControl/>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0</w:t>
            </w:r>
          </w:p>
        </w:tc>
        <w:tc>
          <w:tcPr>
            <w:tcW w:w="1668" w:type="dxa"/>
            <w:vAlign w:val="center"/>
          </w:tcPr>
          <w:p w14:paraId="07C8D3FA">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0.067</w:t>
            </w:r>
          </w:p>
        </w:tc>
        <w:tc>
          <w:tcPr>
            <w:tcW w:w="1544" w:type="dxa"/>
            <w:vAlign w:val="center"/>
          </w:tcPr>
          <w:p w14:paraId="72526F06">
            <w:pPr>
              <w:widowControl/>
              <w:jc w:val="center"/>
              <w:textAlignment w:val="center"/>
              <w:rPr>
                <w:rFonts w:hint="eastAsia" w:eastAsia="宋体"/>
                <w:color w:val="auto"/>
                <w:kern w:val="0"/>
                <w:sz w:val="21"/>
                <w:szCs w:val="21"/>
                <w:lang w:val="en-US" w:eastAsia="zh-CN" w:bidi="ar"/>
              </w:rPr>
            </w:pPr>
            <w:r>
              <w:rPr>
                <w:rFonts w:hint="eastAsia"/>
                <w:color w:val="auto"/>
                <w:kern w:val="0"/>
                <w:sz w:val="21"/>
                <w:szCs w:val="21"/>
                <w:lang w:val="en-US" w:eastAsia="zh-CN" w:bidi="ar"/>
              </w:rPr>
              <w:t>0</w:t>
            </w:r>
          </w:p>
        </w:tc>
        <w:tc>
          <w:tcPr>
            <w:tcW w:w="0" w:type="auto"/>
            <w:vAlign w:val="center"/>
          </w:tcPr>
          <w:p w14:paraId="34147A12">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0.067</w:t>
            </w:r>
          </w:p>
        </w:tc>
        <w:tc>
          <w:tcPr>
            <w:tcW w:w="0" w:type="auto"/>
            <w:vAlign w:val="center"/>
          </w:tcPr>
          <w:p w14:paraId="1E3BF4B0">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+0.067</w:t>
            </w:r>
          </w:p>
        </w:tc>
      </w:tr>
      <w:tr w14:paraId="1E0F0A6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restart"/>
            <w:vAlign w:val="center"/>
          </w:tcPr>
          <w:p w14:paraId="456C869F">
            <w:pPr>
              <w:rPr>
                <w:rFonts w:hint="eastAsia" w:eastAsia="宋体"/>
                <w:b/>
                <w:snapToGrid w:val="0"/>
                <w:kern w:val="21"/>
                <w:sz w:val="21"/>
                <w:szCs w:val="21"/>
                <w:lang w:eastAsia="zh-CN"/>
              </w:rPr>
            </w:pPr>
            <w:r>
              <w:rPr>
                <w:rFonts w:hint="eastAsia"/>
                <w:b/>
                <w:snapToGrid w:val="0"/>
                <w:kern w:val="21"/>
                <w:sz w:val="21"/>
                <w:szCs w:val="21"/>
                <w:lang w:eastAsia="zh-CN"/>
              </w:rPr>
              <w:t>危险废物</w:t>
            </w:r>
          </w:p>
        </w:tc>
        <w:tc>
          <w:tcPr>
            <w:tcW w:w="0" w:type="auto"/>
            <w:shd w:val="clear" w:color="auto" w:fill="auto"/>
            <w:vAlign w:val="center"/>
          </w:tcPr>
          <w:p w14:paraId="7A62F339">
            <w:pPr>
              <w:widowControl/>
              <w:jc w:val="center"/>
              <w:textAlignment w:val="center"/>
              <w:rPr>
                <w:rFonts w:hint="eastAsia" w:ascii="宋体" w:hAnsi="宋体" w:cs="宋体"/>
                <w:color w:val="auto"/>
                <w:kern w:val="0"/>
                <w:sz w:val="21"/>
                <w:szCs w:val="21"/>
                <w:lang w:eastAsia="zh-CN" w:bidi="ar"/>
              </w:rPr>
            </w:pPr>
            <w:r>
              <w:rPr>
                <w:rFonts w:hint="eastAsia" w:ascii="宋体" w:hAnsi="宋体" w:cs="宋体"/>
                <w:color w:val="auto"/>
                <w:kern w:val="0"/>
                <w:sz w:val="21"/>
                <w:szCs w:val="21"/>
                <w:lang w:eastAsia="zh-CN" w:bidi="ar"/>
              </w:rPr>
              <w:t>医疗布草分拣废物</w:t>
            </w:r>
          </w:p>
        </w:tc>
        <w:tc>
          <w:tcPr>
            <w:tcW w:w="0" w:type="auto"/>
            <w:shd w:val="clear" w:color="auto" w:fill="auto"/>
            <w:vAlign w:val="center"/>
          </w:tcPr>
          <w:p w14:paraId="540FCBC1">
            <w:pPr>
              <w:widowControl/>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0</w:t>
            </w:r>
          </w:p>
        </w:tc>
        <w:tc>
          <w:tcPr>
            <w:tcW w:w="0" w:type="auto"/>
            <w:shd w:val="clear" w:color="auto" w:fill="auto"/>
            <w:vAlign w:val="center"/>
          </w:tcPr>
          <w:p w14:paraId="1CC8819E">
            <w:pPr>
              <w:widowControl/>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0</w:t>
            </w:r>
          </w:p>
        </w:tc>
        <w:tc>
          <w:tcPr>
            <w:tcW w:w="0" w:type="auto"/>
            <w:vAlign w:val="center"/>
          </w:tcPr>
          <w:p w14:paraId="7633CE8C">
            <w:pPr>
              <w:widowControl/>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0</w:t>
            </w:r>
          </w:p>
        </w:tc>
        <w:tc>
          <w:tcPr>
            <w:tcW w:w="1668" w:type="dxa"/>
            <w:vAlign w:val="center"/>
          </w:tcPr>
          <w:p w14:paraId="3579F9C6">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0.2</w:t>
            </w:r>
          </w:p>
        </w:tc>
        <w:tc>
          <w:tcPr>
            <w:tcW w:w="1544" w:type="dxa"/>
            <w:vAlign w:val="center"/>
          </w:tcPr>
          <w:p w14:paraId="650A4540">
            <w:pPr>
              <w:widowControl/>
              <w:jc w:val="center"/>
              <w:textAlignment w:val="center"/>
              <w:rPr>
                <w:rFonts w:hint="default"/>
                <w:color w:val="auto"/>
                <w:kern w:val="0"/>
                <w:sz w:val="21"/>
                <w:szCs w:val="21"/>
                <w:lang w:val="en-US" w:eastAsia="zh-CN" w:bidi="ar"/>
              </w:rPr>
            </w:pPr>
            <w:r>
              <w:rPr>
                <w:rFonts w:hint="eastAsia"/>
                <w:color w:val="auto"/>
                <w:kern w:val="0"/>
                <w:sz w:val="21"/>
                <w:szCs w:val="21"/>
                <w:lang w:val="en-US" w:eastAsia="zh-CN" w:bidi="ar"/>
              </w:rPr>
              <w:t>0</w:t>
            </w:r>
          </w:p>
        </w:tc>
        <w:tc>
          <w:tcPr>
            <w:tcW w:w="0" w:type="auto"/>
            <w:vAlign w:val="center"/>
          </w:tcPr>
          <w:p w14:paraId="5EF39014">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0.2</w:t>
            </w:r>
          </w:p>
        </w:tc>
        <w:tc>
          <w:tcPr>
            <w:tcW w:w="0" w:type="auto"/>
            <w:vAlign w:val="center"/>
          </w:tcPr>
          <w:p w14:paraId="0A636852">
            <w:pPr>
              <w:widowControl/>
              <w:jc w:val="center"/>
              <w:textAlignment w:val="center"/>
              <w:rPr>
                <w:rFonts w:hint="default" w:eastAsia="宋体"/>
                <w:color w:val="auto"/>
                <w:kern w:val="0"/>
                <w:sz w:val="21"/>
                <w:szCs w:val="21"/>
                <w:lang w:val="en-US" w:eastAsia="zh-CN" w:bidi="ar"/>
              </w:rPr>
            </w:pPr>
            <w:r>
              <w:rPr>
                <w:rFonts w:hint="eastAsia"/>
                <w:color w:val="auto"/>
                <w:kern w:val="0"/>
                <w:sz w:val="21"/>
                <w:szCs w:val="21"/>
                <w:lang w:val="en-US" w:eastAsia="zh-CN" w:bidi="ar"/>
              </w:rPr>
              <w:t>+0.2</w:t>
            </w:r>
          </w:p>
        </w:tc>
      </w:tr>
      <w:tr w14:paraId="4EB1DF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0" w:type="auto"/>
            <w:vMerge w:val="continue"/>
            <w:vAlign w:val="center"/>
          </w:tcPr>
          <w:p w14:paraId="0BB09BEE">
            <w:pPr>
              <w:rPr>
                <w:rFonts w:hint="eastAsia"/>
                <w:b/>
                <w:snapToGrid w:val="0"/>
                <w:kern w:val="21"/>
                <w:sz w:val="21"/>
                <w:szCs w:val="21"/>
                <w:lang w:eastAsia="zh-CN"/>
              </w:rPr>
            </w:pPr>
          </w:p>
        </w:tc>
        <w:tc>
          <w:tcPr>
            <w:tcW w:w="0" w:type="auto"/>
            <w:shd w:val="clear" w:color="auto" w:fill="auto"/>
            <w:vAlign w:val="center"/>
          </w:tcPr>
          <w:p w14:paraId="5ABEAFAE">
            <w:pPr>
              <w:widowControl/>
              <w:jc w:val="center"/>
              <w:textAlignment w:val="center"/>
              <w:rPr>
                <w:rFonts w:hint="eastAsia" w:ascii="宋体" w:hAnsi="宋体" w:eastAsia="宋体" w:cs="宋体"/>
                <w:color w:val="auto"/>
                <w:kern w:val="0"/>
                <w:sz w:val="21"/>
                <w:szCs w:val="21"/>
                <w:lang w:val="en-US" w:eastAsia="zh-CN" w:bidi="ar"/>
              </w:rPr>
            </w:pPr>
            <w:r>
              <w:rPr>
                <w:rFonts w:hint="eastAsia" w:ascii="宋体" w:hAnsi="宋体" w:cs="宋体"/>
                <w:color w:val="auto"/>
                <w:kern w:val="0"/>
                <w:sz w:val="21"/>
                <w:szCs w:val="21"/>
                <w:lang w:eastAsia="zh-CN" w:bidi="ar"/>
              </w:rPr>
              <w:t>废水站污泥</w:t>
            </w:r>
          </w:p>
        </w:tc>
        <w:tc>
          <w:tcPr>
            <w:tcW w:w="0" w:type="auto"/>
            <w:shd w:val="clear" w:color="auto" w:fill="auto"/>
            <w:vAlign w:val="center"/>
          </w:tcPr>
          <w:p w14:paraId="2E60D6D6">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0</w:t>
            </w:r>
          </w:p>
        </w:tc>
        <w:tc>
          <w:tcPr>
            <w:tcW w:w="0" w:type="auto"/>
            <w:shd w:val="clear" w:color="auto" w:fill="auto"/>
            <w:vAlign w:val="center"/>
          </w:tcPr>
          <w:p w14:paraId="358F4C83">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0</w:t>
            </w:r>
          </w:p>
        </w:tc>
        <w:tc>
          <w:tcPr>
            <w:tcW w:w="0" w:type="auto"/>
            <w:shd w:val="clear" w:color="auto" w:fill="auto"/>
            <w:vAlign w:val="center"/>
          </w:tcPr>
          <w:p w14:paraId="29B5F86A">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0</w:t>
            </w:r>
          </w:p>
        </w:tc>
        <w:tc>
          <w:tcPr>
            <w:tcW w:w="1668" w:type="dxa"/>
            <w:shd w:val="clear" w:color="auto" w:fill="auto"/>
            <w:vAlign w:val="center"/>
          </w:tcPr>
          <w:p w14:paraId="69309FCF">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eastAsia="zh-CN" w:bidi="ar"/>
              </w:rPr>
              <w:t>10.93</w:t>
            </w:r>
          </w:p>
        </w:tc>
        <w:tc>
          <w:tcPr>
            <w:tcW w:w="1544" w:type="dxa"/>
            <w:shd w:val="clear" w:color="auto" w:fill="auto"/>
            <w:vAlign w:val="center"/>
          </w:tcPr>
          <w:p w14:paraId="0698B87B">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w:t>
            </w:r>
          </w:p>
        </w:tc>
        <w:tc>
          <w:tcPr>
            <w:tcW w:w="0" w:type="auto"/>
            <w:shd w:val="clear" w:color="auto" w:fill="auto"/>
            <w:vAlign w:val="center"/>
          </w:tcPr>
          <w:p w14:paraId="2944A914">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w:t>
            </w:r>
            <w:r>
              <w:rPr>
                <w:rFonts w:hint="eastAsia"/>
                <w:color w:val="auto"/>
                <w:kern w:val="0"/>
                <w:sz w:val="21"/>
                <w:szCs w:val="21"/>
                <w:lang w:eastAsia="zh-CN" w:bidi="ar"/>
              </w:rPr>
              <w:t>10.93</w:t>
            </w:r>
          </w:p>
        </w:tc>
        <w:tc>
          <w:tcPr>
            <w:tcW w:w="0" w:type="auto"/>
            <w:shd w:val="clear" w:color="auto" w:fill="auto"/>
            <w:vAlign w:val="center"/>
          </w:tcPr>
          <w:p w14:paraId="5BF372A8">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olor w:val="auto"/>
                <w:kern w:val="0"/>
                <w:sz w:val="21"/>
                <w:szCs w:val="21"/>
                <w:lang w:val="en-US" w:eastAsia="zh-CN" w:bidi="ar"/>
              </w:rPr>
              <w:t>+</w:t>
            </w:r>
            <w:r>
              <w:rPr>
                <w:rFonts w:hint="eastAsia"/>
                <w:color w:val="auto"/>
                <w:kern w:val="0"/>
                <w:sz w:val="21"/>
                <w:szCs w:val="21"/>
                <w:lang w:eastAsia="zh-CN" w:bidi="ar"/>
              </w:rPr>
              <w:t>10.93</w:t>
            </w:r>
          </w:p>
        </w:tc>
      </w:tr>
    </w:tbl>
    <w:p w14:paraId="0993E628">
      <w:pPr>
        <w:pStyle w:val="28"/>
        <w:spacing w:before="192" w:beforeLines="80" w:after="24"/>
        <w:jc w:val="left"/>
        <w:rPr>
          <w:rFonts w:hint="eastAsia" w:hAnsi="宋体" w:eastAsia="黑体"/>
        </w:rPr>
      </w:pPr>
      <w:r>
        <w:rPr>
          <w:rFonts w:hAnsi="宋体"/>
          <w:snapToGrid w:val="0"/>
          <w:kern w:val="21"/>
          <w:szCs w:val="21"/>
        </w:rPr>
        <w:t>注：</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3 \* GB3 \* MERGEFORMAT </w:instrText>
      </w:r>
      <w:r>
        <w:rPr>
          <w:rFonts w:hAnsi="宋体"/>
          <w:snapToGrid w:val="0"/>
          <w:spacing w:val="-6"/>
          <w:kern w:val="21"/>
          <w:szCs w:val="21"/>
        </w:rPr>
        <w:fldChar w:fldCharType="separate"/>
      </w:r>
      <w:r>
        <w:rPr>
          <w:rFonts w:hint="eastAsia" w:hAnsi="宋体"/>
          <w:szCs w:val="21"/>
        </w:rPr>
        <w:t>③</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4 \* GB3 \* MERGEFORMAT </w:instrText>
      </w:r>
      <w:r>
        <w:rPr>
          <w:rFonts w:hAnsi="宋体"/>
          <w:snapToGrid w:val="0"/>
          <w:spacing w:val="-6"/>
          <w:kern w:val="21"/>
          <w:szCs w:val="21"/>
        </w:rPr>
        <w:fldChar w:fldCharType="separate"/>
      </w:r>
      <w:r>
        <w:rPr>
          <w:rFonts w:hint="eastAsia" w:hAnsi="宋体"/>
          <w:szCs w:val="21"/>
        </w:rPr>
        <w:t>④</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5 \* GB3 \* MERGEFORMAT </w:instrText>
      </w:r>
      <w:r>
        <w:rPr>
          <w:rFonts w:hAnsi="宋体"/>
          <w:snapToGrid w:val="0"/>
          <w:spacing w:val="-16"/>
          <w:kern w:val="21"/>
          <w:szCs w:val="21"/>
        </w:rPr>
        <w:fldChar w:fldCharType="separate"/>
      </w:r>
      <w:r>
        <w:rPr>
          <w:rFonts w:hint="eastAsia" w:hAnsi="宋体"/>
          <w:szCs w:val="21"/>
        </w:rPr>
        <w:t>⑤</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7 \* GB3 \* MERGEFORMAT </w:instrText>
      </w:r>
      <w:r>
        <w:rPr>
          <w:rFonts w:hAnsi="宋体"/>
          <w:snapToGrid w:val="0"/>
          <w:spacing w:val="-6"/>
          <w:kern w:val="21"/>
          <w:szCs w:val="21"/>
        </w:rPr>
        <w:fldChar w:fldCharType="separate"/>
      </w:r>
      <w:r>
        <w:rPr>
          <w:rFonts w:hint="eastAsia" w:hAnsi="宋体"/>
          <w:szCs w:val="21"/>
        </w:rPr>
        <w:t>⑦</w:t>
      </w:r>
      <w:r>
        <w:rPr>
          <w:rFonts w:hAnsi="宋体"/>
          <w:snapToGrid w:val="0"/>
          <w:spacing w:val="-6"/>
          <w:kern w:val="21"/>
          <w:szCs w:val="21"/>
        </w:rPr>
        <w:fldChar w:fldCharType="end"/>
      </w:r>
      <w:r>
        <w:rPr>
          <w:rFonts w:hAnsi="宋体"/>
          <w:snapToGrid w:val="0"/>
          <w:spacing w:val="-6"/>
          <w:kern w:val="21"/>
          <w:szCs w:val="21"/>
        </w:rPr>
        <w:t>=</w:t>
      </w:r>
      <w:r>
        <w:rPr>
          <w:rFonts w:hAnsi="宋体"/>
          <w:snapToGrid w:val="0"/>
          <w:spacing w:val="-16"/>
          <w:kern w:val="21"/>
          <w:szCs w:val="21"/>
        </w:rPr>
        <w:fldChar w:fldCharType="begin"/>
      </w:r>
      <w:r>
        <w:rPr>
          <w:rFonts w:hAnsi="宋体"/>
          <w:snapToGrid w:val="0"/>
          <w:spacing w:val="-16"/>
          <w:kern w:val="21"/>
          <w:szCs w:val="21"/>
        </w:rPr>
        <w:instrText xml:space="preserve"> = 6 \* GB3 \* MERGEFORMAT </w:instrText>
      </w:r>
      <w:r>
        <w:rPr>
          <w:rFonts w:hAnsi="宋体"/>
          <w:snapToGrid w:val="0"/>
          <w:spacing w:val="-16"/>
          <w:kern w:val="21"/>
          <w:szCs w:val="21"/>
        </w:rPr>
        <w:fldChar w:fldCharType="separate"/>
      </w:r>
      <w:r>
        <w:rPr>
          <w:rFonts w:hint="eastAsia" w:hAnsi="宋体"/>
          <w:szCs w:val="21"/>
        </w:rPr>
        <w:t>⑥</w:t>
      </w:r>
      <w:r>
        <w:rPr>
          <w:rFonts w:hAnsi="宋体"/>
          <w:snapToGrid w:val="0"/>
          <w:spacing w:val="-16"/>
          <w:kern w:val="21"/>
          <w:szCs w:val="21"/>
        </w:rPr>
        <w:fldChar w:fldCharType="end"/>
      </w:r>
      <w:r>
        <w:rPr>
          <w:rFonts w:hAnsi="宋体"/>
          <w:snapToGrid w:val="0"/>
          <w:spacing w:val="-16"/>
          <w:kern w:val="21"/>
          <w:szCs w:val="21"/>
        </w:rPr>
        <w:t>-</w:t>
      </w:r>
      <w:r>
        <w:rPr>
          <w:rFonts w:hAnsi="宋体"/>
          <w:snapToGrid w:val="0"/>
          <w:spacing w:val="-6"/>
          <w:kern w:val="21"/>
          <w:szCs w:val="21"/>
        </w:rPr>
        <w:fldChar w:fldCharType="begin"/>
      </w:r>
      <w:r>
        <w:rPr>
          <w:rFonts w:hAnsi="宋体"/>
          <w:snapToGrid w:val="0"/>
          <w:spacing w:val="-6"/>
          <w:kern w:val="21"/>
          <w:szCs w:val="21"/>
        </w:rPr>
        <w:instrText xml:space="preserve"> = 1 \* GB3 \* MERGEFORMAT </w:instrText>
      </w:r>
      <w:r>
        <w:rPr>
          <w:rFonts w:hAnsi="宋体"/>
          <w:snapToGrid w:val="0"/>
          <w:spacing w:val="-6"/>
          <w:kern w:val="21"/>
          <w:szCs w:val="21"/>
        </w:rPr>
        <w:fldChar w:fldCharType="separate"/>
      </w:r>
      <w:r>
        <w:rPr>
          <w:rFonts w:hint="eastAsia" w:hAnsi="宋体"/>
          <w:szCs w:val="21"/>
        </w:rPr>
        <w:t>①</w:t>
      </w:r>
      <w:r>
        <w:rPr>
          <w:rFonts w:hAnsi="宋体"/>
          <w:snapToGrid w:val="0"/>
          <w:spacing w:val="-6"/>
          <w:kern w:val="21"/>
          <w:szCs w:val="21"/>
        </w:rPr>
        <w:fldChar w:fldCharType="end"/>
      </w:r>
    </w:p>
    <w:p w14:paraId="15B58C7B">
      <w:pPr>
        <w:sectPr>
          <w:footerReference r:id="rId6" w:type="default"/>
          <w:pgSz w:w="16838" w:h="11906" w:orient="landscape"/>
          <w:pgMar w:top="1531" w:right="1701" w:bottom="1531" w:left="1701" w:header="851" w:footer="851" w:gutter="0"/>
          <w:cols w:space="720" w:num="1"/>
          <w:docGrid w:linePitch="312" w:charSpace="0"/>
        </w:sectPr>
      </w:pPr>
    </w:p>
    <w:p w14:paraId="0A141D2A">
      <w:pPr>
        <w:outlineLvl w:val="0"/>
        <w:rPr>
          <w:b/>
          <w:bCs/>
          <w:sz w:val="24"/>
        </w:rPr>
      </w:pPr>
      <w:bookmarkStart w:id="25" w:name="_Toc4424"/>
      <w:r>
        <w:rPr>
          <w:rFonts w:hint="eastAsia"/>
          <w:b/>
          <w:bCs/>
          <w:sz w:val="24"/>
        </w:rPr>
        <w:t>附件1  委托书</w:t>
      </w:r>
      <w:bookmarkEnd w:id="25"/>
    </w:p>
    <w:p w14:paraId="40AF9658"/>
    <w:p w14:paraId="249466D2">
      <w:r>
        <w:drawing>
          <wp:inline distT="0" distB="0" distL="114300" distR="114300">
            <wp:extent cx="5615305" cy="7938770"/>
            <wp:effectExtent l="9525" t="9525" r="13970" b="14605"/>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
                    <pic:cNvPicPr>
                      <a:picLocks noChangeAspect="1"/>
                    </pic:cNvPicPr>
                  </pic:nvPicPr>
                  <pic:blipFill>
                    <a:blip r:embed="rId34"/>
                    <a:stretch>
                      <a:fillRect/>
                    </a:stretch>
                  </pic:blipFill>
                  <pic:spPr>
                    <a:xfrm>
                      <a:off x="0" y="0"/>
                      <a:ext cx="5615305" cy="7938770"/>
                    </a:xfrm>
                    <a:prstGeom prst="rect">
                      <a:avLst/>
                    </a:prstGeom>
                    <a:noFill/>
                    <a:ln>
                      <a:solidFill>
                        <a:schemeClr val="tx1"/>
                      </a:solidFill>
                    </a:ln>
                  </pic:spPr>
                </pic:pic>
              </a:graphicData>
            </a:graphic>
          </wp:inline>
        </w:drawing>
      </w:r>
    </w:p>
    <w:p w14:paraId="680899C6">
      <w:pPr>
        <w:outlineLvl w:val="9"/>
        <w:rPr>
          <w:b/>
          <w:bCs/>
          <w:sz w:val="24"/>
        </w:rPr>
        <w:sectPr>
          <w:pgSz w:w="11906" w:h="16838"/>
          <w:pgMar w:top="1701" w:right="1531" w:bottom="1701" w:left="1531" w:header="851" w:footer="851" w:gutter="0"/>
          <w:cols w:space="720" w:num="1"/>
          <w:docGrid w:linePitch="312" w:charSpace="0"/>
        </w:sectPr>
      </w:pPr>
    </w:p>
    <w:p w14:paraId="700A0515">
      <w:pPr>
        <w:outlineLvl w:val="0"/>
        <w:rPr>
          <w:b/>
          <w:bCs/>
          <w:sz w:val="24"/>
        </w:rPr>
      </w:pPr>
      <w:bookmarkStart w:id="26" w:name="_Toc30795"/>
      <w:r>
        <w:rPr>
          <w:rFonts w:hint="eastAsia"/>
          <w:b/>
          <w:bCs/>
          <w:sz w:val="24"/>
        </w:rPr>
        <w:t>附件2 备案证明</w:t>
      </w:r>
      <w:bookmarkEnd w:id="26"/>
    </w:p>
    <w:p w14:paraId="292E560F">
      <w:pPr>
        <w:outlineLvl w:val="9"/>
        <w:sectPr>
          <w:pgSz w:w="11906" w:h="16838"/>
          <w:pgMar w:top="1701" w:right="1531" w:bottom="1701" w:left="1531" w:header="851" w:footer="851" w:gutter="0"/>
          <w:cols w:space="720" w:num="1"/>
          <w:docGrid w:linePitch="312" w:charSpace="0"/>
        </w:sectPr>
      </w:pPr>
      <w:r>
        <w:drawing>
          <wp:inline distT="0" distB="0" distL="114300" distR="114300">
            <wp:extent cx="5614670" cy="7931785"/>
            <wp:effectExtent l="9525" t="9525" r="14605" b="2159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35"/>
                    <a:stretch>
                      <a:fillRect/>
                    </a:stretch>
                  </pic:blipFill>
                  <pic:spPr>
                    <a:xfrm>
                      <a:off x="0" y="0"/>
                      <a:ext cx="5614670" cy="7931785"/>
                    </a:xfrm>
                    <a:prstGeom prst="rect">
                      <a:avLst/>
                    </a:prstGeom>
                    <a:noFill/>
                    <a:ln>
                      <a:solidFill>
                        <a:schemeClr val="tx1"/>
                      </a:solidFill>
                    </a:ln>
                  </pic:spPr>
                </pic:pic>
              </a:graphicData>
            </a:graphic>
          </wp:inline>
        </w:drawing>
      </w:r>
      <w:r>
        <w:drawing>
          <wp:inline distT="0" distB="0" distL="114300" distR="114300">
            <wp:extent cx="5614670" cy="7931785"/>
            <wp:effectExtent l="9525" t="9525" r="14605" b="21590"/>
            <wp:docPr id="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pic:cNvPicPr>
                      <a:picLocks noChangeAspect="1"/>
                    </pic:cNvPicPr>
                  </pic:nvPicPr>
                  <pic:blipFill>
                    <a:blip r:embed="rId36"/>
                    <a:stretch>
                      <a:fillRect/>
                    </a:stretch>
                  </pic:blipFill>
                  <pic:spPr>
                    <a:xfrm>
                      <a:off x="0" y="0"/>
                      <a:ext cx="5614670" cy="7931785"/>
                    </a:xfrm>
                    <a:prstGeom prst="rect">
                      <a:avLst/>
                    </a:prstGeom>
                    <a:noFill/>
                    <a:ln>
                      <a:solidFill>
                        <a:schemeClr val="tx1"/>
                      </a:solidFill>
                    </a:ln>
                  </pic:spPr>
                </pic:pic>
              </a:graphicData>
            </a:graphic>
          </wp:inline>
        </w:drawing>
      </w:r>
    </w:p>
    <w:p w14:paraId="695451F5">
      <w:pPr>
        <w:outlineLvl w:val="0"/>
        <w:rPr>
          <w:b/>
          <w:bCs/>
          <w:sz w:val="24"/>
        </w:rPr>
      </w:pPr>
      <w:bookmarkStart w:id="27" w:name="_Toc19363"/>
      <w:r>
        <w:rPr>
          <w:rFonts w:hint="eastAsia"/>
          <w:b/>
          <w:bCs/>
          <w:sz w:val="24"/>
        </w:rPr>
        <w:t>附件3 营业执照</w:t>
      </w:r>
      <w:bookmarkEnd w:id="27"/>
    </w:p>
    <w:p w14:paraId="26CF0BAE">
      <w:pPr>
        <w:jc w:val="center"/>
        <w:outlineLvl w:val="9"/>
        <w:sectPr>
          <w:pgSz w:w="16838" w:h="11906" w:orient="landscape"/>
          <w:pgMar w:top="1531" w:right="1701" w:bottom="1531" w:left="1701" w:header="851" w:footer="851" w:gutter="0"/>
          <w:cols w:space="720" w:num="1"/>
          <w:docGrid w:linePitch="312" w:charSpace="0"/>
        </w:sectPr>
      </w:pPr>
      <w:r>
        <w:drawing>
          <wp:inline distT="0" distB="0" distL="114300" distR="114300">
            <wp:extent cx="5104130" cy="7025640"/>
            <wp:effectExtent l="9525" t="9525" r="13335" b="10795"/>
            <wp:docPr id="11" name="图片 1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营业执照"/>
                    <pic:cNvPicPr>
                      <a:picLocks noChangeAspect="1"/>
                    </pic:cNvPicPr>
                  </pic:nvPicPr>
                  <pic:blipFill>
                    <a:blip r:embed="rId37"/>
                    <a:stretch>
                      <a:fillRect/>
                    </a:stretch>
                  </pic:blipFill>
                  <pic:spPr>
                    <a:xfrm rot="5400000">
                      <a:off x="0" y="0"/>
                      <a:ext cx="5104130" cy="7025640"/>
                    </a:xfrm>
                    <a:prstGeom prst="rect">
                      <a:avLst/>
                    </a:prstGeom>
                    <a:ln>
                      <a:solidFill>
                        <a:schemeClr val="tx1"/>
                      </a:solidFill>
                    </a:ln>
                  </pic:spPr>
                </pic:pic>
              </a:graphicData>
            </a:graphic>
          </wp:inline>
        </w:drawing>
      </w:r>
    </w:p>
    <w:p w14:paraId="3DAE09AE">
      <w:pPr>
        <w:outlineLvl w:val="0"/>
        <w:rPr>
          <w:b/>
          <w:bCs/>
          <w:sz w:val="24"/>
        </w:rPr>
      </w:pPr>
      <w:bookmarkStart w:id="28" w:name="_Toc15143"/>
      <w:r>
        <w:rPr>
          <w:rFonts w:hint="eastAsia"/>
          <w:b/>
          <w:bCs/>
          <w:sz w:val="24"/>
        </w:rPr>
        <w:t>附件4 原环评批复</w:t>
      </w:r>
      <w:bookmarkEnd w:id="28"/>
    </w:p>
    <w:p w14:paraId="6067A4EE">
      <w:pPr>
        <w:outlineLvl w:val="9"/>
        <w:sectPr>
          <w:pgSz w:w="11906" w:h="16838"/>
          <w:pgMar w:top="1701" w:right="1531" w:bottom="1701" w:left="1531" w:header="851" w:footer="851" w:gutter="0"/>
          <w:cols w:space="720" w:num="1"/>
          <w:docGrid w:linePitch="312" w:charSpace="0"/>
        </w:sectPr>
      </w:pPr>
      <w:r>
        <w:drawing>
          <wp:inline distT="0" distB="0" distL="114300" distR="114300">
            <wp:extent cx="5614035" cy="7940040"/>
            <wp:effectExtent l="9525" t="9525" r="15240" b="1333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38"/>
                    <a:stretch>
                      <a:fillRect/>
                    </a:stretch>
                  </pic:blipFill>
                  <pic:spPr>
                    <a:xfrm>
                      <a:off x="0" y="0"/>
                      <a:ext cx="5614035" cy="7940040"/>
                    </a:xfrm>
                    <a:prstGeom prst="rect">
                      <a:avLst/>
                    </a:prstGeom>
                    <a:noFill/>
                    <a:ln>
                      <a:solidFill>
                        <a:schemeClr val="tx1"/>
                      </a:solidFill>
                    </a:ln>
                  </pic:spPr>
                </pic:pic>
              </a:graphicData>
            </a:graphic>
          </wp:inline>
        </w:drawing>
      </w:r>
      <w:r>
        <w:drawing>
          <wp:inline distT="0" distB="0" distL="114300" distR="114300">
            <wp:extent cx="5614035" cy="7940040"/>
            <wp:effectExtent l="9525" t="9525" r="15240" b="1333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39"/>
                    <a:stretch>
                      <a:fillRect/>
                    </a:stretch>
                  </pic:blipFill>
                  <pic:spPr>
                    <a:xfrm>
                      <a:off x="0" y="0"/>
                      <a:ext cx="5614035" cy="7940040"/>
                    </a:xfrm>
                    <a:prstGeom prst="rect">
                      <a:avLst/>
                    </a:prstGeom>
                    <a:noFill/>
                    <a:ln>
                      <a:solidFill>
                        <a:schemeClr val="tx1"/>
                      </a:solidFill>
                    </a:ln>
                  </pic:spPr>
                </pic:pic>
              </a:graphicData>
            </a:graphic>
          </wp:inline>
        </w:drawing>
      </w:r>
      <w:r>
        <w:drawing>
          <wp:inline distT="0" distB="0" distL="114300" distR="114300">
            <wp:extent cx="5614035" cy="7940040"/>
            <wp:effectExtent l="9525" t="9525" r="15240" b="133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0"/>
                    <a:stretch>
                      <a:fillRect/>
                    </a:stretch>
                  </pic:blipFill>
                  <pic:spPr>
                    <a:xfrm>
                      <a:off x="0" y="0"/>
                      <a:ext cx="5614035" cy="7940040"/>
                    </a:xfrm>
                    <a:prstGeom prst="rect">
                      <a:avLst/>
                    </a:prstGeom>
                    <a:noFill/>
                    <a:ln>
                      <a:solidFill>
                        <a:schemeClr val="tx1"/>
                      </a:solidFill>
                    </a:ln>
                  </pic:spPr>
                </pic:pic>
              </a:graphicData>
            </a:graphic>
          </wp:inline>
        </w:drawing>
      </w:r>
    </w:p>
    <w:p w14:paraId="5E29EB3C">
      <w:pPr>
        <w:outlineLvl w:val="0"/>
        <w:rPr>
          <w:b/>
          <w:bCs/>
          <w:sz w:val="24"/>
        </w:rPr>
      </w:pPr>
      <w:bookmarkStart w:id="29" w:name="_Toc26594"/>
      <w:r>
        <w:rPr>
          <w:rFonts w:hint="eastAsia"/>
          <w:b/>
          <w:bCs/>
          <w:sz w:val="24"/>
        </w:rPr>
        <w:t>附件5 验收批复意见</w:t>
      </w:r>
      <w:bookmarkEnd w:id="29"/>
    </w:p>
    <w:p w14:paraId="5BC74843">
      <w:pPr>
        <w:outlineLvl w:val="9"/>
        <w:sectPr>
          <w:pgSz w:w="11906" w:h="16838"/>
          <w:pgMar w:top="1701" w:right="1531" w:bottom="1701" w:left="1531" w:header="851" w:footer="851" w:gutter="0"/>
          <w:cols w:space="720" w:num="1"/>
          <w:docGrid w:linePitch="312" w:charSpace="0"/>
        </w:sectPr>
      </w:pPr>
      <w:r>
        <w:drawing>
          <wp:inline distT="0" distB="0" distL="114300" distR="114300">
            <wp:extent cx="5614035" cy="7940040"/>
            <wp:effectExtent l="9525" t="9525" r="15240" b="1333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41"/>
                    <a:stretch>
                      <a:fillRect/>
                    </a:stretch>
                  </pic:blipFill>
                  <pic:spPr>
                    <a:xfrm>
                      <a:off x="0" y="0"/>
                      <a:ext cx="5614035" cy="7940040"/>
                    </a:xfrm>
                    <a:prstGeom prst="rect">
                      <a:avLst/>
                    </a:prstGeom>
                    <a:noFill/>
                    <a:ln>
                      <a:solidFill>
                        <a:schemeClr val="tx1"/>
                      </a:solidFill>
                    </a:ln>
                  </pic:spPr>
                </pic:pic>
              </a:graphicData>
            </a:graphic>
          </wp:inline>
        </w:drawing>
      </w:r>
    </w:p>
    <w:p w14:paraId="661380A3">
      <w:pPr>
        <w:outlineLvl w:val="0"/>
        <w:rPr>
          <w:b/>
          <w:bCs/>
          <w:sz w:val="24"/>
        </w:rPr>
      </w:pPr>
      <w:bookmarkStart w:id="30" w:name="_Toc2058"/>
      <w:r>
        <w:rPr>
          <w:rFonts w:hint="eastAsia"/>
          <w:b/>
          <w:bCs/>
          <w:sz w:val="24"/>
        </w:rPr>
        <w:t>附件6 排污许可证明</w:t>
      </w:r>
      <w:bookmarkEnd w:id="30"/>
    </w:p>
    <w:p w14:paraId="153ACB07">
      <w:pPr>
        <w:pStyle w:val="8"/>
        <w:rPr>
          <w:b/>
          <w:bCs/>
          <w:sz w:val="24"/>
          <w:szCs w:val="24"/>
        </w:rPr>
      </w:pPr>
      <w:r>
        <w:drawing>
          <wp:inline distT="0" distB="0" distL="114300" distR="114300">
            <wp:extent cx="5534025" cy="7837805"/>
            <wp:effectExtent l="9525" t="9525" r="19050" b="2032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42"/>
                    <a:stretch>
                      <a:fillRect/>
                    </a:stretch>
                  </pic:blipFill>
                  <pic:spPr>
                    <a:xfrm>
                      <a:off x="0" y="0"/>
                      <a:ext cx="5534025" cy="7837805"/>
                    </a:xfrm>
                    <a:prstGeom prst="rect">
                      <a:avLst/>
                    </a:prstGeom>
                    <a:noFill/>
                    <a:ln>
                      <a:solidFill>
                        <a:schemeClr val="tx1"/>
                      </a:solidFill>
                    </a:ln>
                  </pic:spPr>
                </pic:pic>
              </a:graphicData>
            </a:graphic>
          </wp:inline>
        </w:drawing>
      </w:r>
    </w:p>
    <w:p w14:paraId="46EDCC71">
      <w:pPr>
        <w:pStyle w:val="27"/>
        <w:rPr>
          <w:rFonts w:hint="eastAsia"/>
        </w:rPr>
        <w:sectPr>
          <w:pgSz w:w="11906" w:h="16838"/>
          <w:pgMar w:top="1701" w:right="1531" w:bottom="1701" w:left="1531" w:header="851" w:footer="851" w:gutter="0"/>
          <w:cols w:space="720" w:num="1"/>
          <w:docGrid w:linePitch="312" w:charSpace="0"/>
        </w:sectPr>
      </w:pPr>
    </w:p>
    <w:p w14:paraId="03F61913">
      <w:pPr>
        <w:outlineLvl w:val="0"/>
        <w:rPr>
          <w:b/>
          <w:bCs/>
          <w:sz w:val="24"/>
        </w:rPr>
      </w:pPr>
      <w:bookmarkStart w:id="31" w:name="_Toc11258"/>
      <w:r>
        <w:rPr>
          <w:rFonts w:hint="eastAsia"/>
          <w:b/>
          <w:bCs/>
          <w:sz w:val="24"/>
        </w:rPr>
        <w:t>附件7 应急预案备案文件</w:t>
      </w:r>
      <w:bookmarkEnd w:id="31"/>
    </w:p>
    <w:p w14:paraId="0C417965">
      <w:pPr>
        <w:outlineLvl w:val="9"/>
        <w:rPr>
          <w:b/>
          <w:bCs/>
          <w:sz w:val="24"/>
        </w:rPr>
        <w:sectPr>
          <w:pgSz w:w="11906" w:h="16838"/>
          <w:pgMar w:top="1701" w:right="1531" w:bottom="1701" w:left="1531" w:header="851" w:footer="851" w:gutter="0"/>
          <w:cols w:space="720" w:num="1"/>
          <w:docGrid w:linePitch="312" w:charSpace="0"/>
        </w:sectPr>
      </w:pPr>
      <w:r>
        <w:drawing>
          <wp:inline distT="0" distB="0" distL="114300" distR="114300">
            <wp:extent cx="5620385" cy="7959090"/>
            <wp:effectExtent l="9525" t="9525" r="27940" b="1333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43"/>
                    <a:stretch>
                      <a:fillRect/>
                    </a:stretch>
                  </pic:blipFill>
                  <pic:spPr>
                    <a:xfrm>
                      <a:off x="0" y="0"/>
                      <a:ext cx="5620385" cy="7959090"/>
                    </a:xfrm>
                    <a:prstGeom prst="rect">
                      <a:avLst/>
                    </a:prstGeom>
                    <a:noFill/>
                    <a:ln>
                      <a:solidFill>
                        <a:schemeClr val="tx1"/>
                      </a:solidFill>
                    </a:ln>
                  </pic:spPr>
                </pic:pic>
              </a:graphicData>
            </a:graphic>
          </wp:inline>
        </w:drawing>
      </w:r>
      <w:r>
        <w:rPr>
          <w:rFonts w:hint="eastAsia"/>
          <w:b/>
          <w:bCs/>
          <w:sz w:val="24"/>
        </w:rPr>
        <w:t xml:space="preserve"> </w:t>
      </w:r>
    </w:p>
    <w:p w14:paraId="17C8CD4D">
      <w:pPr>
        <w:outlineLvl w:val="0"/>
        <w:rPr>
          <w:sz w:val="24"/>
        </w:rPr>
      </w:pPr>
      <w:bookmarkStart w:id="32" w:name="_Toc3226"/>
      <w:r>
        <w:rPr>
          <w:rFonts w:hint="eastAsia"/>
          <w:b/>
          <w:bCs/>
          <w:sz w:val="24"/>
        </w:rPr>
        <w:t>附件</w:t>
      </w:r>
      <w:r>
        <w:rPr>
          <w:rFonts w:hint="eastAsia"/>
          <w:b/>
          <w:bCs/>
          <w:sz w:val="24"/>
          <w:lang w:val="en-US" w:eastAsia="zh-CN"/>
        </w:rPr>
        <w:t>8</w:t>
      </w:r>
      <w:r>
        <w:rPr>
          <w:rFonts w:hint="eastAsia"/>
          <w:b/>
          <w:bCs/>
          <w:sz w:val="24"/>
        </w:rPr>
        <w:t>环境检测质保单</w:t>
      </w:r>
      <w:bookmarkEnd w:id="32"/>
    </w:p>
    <w:p w14:paraId="0D78BA46"/>
    <w:p w14:paraId="42F4AB53">
      <w:pPr>
        <w:pStyle w:val="33"/>
        <w:sectPr>
          <w:pgSz w:w="11906" w:h="16838"/>
          <w:pgMar w:top="1701" w:right="1531" w:bottom="1701" w:left="1531" w:header="851" w:footer="851" w:gutter="0"/>
          <w:cols w:space="720" w:num="1"/>
          <w:docGrid w:linePitch="312" w:charSpace="0"/>
        </w:sectPr>
      </w:pPr>
      <w:r>
        <w:drawing>
          <wp:inline distT="0" distB="0" distL="114300" distR="114300">
            <wp:extent cx="5610860" cy="7940040"/>
            <wp:effectExtent l="9525" t="9525" r="18415" b="1333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44"/>
                    <a:stretch>
                      <a:fillRect/>
                    </a:stretch>
                  </pic:blipFill>
                  <pic:spPr>
                    <a:xfrm>
                      <a:off x="0" y="0"/>
                      <a:ext cx="5610860" cy="7940040"/>
                    </a:xfrm>
                    <a:prstGeom prst="rect">
                      <a:avLst/>
                    </a:prstGeom>
                    <a:noFill/>
                    <a:ln>
                      <a:solidFill>
                        <a:schemeClr val="tx1"/>
                      </a:solidFill>
                    </a:ln>
                  </pic:spPr>
                </pic:pic>
              </a:graphicData>
            </a:graphic>
          </wp:inline>
        </w:drawing>
      </w:r>
      <w:r>
        <w:drawing>
          <wp:inline distT="0" distB="0" distL="114300" distR="114300">
            <wp:extent cx="5610860" cy="7940040"/>
            <wp:effectExtent l="9525" t="9525" r="18415" b="13335"/>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45"/>
                    <a:stretch>
                      <a:fillRect/>
                    </a:stretch>
                  </pic:blipFill>
                  <pic:spPr>
                    <a:xfrm>
                      <a:off x="0" y="0"/>
                      <a:ext cx="5610860" cy="7940040"/>
                    </a:xfrm>
                    <a:prstGeom prst="rect">
                      <a:avLst/>
                    </a:prstGeom>
                    <a:noFill/>
                    <a:ln>
                      <a:solidFill>
                        <a:schemeClr val="tx1"/>
                      </a:solidFill>
                    </a:ln>
                  </pic:spPr>
                </pic:pic>
              </a:graphicData>
            </a:graphic>
          </wp:inline>
        </w:drawing>
      </w:r>
      <w:r>
        <w:drawing>
          <wp:inline distT="0" distB="0" distL="114300" distR="114300">
            <wp:extent cx="5610860" cy="7940040"/>
            <wp:effectExtent l="9525" t="9525" r="18415" b="1333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46"/>
                    <a:stretch>
                      <a:fillRect/>
                    </a:stretch>
                  </pic:blipFill>
                  <pic:spPr>
                    <a:xfrm>
                      <a:off x="0" y="0"/>
                      <a:ext cx="5610860" cy="7940040"/>
                    </a:xfrm>
                    <a:prstGeom prst="rect">
                      <a:avLst/>
                    </a:prstGeom>
                    <a:noFill/>
                    <a:ln>
                      <a:solidFill>
                        <a:schemeClr val="tx1"/>
                      </a:solidFill>
                    </a:ln>
                  </pic:spPr>
                </pic:pic>
              </a:graphicData>
            </a:graphic>
          </wp:inline>
        </w:drawing>
      </w:r>
      <w:r>
        <w:drawing>
          <wp:inline distT="0" distB="0" distL="114300" distR="114300">
            <wp:extent cx="5610860" cy="7940040"/>
            <wp:effectExtent l="9525" t="9525" r="18415" b="1333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47"/>
                    <a:stretch>
                      <a:fillRect/>
                    </a:stretch>
                  </pic:blipFill>
                  <pic:spPr>
                    <a:xfrm>
                      <a:off x="0" y="0"/>
                      <a:ext cx="5610860" cy="7940040"/>
                    </a:xfrm>
                    <a:prstGeom prst="rect">
                      <a:avLst/>
                    </a:prstGeom>
                    <a:noFill/>
                    <a:ln>
                      <a:solidFill>
                        <a:schemeClr val="tx1"/>
                      </a:solidFill>
                    </a:ln>
                  </pic:spPr>
                </pic:pic>
              </a:graphicData>
            </a:graphic>
          </wp:inline>
        </w:drawing>
      </w:r>
    </w:p>
    <w:p w14:paraId="53346F67">
      <w:pPr>
        <w:outlineLvl w:val="0"/>
        <w:rPr>
          <w:sz w:val="24"/>
        </w:rPr>
      </w:pPr>
      <w:bookmarkStart w:id="33" w:name="_Toc14427"/>
      <w:r>
        <w:rPr>
          <w:rFonts w:hint="eastAsia"/>
          <w:b/>
          <w:bCs/>
          <w:sz w:val="24"/>
        </w:rPr>
        <w:t>附件</w:t>
      </w:r>
      <w:r>
        <w:rPr>
          <w:rFonts w:hint="eastAsia"/>
          <w:b/>
          <w:bCs/>
          <w:sz w:val="24"/>
          <w:lang w:val="en-US" w:eastAsia="zh-CN"/>
        </w:rPr>
        <w:t>9</w:t>
      </w:r>
      <w:r>
        <w:rPr>
          <w:rFonts w:hint="eastAsia"/>
          <w:b/>
          <w:bCs/>
          <w:sz w:val="24"/>
        </w:rPr>
        <w:t xml:space="preserve"> 厂房租赁协议</w:t>
      </w:r>
      <w:bookmarkEnd w:id="33"/>
    </w:p>
    <w:p w14:paraId="1DA2A5B3"/>
    <w:p w14:paraId="487A56CD">
      <w:pPr>
        <w:pStyle w:val="8"/>
        <w:sectPr>
          <w:pgSz w:w="11906" w:h="16838"/>
          <w:pgMar w:top="1701" w:right="1531" w:bottom="1701" w:left="1531" w:header="851" w:footer="851" w:gutter="0"/>
          <w:cols w:space="720" w:num="1"/>
          <w:docGrid w:linePitch="312" w:charSpace="0"/>
        </w:sectPr>
      </w:pPr>
      <w:r>
        <w:drawing>
          <wp:inline distT="0" distB="0" distL="114300" distR="114300">
            <wp:extent cx="5483225" cy="7765415"/>
            <wp:effectExtent l="9525" t="9525" r="12700" b="16510"/>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48"/>
                    <a:stretch>
                      <a:fillRect/>
                    </a:stretch>
                  </pic:blipFill>
                  <pic:spPr>
                    <a:xfrm>
                      <a:off x="0" y="0"/>
                      <a:ext cx="5483225" cy="7765415"/>
                    </a:xfrm>
                    <a:prstGeom prst="rect">
                      <a:avLst/>
                    </a:prstGeom>
                    <a:noFill/>
                    <a:ln>
                      <a:solidFill>
                        <a:schemeClr val="tx1"/>
                      </a:solidFill>
                    </a:ln>
                  </pic:spPr>
                </pic:pic>
              </a:graphicData>
            </a:graphic>
          </wp:inline>
        </w:drawing>
      </w:r>
    </w:p>
    <w:p w14:paraId="07C1980F">
      <w:pPr>
        <w:outlineLvl w:val="0"/>
        <w:rPr>
          <w:rFonts w:hint="eastAsia"/>
          <w:b/>
          <w:bCs/>
          <w:sz w:val="24"/>
          <w:lang w:eastAsia="zh-CN"/>
        </w:rPr>
      </w:pPr>
      <w:bookmarkStart w:id="34" w:name="_Toc29546"/>
      <w:r>
        <w:rPr>
          <w:rFonts w:hint="eastAsia"/>
          <w:b/>
          <w:bCs/>
          <w:sz w:val="24"/>
        </w:rPr>
        <w:t>附件</w:t>
      </w:r>
      <w:r>
        <w:rPr>
          <w:rFonts w:hint="eastAsia"/>
          <w:b/>
          <w:bCs/>
          <w:sz w:val="24"/>
          <w:lang w:val="en-US" w:eastAsia="zh-CN"/>
        </w:rPr>
        <w:t>10</w:t>
      </w:r>
      <w:r>
        <w:rPr>
          <w:rFonts w:hint="eastAsia"/>
          <w:b/>
          <w:bCs/>
          <w:sz w:val="24"/>
        </w:rPr>
        <w:t xml:space="preserve">  </w:t>
      </w:r>
      <w:r>
        <w:rPr>
          <w:rFonts w:hint="eastAsia"/>
          <w:b/>
          <w:bCs/>
          <w:sz w:val="24"/>
          <w:lang w:eastAsia="zh-CN"/>
        </w:rPr>
        <w:t>专家意见、签到表、打分表</w:t>
      </w:r>
      <w:bookmarkEnd w:id="34"/>
    </w:p>
    <w:p w14:paraId="5A7BA5AD">
      <w:pPr>
        <w:outlineLvl w:val="0"/>
        <w:rPr>
          <w:rFonts w:hint="eastAsia"/>
          <w:b/>
          <w:bCs/>
          <w:sz w:val="24"/>
          <w:lang w:val="en-US" w:eastAsia="zh-CN"/>
        </w:rPr>
      </w:pPr>
      <w:bookmarkStart w:id="35" w:name="_Toc20925"/>
      <w:r>
        <w:rPr>
          <w:rFonts w:hint="eastAsia"/>
          <w:b/>
          <w:bCs/>
          <w:sz w:val="24"/>
          <w:lang w:val="en-US" w:eastAsia="zh-CN"/>
        </w:rPr>
        <w:drawing>
          <wp:inline distT="0" distB="0" distL="114300" distR="114300">
            <wp:extent cx="5611495" cy="7261860"/>
            <wp:effectExtent l="9525" t="9525" r="17780" b="24765"/>
            <wp:docPr id="35" name="图片 35" descr="img-711181809-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711181809-0001"/>
                    <pic:cNvPicPr>
                      <a:picLocks noChangeAspect="1"/>
                    </pic:cNvPicPr>
                  </pic:nvPicPr>
                  <pic:blipFill>
                    <a:blip r:embed="rId49"/>
                    <a:stretch>
                      <a:fillRect/>
                    </a:stretch>
                  </pic:blipFill>
                  <pic:spPr>
                    <a:xfrm>
                      <a:off x="0" y="0"/>
                      <a:ext cx="5611495" cy="7261860"/>
                    </a:xfrm>
                    <a:prstGeom prst="rect">
                      <a:avLst/>
                    </a:prstGeom>
                    <a:ln>
                      <a:solidFill>
                        <a:schemeClr val="tx1"/>
                      </a:solidFill>
                    </a:ln>
                  </pic:spPr>
                </pic:pic>
              </a:graphicData>
            </a:graphic>
          </wp:inline>
        </w:drawing>
      </w:r>
      <w:r>
        <w:rPr>
          <w:rFonts w:hint="eastAsia"/>
          <w:b/>
          <w:bCs/>
          <w:sz w:val="24"/>
          <w:lang w:val="en-US" w:eastAsia="zh-CN"/>
        </w:rPr>
        <w:drawing>
          <wp:inline distT="0" distB="0" distL="114300" distR="114300">
            <wp:extent cx="5611495" cy="7261860"/>
            <wp:effectExtent l="9525" t="9525" r="17780" b="24765"/>
            <wp:docPr id="36" name="图片 36" descr="img-711181809-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711181809-0008"/>
                    <pic:cNvPicPr>
                      <a:picLocks noChangeAspect="1"/>
                    </pic:cNvPicPr>
                  </pic:nvPicPr>
                  <pic:blipFill>
                    <a:blip r:embed="rId50"/>
                    <a:stretch>
                      <a:fillRect/>
                    </a:stretch>
                  </pic:blipFill>
                  <pic:spPr>
                    <a:xfrm rot="10800000">
                      <a:off x="0" y="0"/>
                      <a:ext cx="5611495" cy="7261860"/>
                    </a:xfrm>
                    <a:prstGeom prst="rect">
                      <a:avLst/>
                    </a:prstGeom>
                    <a:ln>
                      <a:solidFill>
                        <a:schemeClr val="tx1"/>
                      </a:solidFill>
                    </a:ln>
                  </pic:spPr>
                </pic:pic>
              </a:graphicData>
            </a:graphic>
          </wp:inline>
        </w:drawing>
      </w:r>
      <w:r>
        <w:rPr>
          <w:rFonts w:hint="eastAsia"/>
          <w:b/>
          <w:bCs/>
          <w:sz w:val="24"/>
          <w:lang w:val="en-US" w:eastAsia="zh-CN"/>
        </w:rPr>
        <w:drawing>
          <wp:inline distT="0" distB="0" distL="114300" distR="114300">
            <wp:extent cx="5611495" cy="7261860"/>
            <wp:effectExtent l="9525" t="9525" r="17780" b="24765"/>
            <wp:docPr id="50" name="图片 50" descr="img-711181809-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711181809-0007"/>
                    <pic:cNvPicPr>
                      <a:picLocks noChangeAspect="1"/>
                    </pic:cNvPicPr>
                  </pic:nvPicPr>
                  <pic:blipFill>
                    <a:blip r:embed="rId51"/>
                    <a:stretch>
                      <a:fillRect/>
                    </a:stretch>
                  </pic:blipFill>
                  <pic:spPr>
                    <a:xfrm>
                      <a:off x="0" y="0"/>
                      <a:ext cx="5611495" cy="7261860"/>
                    </a:xfrm>
                    <a:prstGeom prst="rect">
                      <a:avLst/>
                    </a:prstGeom>
                    <a:ln>
                      <a:solidFill>
                        <a:schemeClr val="tx1"/>
                      </a:solidFill>
                    </a:ln>
                  </pic:spPr>
                </pic:pic>
              </a:graphicData>
            </a:graphic>
          </wp:inline>
        </w:drawing>
      </w:r>
      <w:r>
        <w:rPr>
          <w:rFonts w:hint="eastAsia"/>
          <w:b/>
          <w:bCs/>
          <w:sz w:val="24"/>
          <w:lang w:val="en-US" w:eastAsia="zh-CN"/>
        </w:rPr>
        <w:drawing>
          <wp:inline distT="0" distB="0" distL="114300" distR="114300">
            <wp:extent cx="5611495" cy="7261860"/>
            <wp:effectExtent l="9525" t="9525" r="17780" b="24765"/>
            <wp:docPr id="82" name="图片 82" descr="img-711181809-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711181809-0003"/>
                    <pic:cNvPicPr>
                      <a:picLocks noChangeAspect="1"/>
                    </pic:cNvPicPr>
                  </pic:nvPicPr>
                  <pic:blipFill>
                    <a:blip r:embed="rId52"/>
                    <a:stretch>
                      <a:fillRect/>
                    </a:stretch>
                  </pic:blipFill>
                  <pic:spPr>
                    <a:xfrm>
                      <a:off x="0" y="0"/>
                      <a:ext cx="5611495" cy="7261860"/>
                    </a:xfrm>
                    <a:prstGeom prst="rect">
                      <a:avLst/>
                    </a:prstGeom>
                    <a:ln>
                      <a:solidFill>
                        <a:schemeClr val="tx1"/>
                      </a:solidFill>
                    </a:ln>
                  </pic:spPr>
                </pic:pic>
              </a:graphicData>
            </a:graphic>
          </wp:inline>
        </w:drawing>
      </w:r>
      <w:bookmarkEnd w:id="35"/>
    </w:p>
    <w:p w14:paraId="35533D16">
      <w:pPr>
        <w:pStyle w:val="25"/>
        <w:ind w:left="0" w:leftChars="0" w:firstLine="0" w:firstLineChars="0"/>
        <w:jc w:val="both"/>
        <w:sectPr>
          <w:pgSz w:w="11906" w:h="16838"/>
          <w:pgMar w:top="1701" w:right="1531" w:bottom="1701" w:left="1531" w:header="851" w:footer="851" w:gutter="0"/>
          <w:cols w:space="720" w:num="1"/>
          <w:docGrid w:linePitch="312" w:charSpace="0"/>
        </w:sectPr>
      </w:pPr>
      <w:r>
        <w:rPr>
          <w:rFonts w:hint="eastAsia"/>
          <w:b/>
          <w:bCs/>
          <w:sz w:val="24"/>
          <w:lang w:val="en-US" w:eastAsia="zh-CN"/>
        </w:rPr>
        <w:drawing>
          <wp:inline distT="0" distB="0" distL="114300" distR="114300">
            <wp:extent cx="5611495" cy="7261860"/>
            <wp:effectExtent l="9525" t="9525" r="17780" b="24765"/>
            <wp:docPr id="81" name="图片 81" descr="img-711181809-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711181809-0005"/>
                    <pic:cNvPicPr>
                      <a:picLocks noChangeAspect="1"/>
                    </pic:cNvPicPr>
                  </pic:nvPicPr>
                  <pic:blipFill>
                    <a:blip r:embed="rId53"/>
                    <a:stretch>
                      <a:fillRect/>
                    </a:stretch>
                  </pic:blipFill>
                  <pic:spPr>
                    <a:xfrm>
                      <a:off x="0" y="0"/>
                      <a:ext cx="5611495" cy="7261860"/>
                    </a:xfrm>
                    <a:prstGeom prst="rect">
                      <a:avLst/>
                    </a:prstGeom>
                    <a:ln>
                      <a:solidFill>
                        <a:schemeClr val="tx1"/>
                      </a:solidFill>
                    </a:ln>
                  </pic:spPr>
                </pic:pic>
              </a:graphicData>
            </a:graphic>
          </wp:inline>
        </w:drawing>
      </w:r>
      <w:r>
        <w:rPr>
          <w:rFonts w:hint="eastAsia"/>
          <w:b/>
          <w:bCs/>
          <w:sz w:val="24"/>
          <w:lang w:val="en-US" w:eastAsia="zh-CN"/>
        </w:rPr>
        <w:drawing>
          <wp:inline distT="0" distB="0" distL="114300" distR="114300">
            <wp:extent cx="5611495" cy="7261860"/>
            <wp:effectExtent l="9525" t="9525" r="17780" b="24765"/>
            <wp:docPr id="75" name="图片 75" descr="img-711181809-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711181809-0006"/>
                    <pic:cNvPicPr>
                      <a:picLocks noChangeAspect="1"/>
                    </pic:cNvPicPr>
                  </pic:nvPicPr>
                  <pic:blipFill>
                    <a:blip r:embed="rId54"/>
                    <a:stretch>
                      <a:fillRect/>
                    </a:stretch>
                  </pic:blipFill>
                  <pic:spPr>
                    <a:xfrm rot="10800000">
                      <a:off x="0" y="0"/>
                      <a:ext cx="5611495" cy="7261860"/>
                    </a:xfrm>
                    <a:prstGeom prst="rect">
                      <a:avLst/>
                    </a:prstGeom>
                    <a:ln>
                      <a:solidFill>
                        <a:schemeClr val="tx1"/>
                      </a:solidFill>
                    </a:ln>
                  </pic:spPr>
                </pic:pic>
              </a:graphicData>
            </a:graphic>
          </wp:inline>
        </w:drawing>
      </w:r>
    </w:p>
    <w:p w14:paraId="4DC414EB">
      <w:pPr>
        <w:outlineLvl w:val="0"/>
        <w:rPr>
          <w:b/>
          <w:bCs/>
          <w:sz w:val="24"/>
        </w:rPr>
      </w:pPr>
      <w:bookmarkStart w:id="36" w:name="_Toc26867"/>
      <w:r>
        <w:rPr>
          <w:rFonts w:hint="eastAsia"/>
          <w:b/>
          <w:bCs/>
          <w:sz w:val="24"/>
        </w:rPr>
        <w:t>附图1  项目地理位置图</w:t>
      </w:r>
      <w:bookmarkEnd w:id="36"/>
    </w:p>
    <w:p w14:paraId="7663526F">
      <w:pPr>
        <w:pStyle w:val="8"/>
        <w:jc w:val="center"/>
      </w:pPr>
      <w:r>
        <w:drawing>
          <wp:inline distT="0" distB="0" distL="114300" distR="114300">
            <wp:extent cx="8315325" cy="5255260"/>
            <wp:effectExtent l="0" t="0" r="9525" b="254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55"/>
                    <a:stretch>
                      <a:fillRect/>
                    </a:stretch>
                  </pic:blipFill>
                  <pic:spPr>
                    <a:xfrm>
                      <a:off x="0" y="0"/>
                      <a:ext cx="8315325" cy="5255260"/>
                    </a:xfrm>
                    <a:prstGeom prst="rect">
                      <a:avLst/>
                    </a:prstGeom>
                    <a:noFill/>
                    <a:ln>
                      <a:noFill/>
                    </a:ln>
                  </pic:spPr>
                </pic:pic>
              </a:graphicData>
            </a:graphic>
          </wp:inline>
        </w:drawing>
      </w:r>
    </w:p>
    <w:p w14:paraId="4EC80426">
      <w:pPr>
        <w:pStyle w:val="27"/>
        <w:rPr>
          <w:rFonts w:hint="eastAsia"/>
        </w:rPr>
        <w:sectPr>
          <w:pgSz w:w="16838" w:h="11906" w:orient="landscape"/>
          <w:pgMar w:top="1531" w:right="1701" w:bottom="1531" w:left="1701" w:header="851" w:footer="851" w:gutter="0"/>
          <w:cols w:space="720" w:num="1"/>
          <w:docGrid w:linePitch="312" w:charSpace="0"/>
        </w:sectPr>
      </w:pPr>
    </w:p>
    <w:p w14:paraId="50D80464">
      <w:pPr>
        <w:outlineLvl w:val="0"/>
        <w:rPr>
          <w:b/>
          <w:bCs/>
          <w:sz w:val="24"/>
        </w:rPr>
      </w:pPr>
      <w:bookmarkStart w:id="37" w:name="_Toc10932"/>
      <w:r>
        <w:rPr>
          <w:rFonts w:hint="eastAsia"/>
          <w:b/>
          <w:bCs/>
          <w:sz w:val="24"/>
        </w:rPr>
        <w:t>附图2  项目四至关系图</w:t>
      </w:r>
      <w:bookmarkEnd w:id="37"/>
    </w:p>
    <w:p w14:paraId="0A2D5E07">
      <w:pPr>
        <w:jc w:val="center"/>
      </w:pPr>
      <w:r>
        <w:drawing>
          <wp:inline distT="0" distB="0" distL="114300" distR="114300">
            <wp:extent cx="8045450" cy="5353050"/>
            <wp:effectExtent l="9525" t="9525" r="22225" b="9525"/>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56"/>
                    <a:stretch>
                      <a:fillRect/>
                    </a:stretch>
                  </pic:blipFill>
                  <pic:spPr>
                    <a:xfrm>
                      <a:off x="0" y="0"/>
                      <a:ext cx="8045450" cy="5353050"/>
                    </a:xfrm>
                    <a:prstGeom prst="rect">
                      <a:avLst/>
                    </a:prstGeom>
                    <a:noFill/>
                    <a:ln>
                      <a:solidFill>
                        <a:schemeClr val="tx1"/>
                      </a:solidFill>
                    </a:ln>
                  </pic:spPr>
                </pic:pic>
              </a:graphicData>
            </a:graphic>
          </wp:inline>
        </w:drawing>
      </w:r>
    </w:p>
    <w:p w14:paraId="097CE306">
      <w:pPr>
        <w:rPr>
          <w:b/>
          <w:bCs/>
          <w:sz w:val="24"/>
        </w:rPr>
      </w:pPr>
      <w:r>
        <w:rPr>
          <w:rFonts w:hint="eastAsia"/>
          <w:b/>
          <w:bCs/>
          <w:sz w:val="24"/>
        </w:rPr>
        <w:br w:type="page"/>
      </w:r>
    </w:p>
    <w:p w14:paraId="171E24AA">
      <w:pPr>
        <w:outlineLvl w:val="0"/>
        <w:rPr>
          <w:b/>
          <w:bCs/>
          <w:sz w:val="24"/>
        </w:rPr>
      </w:pPr>
      <w:bookmarkStart w:id="38" w:name="_Toc13684"/>
      <w:r>
        <w:rPr>
          <w:rFonts w:hint="eastAsia"/>
          <w:b/>
          <w:bCs/>
          <w:sz w:val="24"/>
        </w:rPr>
        <w:t>附图3  项目总平面布置图（含环保设施、雨污水管线）</w:t>
      </w:r>
      <w:bookmarkEnd w:id="38"/>
    </w:p>
    <w:p w14:paraId="7A714C2B">
      <w:pPr>
        <w:jc w:val="center"/>
        <w:rPr>
          <w:b/>
          <w:bCs/>
          <w:sz w:val="24"/>
        </w:rPr>
      </w:pPr>
      <w:r>
        <w:drawing>
          <wp:inline distT="0" distB="0" distL="114300" distR="114300">
            <wp:extent cx="7512050" cy="5035550"/>
            <wp:effectExtent l="0" t="0" r="12700" b="1270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57"/>
                    <a:stretch>
                      <a:fillRect/>
                    </a:stretch>
                  </pic:blipFill>
                  <pic:spPr>
                    <a:xfrm>
                      <a:off x="0" y="0"/>
                      <a:ext cx="7512050" cy="5035550"/>
                    </a:xfrm>
                    <a:prstGeom prst="rect">
                      <a:avLst/>
                    </a:prstGeom>
                    <a:noFill/>
                    <a:ln>
                      <a:noFill/>
                    </a:ln>
                  </pic:spPr>
                </pic:pic>
              </a:graphicData>
            </a:graphic>
          </wp:inline>
        </w:drawing>
      </w:r>
    </w:p>
    <w:p w14:paraId="67841996">
      <w:pPr>
        <w:rPr>
          <w:b/>
          <w:bCs/>
          <w:sz w:val="24"/>
        </w:rPr>
      </w:pPr>
      <w:r>
        <w:rPr>
          <w:rFonts w:hint="eastAsia"/>
          <w:b/>
          <w:bCs/>
          <w:sz w:val="24"/>
        </w:rPr>
        <w:br w:type="page"/>
      </w:r>
    </w:p>
    <w:p w14:paraId="7D14C725">
      <w:pPr>
        <w:outlineLvl w:val="9"/>
        <w:rPr>
          <w:b/>
          <w:bCs/>
          <w:sz w:val="24"/>
        </w:rPr>
        <w:sectPr>
          <w:pgSz w:w="16838" w:h="11906" w:orient="landscape"/>
          <w:pgMar w:top="1531" w:right="1701" w:bottom="1531" w:left="1701" w:header="851" w:footer="851" w:gutter="0"/>
          <w:cols w:space="720" w:num="1"/>
          <w:docGrid w:linePitch="312" w:charSpace="0"/>
        </w:sectPr>
      </w:pPr>
    </w:p>
    <w:p w14:paraId="2B541F61">
      <w:pPr>
        <w:outlineLvl w:val="0"/>
        <w:rPr>
          <w:b/>
          <w:bCs/>
          <w:sz w:val="24"/>
        </w:rPr>
      </w:pPr>
      <w:bookmarkStart w:id="39" w:name="_Toc12951"/>
      <w:r>
        <w:rPr>
          <w:rFonts w:hint="eastAsia"/>
          <w:b/>
          <w:bCs/>
          <w:sz w:val="24"/>
        </w:rPr>
        <w:t>附图4  车间平面布置图</w:t>
      </w:r>
      <w:bookmarkEnd w:id="39"/>
    </w:p>
    <w:p w14:paraId="5544888E">
      <w:r>
        <w:drawing>
          <wp:inline distT="0" distB="0" distL="114300" distR="114300">
            <wp:extent cx="5657215" cy="8001635"/>
            <wp:effectExtent l="0" t="0" r="635" b="1841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58"/>
                    <a:stretch>
                      <a:fillRect/>
                    </a:stretch>
                  </pic:blipFill>
                  <pic:spPr>
                    <a:xfrm>
                      <a:off x="0" y="0"/>
                      <a:ext cx="5657215" cy="8001635"/>
                    </a:xfrm>
                    <a:prstGeom prst="rect">
                      <a:avLst/>
                    </a:prstGeom>
                    <a:noFill/>
                    <a:ln>
                      <a:noFill/>
                    </a:ln>
                  </pic:spPr>
                </pic:pic>
              </a:graphicData>
            </a:graphic>
          </wp:inline>
        </w:drawing>
      </w:r>
    </w:p>
    <w:p w14:paraId="413791E4">
      <w:pPr>
        <w:jc w:val="center"/>
        <w:rPr>
          <w:b/>
          <w:bCs/>
        </w:rPr>
      </w:pPr>
      <w:r>
        <w:rPr>
          <w:rFonts w:hint="eastAsia"/>
          <w:b/>
          <w:bCs/>
        </w:rPr>
        <w:t>新建酒店布草洗涤车间</w:t>
      </w:r>
    </w:p>
    <w:p w14:paraId="03511D25">
      <w:pPr>
        <w:pStyle w:val="33"/>
        <w:jc w:val="center"/>
        <w:sectPr>
          <w:pgSz w:w="11906" w:h="16838"/>
          <w:pgMar w:top="1701" w:right="1531" w:bottom="1701" w:left="1531" w:header="851" w:footer="851" w:gutter="0"/>
          <w:cols w:space="720" w:num="1"/>
          <w:docGrid w:linePitch="312" w:charSpace="0"/>
        </w:sectPr>
      </w:pPr>
    </w:p>
    <w:p w14:paraId="614CAA19">
      <w:pPr>
        <w:pStyle w:val="33"/>
      </w:pPr>
      <w:r>
        <mc:AlternateContent>
          <mc:Choice Requires="wps">
            <w:drawing>
              <wp:anchor distT="0" distB="0" distL="114300" distR="114300" simplePos="0" relativeHeight="251661312" behindDoc="0" locked="0" layoutInCell="1" allowOverlap="1">
                <wp:simplePos x="0" y="0"/>
                <wp:positionH relativeFrom="column">
                  <wp:posOffset>95250</wp:posOffset>
                </wp:positionH>
                <wp:positionV relativeFrom="paragraph">
                  <wp:posOffset>2964815</wp:posOffset>
                </wp:positionV>
                <wp:extent cx="2920365" cy="1395095"/>
                <wp:effectExtent l="13970" t="13970" r="18415" b="19685"/>
                <wp:wrapNone/>
                <wp:docPr id="45" name="矩形 45"/>
                <wp:cNvGraphicFramePr/>
                <a:graphic xmlns:a="http://schemas.openxmlformats.org/drawingml/2006/main">
                  <a:graphicData uri="http://schemas.microsoft.com/office/word/2010/wordprocessingShape">
                    <wps:wsp>
                      <wps:cNvSpPr/>
                      <wps:spPr>
                        <a:xfrm>
                          <a:off x="0" y="0"/>
                          <a:ext cx="2920365" cy="1395095"/>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pt;margin-top:233.45pt;height:109.85pt;width:229.95pt;z-index:251661312;v-text-anchor:middle;mso-width-relative:page;mso-height-relative:page;" filled="f" stroked="t" coordsize="21600,21600" o:gfxdata="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DGTntkAAAAKAQAADwAAAAAAAAABACAAAAAiAAAAZHJzL2Rvd25yZXYueG1s&#10;UEsBAhQAFAAAAAgAh07iQPMklgBpAgAAzgQAAA4AAAAAAAAAAQAgAAAAKAEAAGRycy9lMm9Eb2Mu&#10;eG1sUEsFBgAAAAAGAAYAWQEAAAMGAAAAAA==&#10;">
                <v:fill on="f" focussize="0,0"/>
                <v:stroke weight="2.25pt" color="#000000 [3213]" miterlimit="8" joinstyle="miter"/>
                <v:imagedata o:title=""/>
                <o:lock v:ext="edit" aspectratio="f"/>
              </v:rect>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6275705</wp:posOffset>
                </wp:positionH>
                <wp:positionV relativeFrom="paragraph">
                  <wp:posOffset>3300730</wp:posOffset>
                </wp:positionV>
                <wp:extent cx="1026160" cy="539115"/>
                <wp:effectExtent l="0" t="0" r="2540" b="13335"/>
                <wp:wrapNone/>
                <wp:docPr id="57" name="文本框 57"/>
                <wp:cNvGraphicFramePr/>
                <a:graphic xmlns:a="http://schemas.openxmlformats.org/drawingml/2006/main">
                  <a:graphicData uri="http://schemas.microsoft.com/office/word/2010/wordprocessingShape">
                    <wps:wsp>
                      <wps:cNvSpPr txBox="1"/>
                      <wps:spPr>
                        <a:xfrm>
                          <a:off x="0" y="0"/>
                          <a:ext cx="1026160" cy="5391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02A5449">
                            <w:pPr>
                              <w:jc w:val="center"/>
                            </w:pPr>
                            <w:r>
                              <w:rPr>
                                <w:rFonts w:hint="eastAsia"/>
                              </w:rPr>
                              <w:t>烫平折叠区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15pt;margin-top:259.9pt;height:42.45pt;width:80.8pt;z-index:251671552;mso-width-relative:page;mso-height-relative:page;" fillcolor="#FFFFFF [3201]" filled="t" stroked="f" coordsize="21600,21600" o:gfxdata="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bdQ4tcAAAAMAQAADwAA&#10;AAAAAAABACAAAAAiAAAAZHJzL2Rvd25yZXYueG1sUEsBAhQAFAAAAAgAh07iQEf7VZhQAgAAkQQA&#10;AA4AAAAAAAAAAQAgAAAAJgEAAGRycy9lMm9Eb2MueG1sUEsFBgAAAAAGAAYAWQEAAOgFAAAAAA==&#10;">
                <v:fill on="t" focussize="0,0"/>
                <v:stroke on="f" weight="0.5pt"/>
                <v:imagedata o:title=""/>
                <o:lock v:ext="edit" aspectratio="f"/>
                <v:textbox>
                  <w:txbxContent>
                    <w:p w14:paraId="202A5449">
                      <w:pPr>
                        <w:jc w:val="center"/>
                      </w:pPr>
                      <w:r>
                        <w:rPr>
                          <w:rFonts w:hint="eastAsia"/>
                        </w:rPr>
                        <w:t>烫平折叠区</w:t>
                      </w:r>
                    </w:p>
                  </w:txbxContent>
                </v:textbox>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3788410</wp:posOffset>
                </wp:positionH>
                <wp:positionV relativeFrom="paragraph">
                  <wp:posOffset>3337560</wp:posOffset>
                </wp:positionV>
                <wp:extent cx="1026160" cy="539115"/>
                <wp:effectExtent l="0" t="0" r="2540" b="13335"/>
                <wp:wrapNone/>
                <wp:docPr id="56" name="文本框 56"/>
                <wp:cNvGraphicFramePr/>
                <a:graphic xmlns:a="http://schemas.openxmlformats.org/drawingml/2006/main">
                  <a:graphicData uri="http://schemas.microsoft.com/office/word/2010/wordprocessingShape">
                    <wps:wsp>
                      <wps:cNvSpPr txBox="1"/>
                      <wps:spPr>
                        <a:xfrm>
                          <a:off x="0" y="0"/>
                          <a:ext cx="1026160" cy="5391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1D3B7F7">
                            <w:pPr>
                              <w:jc w:val="center"/>
                            </w:pPr>
                            <w:r>
                              <w:rPr>
                                <w:rFonts w:hint="eastAsia"/>
                              </w:rPr>
                              <w:t>洗脱烘干区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3pt;margin-top:262.8pt;height:42.45pt;width:80.8pt;z-index:251670528;mso-width-relative:page;mso-height-relative:page;" fillcolor="#FFFFFF [3201]" filled="t" stroked="f" coordsize="21600,21600" o:gfxdata="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twP7G1gAAAAsBAAAPAAAA&#10;AAAAAAEAIAAAACIAAABkcnMvZG93bnJldi54bWxQSwECFAAUAAAACACHTuJAErmeo1ACAACRBAAA&#10;DgAAAAAAAAABACAAAAAlAQAAZHJzL2Uyb0RvYy54bWxQSwUGAAAAAAYABgBZAQAA5wUAAAAA&#10;">
                <v:fill on="t" focussize="0,0"/>
                <v:stroke on="f" weight="0.5pt"/>
                <v:imagedata o:title=""/>
                <o:lock v:ext="edit" aspectratio="f"/>
                <v:textbox>
                  <w:txbxContent>
                    <w:p w14:paraId="21D3B7F7">
                      <w:pPr>
                        <w:jc w:val="center"/>
                      </w:pPr>
                      <w:r>
                        <w:rPr>
                          <w:rFonts w:hint="eastAsia"/>
                        </w:rPr>
                        <w:t>洗脱烘干区</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904875</wp:posOffset>
                </wp:positionH>
                <wp:positionV relativeFrom="paragraph">
                  <wp:posOffset>3208020</wp:posOffset>
                </wp:positionV>
                <wp:extent cx="1026160" cy="539115"/>
                <wp:effectExtent l="0" t="0" r="2540" b="13335"/>
                <wp:wrapNone/>
                <wp:docPr id="55" name="文本框 55"/>
                <wp:cNvGraphicFramePr/>
                <a:graphic xmlns:a="http://schemas.openxmlformats.org/drawingml/2006/main">
                  <a:graphicData uri="http://schemas.microsoft.com/office/word/2010/wordprocessingShape">
                    <wps:wsp>
                      <wps:cNvSpPr txBox="1"/>
                      <wps:spPr>
                        <a:xfrm>
                          <a:off x="0" y="0"/>
                          <a:ext cx="1026160" cy="5391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88EF448">
                            <w:pPr>
                              <w:jc w:val="center"/>
                            </w:pPr>
                            <w:r>
                              <w:rPr>
                                <w:rFonts w:hint="eastAsia"/>
                              </w:rPr>
                              <w:t>普通病房分拣区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25pt;margin-top:252.6pt;height:42.45pt;width:80.8pt;z-index:251669504;mso-width-relative:page;mso-height-relative:page;" fillcolor="#FFFFFF [3201]" filled="t" stroked="f" coordsize="21600,21600" o:gfxdata="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OSvme1AAAAAsBAAAPAAAA&#10;AAAAAAEAIAAAACIAAABkcnMvZG93bnJldi54bWxQSwECFAAUAAAACACHTuJA7X/D71ICAACRBAAA&#10;DgAAAAAAAAABACAAAAAjAQAAZHJzL2Uyb0RvYy54bWxQSwUGAAAAAAYABgBZAQAA5wUAAAAA&#10;">
                <v:fill on="t" focussize="0,0"/>
                <v:stroke on="f" weight="0.5pt"/>
                <v:imagedata o:title=""/>
                <o:lock v:ext="edit" aspectratio="f"/>
                <v:textbox>
                  <w:txbxContent>
                    <w:p w14:paraId="488EF448">
                      <w:pPr>
                        <w:jc w:val="center"/>
                      </w:pPr>
                      <w:r>
                        <w:rPr>
                          <w:rFonts w:hint="eastAsia"/>
                        </w:rPr>
                        <w:t>普通病房分拣区</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219075</wp:posOffset>
                </wp:positionH>
                <wp:positionV relativeFrom="paragraph">
                  <wp:posOffset>1139190</wp:posOffset>
                </wp:positionV>
                <wp:extent cx="1026160" cy="539115"/>
                <wp:effectExtent l="0" t="0" r="2540" b="13335"/>
                <wp:wrapNone/>
                <wp:docPr id="54" name="文本框 54"/>
                <wp:cNvGraphicFramePr/>
                <a:graphic xmlns:a="http://schemas.openxmlformats.org/drawingml/2006/main">
                  <a:graphicData uri="http://schemas.microsoft.com/office/word/2010/wordprocessingShape">
                    <wps:wsp>
                      <wps:cNvSpPr txBox="1"/>
                      <wps:spPr>
                        <a:xfrm>
                          <a:off x="0" y="0"/>
                          <a:ext cx="1026160" cy="5391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300D773">
                            <w:pPr>
                              <w:jc w:val="center"/>
                            </w:pPr>
                            <w:r>
                              <w:rPr>
                                <w:rFonts w:hint="eastAsia"/>
                              </w:rPr>
                              <w:t>工具房</w:t>
                            </w:r>
                          </w:p>
                          <w:p w14:paraId="52561A96">
                            <w:pPr>
                              <w:jc w:val="center"/>
                            </w:pPr>
                            <w:r>
                              <w:rPr>
                                <w:rFonts w:hint="eastAsia"/>
                              </w:rPr>
                              <w:t>原辅料库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25pt;margin-top:89.7pt;height:42.45pt;width:80.8pt;z-index:251668480;mso-width-relative:page;mso-height-relative:page;" fillcolor="#FFFFFF [3201]" filled="t" stroked="f" coordsize="21600,21600" o:gfxdata="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TvTkV1gAAAAoBAAAPAAAA&#10;AAAAAAEAIAAAACIAAABkcnMvZG93bnJldi54bWxQSwECFAAUAAAACACHTuJAuD0I1FACAACRBAAA&#10;DgAAAAAAAAABACAAAAAlAQAAZHJzL2Uyb0RvYy54bWxQSwUGAAAAAAYABgBZAQAA5wUAAAAA&#10;">
                <v:fill on="t" focussize="0,0"/>
                <v:stroke on="f" weight="0.5pt"/>
                <v:imagedata o:title=""/>
                <o:lock v:ext="edit" aspectratio="f"/>
                <v:textbox>
                  <w:txbxContent>
                    <w:p w14:paraId="0300D773">
                      <w:pPr>
                        <w:jc w:val="center"/>
                      </w:pPr>
                      <w:r>
                        <w:rPr>
                          <w:rFonts w:hint="eastAsia"/>
                        </w:rPr>
                        <w:t>工具房</w:t>
                      </w:r>
                    </w:p>
                    <w:p w14:paraId="52561A96">
                      <w:pPr>
                        <w:jc w:val="center"/>
                      </w:pPr>
                      <w:r>
                        <w:rPr>
                          <w:rFonts w:hint="eastAsia"/>
                        </w:rPr>
                        <w:t>原辅料库</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6558915</wp:posOffset>
                </wp:positionH>
                <wp:positionV relativeFrom="paragraph">
                  <wp:posOffset>524510</wp:posOffset>
                </wp:positionV>
                <wp:extent cx="1026160" cy="453390"/>
                <wp:effectExtent l="0" t="0" r="2540" b="3810"/>
                <wp:wrapNone/>
                <wp:docPr id="53" name="文本框 53"/>
                <wp:cNvGraphicFramePr/>
                <a:graphic xmlns:a="http://schemas.openxmlformats.org/drawingml/2006/main">
                  <a:graphicData uri="http://schemas.microsoft.com/office/word/2010/wordprocessingShape">
                    <wps:wsp>
                      <wps:cNvSpPr txBox="1"/>
                      <wps:spPr>
                        <a:xfrm>
                          <a:off x="0" y="0"/>
                          <a:ext cx="1026160" cy="4533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469DA13">
                            <w:pPr>
                              <w:jc w:val="center"/>
                            </w:pPr>
                            <w:r>
                              <w:rPr>
                                <w:rFonts w:hint="eastAsia"/>
                              </w:rPr>
                              <w:t>传染病房布草烘干区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6.45pt;margin-top:41.3pt;height:35.7pt;width:80.8pt;z-index:251667456;mso-width-relative:page;mso-height-relative:page;" fillcolor="#FFFFFF [3201]" filled="t" stroked="f" coordsize="21600,21600" o:gfxdata="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MovzO1wAAAAwBAAAP&#10;AAAAAAAAAAEAIAAAACIAAABkcnMvZG93bnJldi54bWxQSwECFAAUAAAACACHTuJA36UWGlICAACR&#10;BAAADgAAAAAAAAABACAAAAAmAQAAZHJzL2Uyb0RvYy54bWxQSwUGAAAAAAYABgBZAQAA6gUAAAAA&#10;">
                <v:fill on="t" focussize="0,0"/>
                <v:stroke on="f" weight="0.5pt"/>
                <v:imagedata o:title=""/>
                <o:lock v:ext="edit" aspectratio="f"/>
                <v:textbox>
                  <w:txbxContent>
                    <w:p w14:paraId="5469DA13">
                      <w:pPr>
                        <w:jc w:val="center"/>
                      </w:pPr>
                      <w:r>
                        <w:rPr>
                          <w:rFonts w:hint="eastAsia"/>
                        </w:rPr>
                        <w:t>传染病房布草烘干区</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4323715</wp:posOffset>
                </wp:positionH>
                <wp:positionV relativeFrom="paragraph">
                  <wp:posOffset>469900</wp:posOffset>
                </wp:positionV>
                <wp:extent cx="1026160" cy="539115"/>
                <wp:effectExtent l="0" t="0" r="2540" b="13335"/>
                <wp:wrapNone/>
                <wp:docPr id="52" name="文本框 52"/>
                <wp:cNvGraphicFramePr/>
                <a:graphic xmlns:a="http://schemas.openxmlformats.org/drawingml/2006/main">
                  <a:graphicData uri="http://schemas.microsoft.com/office/word/2010/wordprocessingShape">
                    <wps:wsp>
                      <wps:cNvSpPr txBox="1"/>
                      <wps:spPr>
                        <a:xfrm>
                          <a:off x="5403850" y="1442085"/>
                          <a:ext cx="1026160" cy="5391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ABB37A3">
                            <w:pPr>
                              <w:jc w:val="center"/>
                            </w:pPr>
                            <w:r>
                              <w:rPr>
                                <w:rFonts w:hint="eastAsia"/>
                              </w:rPr>
                              <w:t>传染病房布草洗脱区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0.45pt;margin-top:37pt;height:42.45pt;width:80.8pt;z-index:251666432;mso-width-relative:page;mso-height-relative:page;" fillcolor="#FFFFFF [3201]" filled="t" stroked="f" coordsize="21600,21600" o:gfxdata="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jD6WbW&#10;AAAACgEAAA8AAAAAAAAAAQAgAAAAIgAAAGRycy9kb3ducmV2LnhtbFBLAQIUABQAAAAIAIdO4kDm&#10;PUHOWwIAAJ0EAAAOAAAAAAAAAAEAIAAAACUBAABkcnMvZTJvRG9jLnhtbFBLBQYAAAAABgAGAFkB&#10;AADyBQAAAAA=&#10;">
                <v:fill on="t" focussize="0,0"/>
                <v:stroke on="f" weight="0.5pt"/>
                <v:imagedata o:title=""/>
                <o:lock v:ext="edit" aspectratio="f"/>
                <v:textbox>
                  <w:txbxContent>
                    <w:p w14:paraId="5ABB37A3">
                      <w:pPr>
                        <w:jc w:val="center"/>
                      </w:pPr>
                      <w:r>
                        <w:rPr>
                          <w:rFonts w:hint="eastAsia"/>
                        </w:rPr>
                        <w:t>传染病房布草洗脱区</w:t>
                      </w:r>
                    </w:p>
                  </w:txbxContent>
                </v:textbox>
              </v:shape>
            </w:pict>
          </mc:Fallback>
        </mc:AlternateContent>
      </w:r>
      <w:r>
        <mc:AlternateContent>
          <mc:Choice Requires="wps">
            <w:drawing>
              <wp:anchor distT="0" distB="0" distL="114300" distR="114300" simplePos="0" relativeHeight="251665408" behindDoc="0" locked="0" layoutInCell="1" allowOverlap="1">
                <wp:simplePos x="0" y="0"/>
                <wp:positionH relativeFrom="column">
                  <wp:posOffset>6066790</wp:posOffset>
                </wp:positionH>
                <wp:positionV relativeFrom="paragraph">
                  <wp:posOffset>-16510</wp:posOffset>
                </wp:positionV>
                <wp:extent cx="2359025" cy="1488440"/>
                <wp:effectExtent l="13970" t="13970" r="27305" b="21590"/>
                <wp:wrapNone/>
                <wp:docPr id="51" name="矩形 51"/>
                <wp:cNvGraphicFramePr/>
                <a:graphic xmlns:a="http://schemas.openxmlformats.org/drawingml/2006/main">
                  <a:graphicData uri="http://schemas.microsoft.com/office/word/2010/wordprocessingShape">
                    <wps:wsp>
                      <wps:cNvSpPr/>
                      <wps:spPr>
                        <a:xfrm>
                          <a:off x="0" y="0"/>
                          <a:ext cx="2359025" cy="1488440"/>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7.7pt;margin-top:-1.3pt;height:117.2pt;width:185.75pt;z-index:251665408;v-text-anchor:middle;mso-width-relative:page;mso-height-relative:page;" filled="f" stroked="t" coordsize="21600,21600" o:gfxdata="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Ez349jbAAAACwEAAA8AAAAAAAAAAQAgAAAAIgAAAGRycy9kb3ducmV2Lnht&#10;bFBLAQIUABQAAAAIAIdO4kAgyu2NaAIAAM4EAAAOAAAAAAAAAAEAIAAAACoBAABkcnMvZTJvRG9j&#10;LnhtbFBLBQYAAAAABgAGAFkBAAAEBgAAAAA=&#10;">
                <v:fill on="f" focussize="0,0"/>
                <v:stroke weight="2.25pt" color="#000000 [3213]" miterlimit="8" joinstyle="miter"/>
                <v:imagedata o:title=""/>
                <o:lock v:ext="edit" aspectratio="f"/>
              </v:rect>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3891280</wp:posOffset>
                </wp:positionH>
                <wp:positionV relativeFrom="paragraph">
                  <wp:posOffset>-10795</wp:posOffset>
                </wp:positionV>
                <wp:extent cx="4521200" cy="1488440"/>
                <wp:effectExtent l="13970" t="13970" r="17780" b="21590"/>
                <wp:wrapNone/>
                <wp:docPr id="48" name="矩形 48"/>
                <wp:cNvGraphicFramePr/>
                <a:graphic xmlns:a="http://schemas.openxmlformats.org/drawingml/2006/main">
                  <a:graphicData uri="http://schemas.microsoft.com/office/word/2010/wordprocessingShape">
                    <wps:wsp>
                      <wps:cNvSpPr/>
                      <wps:spPr>
                        <a:xfrm>
                          <a:off x="0" y="0"/>
                          <a:ext cx="4521200" cy="1488440"/>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6.4pt;margin-top:-0.85pt;height:117.2pt;width:356pt;z-index:251664384;v-text-anchor:middle;mso-width-relative:page;mso-height-relative:page;" filled="f" stroked="t" coordsize="21600,21600" o:gfxdata="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8E9FJ2gAAAAsBAAAPAAAAAAAAAAEAIAAAACIAAABkcnMvZG93bnJldi54bWxQ&#10;SwECFAAUAAAACACHTuJARCAh+mcCAADOBAAADgAAAAAAAAABACAAAAApAQAAZHJzL2Uyb0RvYy54&#10;bWxQSwUGAAAAAAYABgBZAQAAAgYAAAAA&#10;">
                <v:fill on="f" focussize="0,0"/>
                <v:stroke weight="2.25pt" color="#000000 [3213]" miterlimit="8" joinstyle="miter"/>
                <v:imagedata o:title=""/>
                <o:lock v:ext="edit" aspectratio="f"/>
              </v:rect>
            </w:pict>
          </mc:Fallback>
        </mc:AlternateContent>
      </w:r>
      <w:r>
        <mc:AlternateContent>
          <mc:Choice Requires="wps">
            <w:drawing>
              <wp:anchor distT="0" distB="0" distL="114300" distR="114300" simplePos="0" relativeHeight="251660288" behindDoc="0" locked="0" layoutInCell="1" allowOverlap="1">
                <wp:simplePos x="0" y="0"/>
                <wp:positionH relativeFrom="column">
                  <wp:posOffset>116205</wp:posOffset>
                </wp:positionH>
                <wp:positionV relativeFrom="paragraph">
                  <wp:posOffset>10795</wp:posOffset>
                </wp:positionV>
                <wp:extent cx="1207770" cy="2948940"/>
                <wp:effectExtent l="13970" t="13970" r="16510" b="27940"/>
                <wp:wrapNone/>
                <wp:docPr id="44" name="矩形 44"/>
                <wp:cNvGraphicFramePr/>
                <a:graphic xmlns:a="http://schemas.openxmlformats.org/drawingml/2006/main">
                  <a:graphicData uri="http://schemas.microsoft.com/office/word/2010/wordprocessingShape">
                    <wps:wsp>
                      <wps:cNvSpPr/>
                      <wps:spPr>
                        <a:xfrm>
                          <a:off x="0" y="0"/>
                          <a:ext cx="1207770" cy="2948940"/>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15pt;margin-top:0.85pt;height:232.2pt;width:95.1pt;z-index:251660288;v-text-anchor:middle;mso-width-relative:page;mso-height-relative:page;" filled="f" stroked="t" coordsize="21600,21600" o:gfxdata="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dQc2vYAAAACAEAAA8AAAAAAAAAAQAgAAAAIgAAAGRycy9kb3ducmV2LnhtbFBL&#10;AQIUABQAAAAIAIdO4kA9vfzsaAIAAM4EAAAOAAAAAAAAAAEAIAAAACcBAABkcnMvZTJvRG9jLnht&#10;bFBLBQYAAAAABgAGAFkBAAABBgAAAAA=&#10;">
                <v:fill on="f" focussize="0,0"/>
                <v:stroke weight="2.25pt" color="#000000 [3213]" miterlimit="8" joinstyle="miter"/>
                <v:imagedata o:title=""/>
                <o:lock v:ext="edit" aspectratio="f"/>
              </v:rect>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5545455</wp:posOffset>
                </wp:positionH>
                <wp:positionV relativeFrom="paragraph">
                  <wp:posOffset>2948305</wp:posOffset>
                </wp:positionV>
                <wp:extent cx="2847975" cy="1395095"/>
                <wp:effectExtent l="14605" t="13970" r="13970" b="19685"/>
                <wp:wrapNone/>
                <wp:docPr id="47" name="矩形 47"/>
                <wp:cNvGraphicFramePr/>
                <a:graphic xmlns:a="http://schemas.openxmlformats.org/drawingml/2006/main">
                  <a:graphicData uri="http://schemas.microsoft.com/office/word/2010/wordprocessingShape">
                    <wps:wsp>
                      <wps:cNvSpPr/>
                      <wps:spPr>
                        <a:xfrm>
                          <a:off x="0" y="0"/>
                          <a:ext cx="2847975" cy="1395095"/>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65pt;margin-top:232.15pt;height:109.85pt;width:224.25pt;z-index:251663360;v-text-anchor:middle;mso-width-relative:page;mso-height-relative:page;" filled="f" stroked="t" coordsize="21600,21600" o:gfxdata="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pTsTnbAAAADAEAAA8AAAAAAAAAAQAgAAAAIgAAAGRycy9kb3ducmV2Lnht&#10;bFBLAQIUABQAAAAIAIdO4kB06ieGaAIAAM4EAAAOAAAAAAAAAAEAIAAAACoBAABkcnMvZTJvRG9j&#10;LnhtbFBLBQYAAAAABgAGAFkBAAAEBgAAAAA=&#10;">
                <v:fill on="f" focussize="0,0"/>
                <v:stroke weight="2.25pt" color="#000000 [3213]" miterlimit="8" joinstyle="miter"/>
                <v:imagedata o:title=""/>
                <o:lock v:ext="edit" aspectratio="f"/>
              </v: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3023235</wp:posOffset>
                </wp:positionH>
                <wp:positionV relativeFrom="paragraph">
                  <wp:posOffset>2950845</wp:posOffset>
                </wp:positionV>
                <wp:extent cx="2504440" cy="1395095"/>
                <wp:effectExtent l="13970" t="13970" r="15240" b="19685"/>
                <wp:wrapNone/>
                <wp:docPr id="46" name="矩形 46"/>
                <wp:cNvGraphicFramePr/>
                <a:graphic xmlns:a="http://schemas.openxmlformats.org/drawingml/2006/main">
                  <a:graphicData uri="http://schemas.microsoft.com/office/word/2010/wordprocessingShape">
                    <wps:wsp>
                      <wps:cNvSpPr/>
                      <wps:spPr>
                        <a:xfrm>
                          <a:off x="0" y="0"/>
                          <a:ext cx="2504440" cy="1395095"/>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8.05pt;margin-top:232.35pt;height:109.85pt;width:197.2pt;z-index:251662336;v-text-anchor:middle;mso-width-relative:page;mso-height-relative:page;" filled="f" stroked="t" coordsize="21600,21600" o:gfxdata="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B1fiLaAAAACwEAAA8AAAAAAAAAAQAgAAAAIgAAAGRycy9kb3ducmV2Lnht&#10;bFBLAQIUABQAAAAIAIdO4kDFAfZ8aQIAAM4EAAAOAAAAAAAAAAEAIAAAACkBAABkcnMvZTJvRG9j&#10;LnhtbFBLBQYAAAAABgAGAFkBAAAEBgAAAAA=&#10;">
                <v:fill on="f" focussize="0,0"/>
                <v:stroke weight="2.25pt" color="#000000 [3213]" miterlimit="8" joinstyle="miter"/>
                <v:imagedata o:title=""/>
                <o:lock v:ext="edit" aspectratio="f"/>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96520</wp:posOffset>
                </wp:positionH>
                <wp:positionV relativeFrom="paragraph">
                  <wp:posOffset>-8890</wp:posOffset>
                </wp:positionV>
                <wp:extent cx="8328660" cy="4351655"/>
                <wp:effectExtent l="13970" t="14605" r="20320" b="15240"/>
                <wp:wrapNone/>
                <wp:docPr id="43" name="矩形 43"/>
                <wp:cNvGraphicFramePr/>
                <a:graphic xmlns:a="http://schemas.openxmlformats.org/drawingml/2006/main">
                  <a:graphicData uri="http://schemas.microsoft.com/office/word/2010/wordprocessingShape">
                    <wps:wsp>
                      <wps:cNvSpPr/>
                      <wps:spPr>
                        <a:xfrm>
                          <a:off x="1176655" y="963295"/>
                          <a:ext cx="8328660" cy="4351655"/>
                        </a:xfrm>
                        <a:prstGeom prst="rect">
                          <a:avLst/>
                        </a:prstGeom>
                        <a:noFill/>
                        <a:ln w="285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6pt;margin-top:-0.7pt;height:342.65pt;width:655.8pt;z-index:251659264;v-text-anchor:middle;mso-width-relative:page;mso-height-relative:page;" filled="f" stroked="t" coordsize="21600,21600" o:gfxdata="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AcEB12QAAAAoBAAAPAAAAAAAAAAEAIAAAACIAAABkcnMv&#10;ZG93bnJldi54bWxQSwECFAAUAAAACACHTuJAac6EOnQCAADZBAAADgAAAAAAAAABACAAAAAoAQAA&#10;ZHJzL2Uyb0RvYy54bWxQSwUGAAAAAAYABgBZAQAADgYAAAAA&#10;">
                <v:fill on="f" focussize="0,0"/>
                <v:stroke weight="2.25pt" color="#000000 [3213]" miterlimit="8" joinstyle="miter"/>
                <v:imagedata o:title=""/>
                <o:lock v:ext="edit" aspectratio="f"/>
              </v:rect>
            </w:pict>
          </mc:Fallback>
        </mc:AlternateContent>
      </w:r>
    </w:p>
    <w:p w14:paraId="552679A4"/>
    <w:p w14:paraId="40156C62"/>
    <w:p w14:paraId="10EBC359"/>
    <w:p w14:paraId="3FB1D558"/>
    <w:p w14:paraId="24526AA9"/>
    <w:p w14:paraId="08D29922"/>
    <w:p w14:paraId="1249689F"/>
    <w:p w14:paraId="253F693D"/>
    <w:p w14:paraId="0CB51BF6"/>
    <w:p w14:paraId="1AFE54D5"/>
    <w:p w14:paraId="2A092627"/>
    <w:p w14:paraId="3C09778A"/>
    <w:p w14:paraId="523BCD03"/>
    <w:p w14:paraId="5B34CACC"/>
    <w:p w14:paraId="1354E4BB"/>
    <w:p w14:paraId="3AD78DA2"/>
    <w:p w14:paraId="7A61666D"/>
    <w:p w14:paraId="05A356FE"/>
    <w:p w14:paraId="664CF742"/>
    <w:p w14:paraId="31B68687"/>
    <w:p w14:paraId="4253C3EE"/>
    <w:p w14:paraId="229067F7"/>
    <w:p w14:paraId="18F134CB"/>
    <w:p w14:paraId="7882FCDA"/>
    <w:p w14:paraId="542B1E5F"/>
    <w:p w14:paraId="15390100"/>
    <w:p w14:paraId="46E81259"/>
    <w:p w14:paraId="5014C6C2"/>
    <w:p w14:paraId="4819E5EE">
      <w:pPr>
        <w:jc w:val="center"/>
        <w:rPr>
          <w:b/>
          <w:bCs/>
        </w:rPr>
      </w:pPr>
      <w:r>
        <w:rPr>
          <w:rFonts w:hint="eastAsia"/>
        </w:rPr>
        <w:tab/>
      </w:r>
      <w:r>
        <w:rPr>
          <w:rFonts w:hint="eastAsia"/>
          <w:b/>
          <w:bCs/>
        </w:rPr>
        <w:t>改建医院布草洗涤车间</w:t>
      </w:r>
    </w:p>
    <w:p w14:paraId="5A35DCA8">
      <w:pPr>
        <w:pStyle w:val="19"/>
        <w:sectPr>
          <w:pgSz w:w="16838" w:h="11906" w:orient="landscape"/>
          <w:pgMar w:top="1531" w:right="1701" w:bottom="1531" w:left="1701" w:header="851" w:footer="851" w:gutter="0"/>
          <w:cols w:space="720" w:num="1"/>
          <w:docGrid w:linePitch="312" w:charSpace="0"/>
        </w:sectPr>
      </w:pPr>
    </w:p>
    <w:p w14:paraId="445FE086">
      <w:pPr>
        <w:outlineLvl w:val="0"/>
        <w:rPr>
          <w:b/>
          <w:bCs/>
          <w:sz w:val="24"/>
        </w:rPr>
      </w:pPr>
      <w:bookmarkStart w:id="40" w:name="_Toc31416"/>
      <w:r>
        <w:rPr>
          <w:rFonts w:hint="eastAsia"/>
          <w:b/>
          <w:bCs/>
          <w:sz w:val="24"/>
        </w:rPr>
        <w:t>附图5  衡阳西渡高新区污水处理厂纳污范围图</w:t>
      </w:r>
      <w:bookmarkEnd w:id="40"/>
    </w:p>
    <w:p w14:paraId="2D35569D">
      <w:pPr>
        <w:jc w:val="center"/>
        <w:rPr>
          <w:b/>
          <w:bCs/>
          <w:sz w:val="24"/>
        </w:rPr>
      </w:pPr>
      <w:r>
        <w:drawing>
          <wp:inline distT="0" distB="0" distL="114300" distR="114300">
            <wp:extent cx="6420485" cy="5278120"/>
            <wp:effectExtent l="0" t="0" r="18415" b="1778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59"/>
                    <a:stretch>
                      <a:fillRect/>
                    </a:stretch>
                  </pic:blipFill>
                  <pic:spPr>
                    <a:xfrm>
                      <a:off x="0" y="0"/>
                      <a:ext cx="6420485" cy="5278120"/>
                    </a:xfrm>
                    <a:prstGeom prst="rect">
                      <a:avLst/>
                    </a:prstGeom>
                    <a:noFill/>
                    <a:ln>
                      <a:noFill/>
                    </a:ln>
                  </pic:spPr>
                </pic:pic>
              </a:graphicData>
            </a:graphic>
          </wp:inline>
        </w:drawing>
      </w:r>
      <w:r>
        <w:rPr>
          <w:rFonts w:hint="eastAsia"/>
          <w:b/>
          <w:bCs/>
          <w:sz w:val="24"/>
        </w:rPr>
        <w:br w:type="page"/>
      </w:r>
    </w:p>
    <w:p w14:paraId="72488805">
      <w:pPr>
        <w:outlineLvl w:val="0"/>
        <w:rPr>
          <w:b/>
          <w:bCs/>
          <w:sz w:val="24"/>
        </w:rPr>
      </w:pPr>
      <w:bookmarkStart w:id="41" w:name="_Toc23722"/>
      <w:r>
        <w:rPr>
          <w:rFonts w:hint="eastAsia"/>
          <w:b/>
          <w:bCs/>
          <w:sz w:val="24"/>
        </w:rPr>
        <w:t>附图6 引用监测点与本项目位置关系图</w:t>
      </w:r>
      <w:bookmarkEnd w:id="41"/>
    </w:p>
    <w:p w14:paraId="4154FE93">
      <w:pPr>
        <w:jc w:val="center"/>
        <w:outlineLvl w:val="9"/>
        <w:rPr>
          <w:b/>
          <w:bCs/>
          <w:sz w:val="24"/>
        </w:rPr>
        <w:sectPr>
          <w:pgSz w:w="16838" w:h="11906" w:orient="landscape"/>
          <w:pgMar w:top="1531" w:right="1701" w:bottom="1531" w:left="1701" w:header="851" w:footer="851" w:gutter="0"/>
          <w:cols w:space="720" w:num="1"/>
          <w:docGrid w:linePitch="312" w:charSpace="0"/>
        </w:sectPr>
      </w:pPr>
      <w:r>
        <w:drawing>
          <wp:inline distT="0" distB="0" distL="114300" distR="114300">
            <wp:extent cx="7974965" cy="5349240"/>
            <wp:effectExtent l="9525" t="9525" r="16510" b="13335"/>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60"/>
                    <a:stretch>
                      <a:fillRect/>
                    </a:stretch>
                  </pic:blipFill>
                  <pic:spPr>
                    <a:xfrm>
                      <a:off x="0" y="0"/>
                      <a:ext cx="7974965" cy="5349240"/>
                    </a:xfrm>
                    <a:prstGeom prst="rect">
                      <a:avLst/>
                    </a:prstGeom>
                    <a:noFill/>
                    <a:ln>
                      <a:solidFill>
                        <a:schemeClr val="tx1"/>
                      </a:solidFill>
                    </a:ln>
                  </pic:spPr>
                </pic:pic>
              </a:graphicData>
            </a:graphic>
          </wp:inline>
        </w:drawing>
      </w:r>
    </w:p>
    <w:p w14:paraId="3560822C">
      <w:pPr>
        <w:jc w:val="left"/>
        <w:outlineLvl w:val="0"/>
        <w:rPr>
          <w:b/>
          <w:bCs/>
          <w:sz w:val="24"/>
        </w:rPr>
      </w:pPr>
      <w:bookmarkStart w:id="42" w:name="_Toc23817"/>
      <w:r>
        <w:rPr>
          <w:rFonts w:hint="eastAsia"/>
          <w:b/>
          <w:bCs/>
          <w:sz w:val="24"/>
        </w:rPr>
        <w:t>附图7 项目噪声监测点位图</w:t>
      </w:r>
      <w:bookmarkEnd w:id="42"/>
    </w:p>
    <w:p w14:paraId="511EC842">
      <w:pPr>
        <w:jc w:val="center"/>
        <w:outlineLvl w:val="9"/>
        <w:rPr>
          <w:b/>
          <w:bCs/>
          <w:sz w:val="24"/>
        </w:rPr>
        <w:sectPr>
          <w:pgSz w:w="16838" w:h="11906" w:orient="landscape"/>
          <w:pgMar w:top="1531" w:right="1701" w:bottom="1531" w:left="1701" w:header="851" w:footer="851" w:gutter="0"/>
          <w:cols w:space="720" w:num="1"/>
          <w:docGrid w:linePitch="312" w:charSpace="0"/>
        </w:sectPr>
      </w:pPr>
      <w:r>
        <w:drawing>
          <wp:inline distT="0" distB="0" distL="114300" distR="114300">
            <wp:extent cx="8197850" cy="5387975"/>
            <wp:effectExtent l="9525" t="9525" r="22225" b="1270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61"/>
                    <a:stretch>
                      <a:fillRect/>
                    </a:stretch>
                  </pic:blipFill>
                  <pic:spPr>
                    <a:xfrm>
                      <a:off x="0" y="0"/>
                      <a:ext cx="8197850" cy="5387975"/>
                    </a:xfrm>
                    <a:prstGeom prst="rect">
                      <a:avLst/>
                    </a:prstGeom>
                    <a:noFill/>
                    <a:ln>
                      <a:solidFill>
                        <a:schemeClr val="tx1"/>
                      </a:solidFill>
                    </a:ln>
                  </pic:spPr>
                </pic:pic>
              </a:graphicData>
            </a:graphic>
          </wp:inline>
        </w:drawing>
      </w:r>
    </w:p>
    <w:p w14:paraId="7A2FF5EB">
      <w:pPr>
        <w:outlineLvl w:val="0"/>
        <w:rPr>
          <w:b/>
          <w:bCs/>
          <w:sz w:val="24"/>
        </w:rPr>
      </w:pPr>
      <w:bookmarkStart w:id="43" w:name="_Toc10683"/>
      <w:r>
        <w:rPr>
          <w:rFonts w:hint="eastAsia"/>
          <w:b/>
          <w:bCs/>
          <w:sz w:val="24"/>
        </w:rPr>
        <w:t>附图8 大气、风险环保目标分布图</w:t>
      </w:r>
      <w:bookmarkEnd w:id="43"/>
    </w:p>
    <w:p w14:paraId="2F93B431">
      <w:pPr>
        <w:jc w:val="center"/>
        <w:outlineLvl w:val="9"/>
        <w:sectPr>
          <w:pgSz w:w="16838" w:h="11906" w:orient="landscape"/>
          <w:pgMar w:top="1440" w:right="1080" w:bottom="1440" w:left="1080" w:header="851" w:footer="851" w:gutter="0"/>
          <w:cols w:space="720" w:num="1"/>
          <w:docGrid w:linePitch="312" w:charSpace="0"/>
        </w:sectPr>
      </w:pPr>
      <w:r>
        <w:drawing>
          <wp:inline distT="0" distB="0" distL="114300" distR="114300">
            <wp:extent cx="7647305" cy="5349240"/>
            <wp:effectExtent l="9525" t="9525" r="20320" b="13335"/>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62"/>
                    <a:stretch>
                      <a:fillRect/>
                    </a:stretch>
                  </pic:blipFill>
                  <pic:spPr>
                    <a:xfrm>
                      <a:off x="0" y="0"/>
                      <a:ext cx="7647305" cy="5349240"/>
                    </a:xfrm>
                    <a:prstGeom prst="rect">
                      <a:avLst/>
                    </a:prstGeom>
                    <a:noFill/>
                    <a:ln>
                      <a:solidFill>
                        <a:schemeClr val="tx1"/>
                      </a:solidFill>
                    </a:ln>
                  </pic:spPr>
                </pic:pic>
              </a:graphicData>
            </a:graphic>
          </wp:inline>
        </w:drawing>
      </w:r>
    </w:p>
    <w:p w14:paraId="43487488">
      <w:pPr>
        <w:outlineLvl w:val="0"/>
        <w:rPr>
          <w:b/>
          <w:bCs/>
          <w:sz w:val="24"/>
        </w:rPr>
      </w:pPr>
      <w:bookmarkStart w:id="44" w:name="_Toc22758"/>
      <w:r>
        <w:rPr>
          <w:rFonts w:hint="eastAsia"/>
          <w:b/>
          <w:bCs/>
          <w:sz w:val="24"/>
        </w:rPr>
        <w:t>附图9 噪声环保目标分布图</w:t>
      </w:r>
      <w:bookmarkEnd w:id="44"/>
    </w:p>
    <w:p w14:paraId="4DAB52E2">
      <w:pPr>
        <w:jc w:val="center"/>
      </w:pPr>
      <w:r>
        <w:drawing>
          <wp:inline distT="0" distB="0" distL="114300" distR="114300">
            <wp:extent cx="7800340" cy="5156835"/>
            <wp:effectExtent l="0" t="0" r="10160" b="5715"/>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63"/>
                    <a:stretch>
                      <a:fillRect/>
                    </a:stretch>
                  </pic:blipFill>
                  <pic:spPr>
                    <a:xfrm>
                      <a:off x="0" y="0"/>
                      <a:ext cx="7800340" cy="5156835"/>
                    </a:xfrm>
                    <a:prstGeom prst="rect">
                      <a:avLst/>
                    </a:prstGeom>
                    <a:noFill/>
                    <a:ln>
                      <a:noFill/>
                    </a:ln>
                  </pic:spPr>
                </pic:pic>
              </a:graphicData>
            </a:graphic>
          </wp:inline>
        </w:drawing>
      </w:r>
    </w:p>
    <w:p w14:paraId="6FF9AA75">
      <w:pPr>
        <w:jc w:val="center"/>
        <w:outlineLvl w:val="9"/>
        <w:sectPr>
          <w:pgSz w:w="16838" w:h="11906" w:orient="landscape"/>
          <w:pgMar w:top="1440" w:right="1080" w:bottom="1440" w:left="1080" w:header="851" w:footer="851" w:gutter="0"/>
          <w:cols w:space="720" w:num="1"/>
          <w:docGrid w:linePitch="312" w:charSpace="0"/>
        </w:sectPr>
      </w:pPr>
    </w:p>
    <w:p w14:paraId="0E529862">
      <w:pPr>
        <w:outlineLvl w:val="0"/>
        <w:rPr>
          <w:b/>
          <w:bCs/>
          <w:sz w:val="24"/>
        </w:rPr>
      </w:pPr>
      <w:bookmarkStart w:id="45" w:name="_Toc20370"/>
      <w:r>
        <w:rPr>
          <w:rFonts w:hint="eastAsia"/>
          <w:b/>
          <w:bCs/>
          <w:sz w:val="24"/>
        </w:rPr>
        <w:t>附图10  项目现场勘察图</w:t>
      </w:r>
      <w:bookmarkEnd w:id="45"/>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21"/>
        <w:gridCol w:w="4621"/>
      </w:tblGrid>
      <w:tr w14:paraId="30DE4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11AC9E61">
            <w:pPr>
              <w:outlineLvl w:val="9"/>
              <w:rPr>
                <w:b/>
                <w:bCs/>
                <w:szCs w:val="21"/>
              </w:rPr>
            </w:pPr>
            <w:r>
              <w:rPr>
                <w:rFonts w:hint="eastAsia"/>
                <w:b/>
                <w:bCs/>
                <w:szCs w:val="21"/>
              </w:rPr>
              <w:drawing>
                <wp:inline distT="0" distB="0" distL="114300" distR="114300">
                  <wp:extent cx="2780030" cy="1976755"/>
                  <wp:effectExtent l="0" t="0" r="1270" b="4445"/>
                  <wp:docPr id="1" name="图片 1" descr="89b7f72f8c0da72276a544426bff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9b7f72f8c0da72276a544426bff657"/>
                          <pic:cNvPicPr>
                            <a:picLocks noChangeAspect="1"/>
                          </pic:cNvPicPr>
                        </pic:nvPicPr>
                        <pic:blipFill>
                          <a:blip r:embed="rId64"/>
                          <a:stretch>
                            <a:fillRect/>
                          </a:stretch>
                        </pic:blipFill>
                        <pic:spPr>
                          <a:xfrm>
                            <a:off x="0" y="0"/>
                            <a:ext cx="2780030" cy="1976755"/>
                          </a:xfrm>
                          <a:prstGeom prst="rect">
                            <a:avLst/>
                          </a:prstGeom>
                        </pic:spPr>
                      </pic:pic>
                    </a:graphicData>
                  </a:graphic>
                </wp:inline>
              </w:drawing>
            </w:r>
          </w:p>
        </w:tc>
        <w:tc>
          <w:tcPr>
            <w:tcW w:w="4621" w:type="dxa"/>
          </w:tcPr>
          <w:p w14:paraId="26449A40">
            <w:pPr>
              <w:outlineLvl w:val="9"/>
              <w:rPr>
                <w:b/>
                <w:bCs/>
                <w:szCs w:val="21"/>
              </w:rPr>
            </w:pPr>
            <w:r>
              <w:rPr>
                <w:rFonts w:hint="eastAsia"/>
                <w:b/>
                <w:bCs/>
                <w:szCs w:val="21"/>
              </w:rPr>
              <w:drawing>
                <wp:inline distT="0" distB="0" distL="114300" distR="114300">
                  <wp:extent cx="2760345" cy="2072640"/>
                  <wp:effectExtent l="0" t="0" r="1905" b="3810"/>
                  <wp:docPr id="64" name="图片 64" descr="IMG_20241010_16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41010_164352"/>
                          <pic:cNvPicPr>
                            <a:picLocks noChangeAspect="1"/>
                          </pic:cNvPicPr>
                        </pic:nvPicPr>
                        <pic:blipFill>
                          <a:blip r:embed="rId65"/>
                          <a:stretch>
                            <a:fillRect/>
                          </a:stretch>
                        </pic:blipFill>
                        <pic:spPr>
                          <a:xfrm>
                            <a:off x="0" y="0"/>
                            <a:ext cx="2760345" cy="2072640"/>
                          </a:xfrm>
                          <a:prstGeom prst="rect">
                            <a:avLst/>
                          </a:prstGeom>
                        </pic:spPr>
                      </pic:pic>
                    </a:graphicData>
                  </a:graphic>
                </wp:inline>
              </w:drawing>
            </w:r>
          </w:p>
        </w:tc>
      </w:tr>
      <w:tr w14:paraId="6935B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5A4DABE9">
            <w:pPr>
              <w:jc w:val="center"/>
              <w:outlineLvl w:val="0"/>
              <w:rPr>
                <w:b/>
                <w:bCs/>
                <w:szCs w:val="21"/>
              </w:rPr>
            </w:pPr>
            <w:bookmarkStart w:id="46" w:name="_Toc28682"/>
            <w:bookmarkStart w:id="47" w:name="_Toc21297"/>
            <w:r>
              <w:rPr>
                <w:rFonts w:hint="eastAsia"/>
                <w:b/>
                <w:bCs/>
                <w:szCs w:val="21"/>
              </w:rPr>
              <w:t>综合楼</w:t>
            </w:r>
            <w:bookmarkEnd w:id="46"/>
            <w:bookmarkEnd w:id="47"/>
          </w:p>
        </w:tc>
        <w:tc>
          <w:tcPr>
            <w:tcW w:w="4621" w:type="dxa"/>
          </w:tcPr>
          <w:p w14:paraId="70C8FA42">
            <w:pPr>
              <w:jc w:val="center"/>
              <w:outlineLvl w:val="0"/>
              <w:rPr>
                <w:b/>
                <w:bCs/>
                <w:szCs w:val="21"/>
              </w:rPr>
            </w:pPr>
            <w:bookmarkStart w:id="48" w:name="_Toc29919"/>
            <w:bookmarkStart w:id="49" w:name="_Toc11975"/>
            <w:r>
              <w:rPr>
                <w:rFonts w:hint="eastAsia"/>
                <w:b/>
                <w:bCs/>
                <w:szCs w:val="21"/>
              </w:rPr>
              <w:t>扩建酒店布草洗涤车间</w:t>
            </w:r>
            <w:bookmarkEnd w:id="48"/>
            <w:bookmarkEnd w:id="49"/>
          </w:p>
        </w:tc>
      </w:tr>
      <w:tr w14:paraId="10E97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4CA37425">
            <w:pPr>
              <w:jc w:val="center"/>
              <w:outlineLvl w:val="9"/>
              <w:rPr>
                <w:b/>
                <w:bCs/>
                <w:szCs w:val="21"/>
              </w:rPr>
            </w:pPr>
            <w:r>
              <w:rPr>
                <w:rFonts w:hint="eastAsia"/>
                <w:b/>
                <w:bCs/>
                <w:szCs w:val="21"/>
              </w:rPr>
              <w:drawing>
                <wp:inline distT="0" distB="0" distL="114300" distR="114300">
                  <wp:extent cx="2778125" cy="3699510"/>
                  <wp:effectExtent l="0" t="0" r="3175" b="15240"/>
                  <wp:docPr id="80" name="图片 80" descr="IMG_20241010_16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41010_164745"/>
                          <pic:cNvPicPr>
                            <a:picLocks noChangeAspect="1"/>
                          </pic:cNvPicPr>
                        </pic:nvPicPr>
                        <pic:blipFill>
                          <a:blip r:embed="rId66"/>
                          <a:stretch>
                            <a:fillRect/>
                          </a:stretch>
                        </pic:blipFill>
                        <pic:spPr>
                          <a:xfrm>
                            <a:off x="0" y="0"/>
                            <a:ext cx="2778125" cy="3699510"/>
                          </a:xfrm>
                          <a:prstGeom prst="rect">
                            <a:avLst/>
                          </a:prstGeom>
                        </pic:spPr>
                      </pic:pic>
                    </a:graphicData>
                  </a:graphic>
                </wp:inline>
              </w:drawing>
            </w:r>
          </w:p>
        </w:tc>
        <w:tc>
          <w:tcPr>
            <w:tcW w:w="4621" w:type="dxa"/>
          </w:tcPr>
          <w:p w14:paraId="35AB8A68">
            <w:pPr>
              <w:jc w:val="center"/>
              <w:outlineLvl w:val="9"/>
              <w:rPr>
                <w:b/>
                <w:bCs/>
                <w:szCs w:val="21"/>
              </w:rPr>
            </w:pPr>
            <w:r>
              <w:rPr>
                <w:rFonts w:hint="eastAsia"/>
                <w:b/>
                <w:bCs/>
                <w:szCs w:val="21"/>
              </w:rPr>
              <w:drawing>
                <wp:inline distT="0" distB="0" distL="114300" distR="114300">
                  <wp:extent cx="3699510" cy="2778125"/>
                  <wp:effectExtent l="0" t="0" r="3175" b="15240"/>
                  <wp:docPr id="73" name="图片 73" descr="IMG_20241010_16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41010_164828"/>
                          <pic:cNvPicPr>
                            <a:picLocks noChangeAspect="1"/>
                          </pic:cNvPicPr>
                        </pic:nvPicPr>
                        <pic:blipFill>
                          <a:blip r:embed="rId67"/>
                          <a:stretch>
                            <a:fillRect/>
                          </a:stretch>
                        </pic:blipFill>
                        <pic:spPr>
                          <a:xfrm rot="5400000">
                            <a:off x="0" y="0"/>
                            <a:ext cx="3699510" cy="2778125"/>
                          </a:xfrm>
                          <a:prstGeom prst="rect">
                            <a:avLst/>
                          </a:prstGeom>
                        </pic:spPr>
                      </pic:pic>
                    </a:graphicData>
                  </a:graphic>
                </wp:inline>
              </w:drawing>
            </w:r>
          </w:p>
        </w:tc>
      </w:tr>
      <w:tr w14:paraId="1D97D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Pr>
          <w:p w14:paraId="68B5B2C3">
            <w:pPr>
              <w:jc w:val="center"/>
              <w:outlineLvl w:val="0"/>
              <w:rPr>
                <w:b/>
                <w:bCs/>
                <w:szCs w:val="21"/>
              </w:rPr>
            </w:pPr>
            <w:bookmarkStart w:id="50" w:name="_Toc22356"/>
            <w:bookmarkStart w:id="51" w:name="_Toc8166"/>
            <w:r>
              <w:rPr>
                <w:rFonts w:hint="eastAsia"/>
                <w:b/>
                <w:bCs/>
                <w:szCs w:val="21"/>
              </w:rPr>
              <w:t>锅炉房</w:t>
            </w:r>
            <w:bookmarkEnd w:id="50"/>
            <w:bookmarkEnd w:id="51"/>
          </w:p>
        </w:tc>
      </w:tr>
      <w:tr w14:paraId="31BD3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6607F903">
            <w:pPr>
              <w:jc w:val="center"/>
              <w:outlineLvl w:val="9"/>
              <w:rPr>
                <w:b/>
                <w:bCs/>
                <w:szCs w:val="21"/>
              </w:rPr>
            </w:pPr>
            <w:r>
              <w:rPr>
                <w:rFonts w:hint="eastAsia"/>
                <w:b/>
                <w:bCs/>
                <w:szCs w:val="21"/>
              </w:rPr>
              <w:drawing>
                <wp:inline distT="0" distB="0" distL="114300" distR="114300">
                  <wp:extent cx="2792095" cy="1857375"/>
                  <wp:effectExtent l="0" t="0" r="8255" b="9525"/>
                  <wp:docPr id="74" name="图片 74" descr="7c30baa47dfe04c7e923a28cec8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7c30baa47dfe04c7e923a28cec86206"/>
                          <pic:cNvPicPr>
                            <a:picLocks noChangeAspect="1"/>
                          </pic:cNvPicPr>
                        </pic:nvPicPr>
                        <pic:blipFill>
                          <a:blip r:embed="rId68"/>
                          <a:srcRect t="33477"/>
                          <a:stretch>
                            <a:fillRect/>
                          </a:stretch>
                        </pic:blipFill>
                        <pic:spPr>
                          <a:xfrm>
                            <a:off x="0" y="0"/>
                            <a:ext cx="2792095" cy="1857375"/>
                          </a:xfrm>
                          <a:prstGeom prst="rect">
                            <a:avLst/>
                          </a:prstGeom>
                        </pic:spPr>
                      </pic:pic>
                    </a:graphicData>
                  </a:graphic>
                </wp:inline>
              </w:drawing>
            </w:r>
          </w:p>
        </w:tc>
        <w:tc>
          <w:tcPr>
            <w:tcW w:w="4621" w:type="dxa"/>
          </w:tcPr>
          <w:p w14:paraId="5AE8D842">
            <w:pPr>
              <w:jc w:val="center"/>
              <w:outlineLvl w:val="9"/>
              <w:rPr>
                <w:b/>
                <w:bCs/>
                <w:szCs w:val="21"/>
              </w:rPr>
            </w:pPr>
            <w:r>
              <w:rPr>
                <w:rFonts w:hint="eastAsia"/>
                <w:b/>
                <w:bCs/>
                <w:szCs w:val="21"/>
              </w:rPr>
              <w:drawing>
                <wp:inline distT="0" distB="0" distL="114300" distR="114300">
                  <wp:extent cx="2792095" cy="1852930"/>
                  <wp:effectExtent l="0" t="0" r="8255" b="13970"/>
                  <wp:docPr id="33" name="图片 33" descr="15a65aba1d09532dfbe1a9629747b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5a65aba1d09532dfbe1a9629747b77"/>
                          <pic:cNvPicPr>
                            <a:picLocks noChangeAspect="1"/>
                          </pic:cNvPicPr>
                        </pic:nvPicPr>
                        <pic:blipFill>
                          <a:blip r:embed="rId69"/>
                          <a:srcRect t="24523" b="25716"/>
                          <a:stretch>
                            <a:fillRect/>
                          </a:stretch>
                        </pic:blipFill>
                        <pic:spPr>
                          <a:xfrm>
                            <a:off x="0" y="0"/>
                            <a:ext cx="2792095" cy="1852930"/>
                          </a:xfrm>
                          <a:prstGeom prst="rect">
                            <a:avLst/>
                          </a:prstGeom>
                        </pic:spPr>
                      </pic:pic>
                    </a:graphicData>
                  </a:graphic>
                </wp:inline>
              </w:drawing>
            </w:r>
          </w:p>
        </w:tc>
      </w:tr>
      <w:tr w14:paraId="4A3A5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Pr>
          <w:p w14:paraId="424ACA29">
            <w:pPr>
              <w:jc w:val="center"/>
              <w:outlineLvl w:val="0"/>
              <w:rPr>
                <w:b/>
                <w:bCs/>
                <w:szCs w:val="21"/>
              </w:rPr>
            </w:pPr>
            <w:bookmarkStart w:id="52" w:name="_Toc21583"/>
            <w:bookmarkStart w:id="53" w:name="_Toc28040"/>
            <w:r>
              <w:rPr>
                <w:rFonts w:hint="eastAsia"/>
                <w:b/>
                <w:bCs/>
                <w:szCs w:val="21"/>
              </w:rPr>
              <w:t>现酒店布草洗涤车间（改建医院布草洗涤）</w:t>
            </w:r>
            <w:bookmarkEnd w:id="52"/>
            <w:bookmarkEnd w:id="53"/>
          </w:p>
        </w:tc>
      </w:tr>
      <w:tr w14:paraId="58ED0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shd w:val="clear" w:color="auto" w:fill="auto"/>
          </w:tcPr>
          <w:p w14:paraId="3A5C17F7">
            <w:pPr>
              <w:outlineLvl w:val="9"/>
              <w:rPr>
                <w:b/>
                <w:bCs/>
                <w:szCs w:val="21"/>
              </w:rPr>
            </w:pPr>
            <w:r>
              <w:rPr>
                <w:rFonts w:hint="eastAsia"/>
                <w:b/>
                <w:bCs/>
                <w:szCs w:val="21"/>
              </w:rPr>
              <w:drawing>
                <wp:inline distT="0" distB="0" distL="114300" distR="114300">
                  <wp:extent cx="2795905" cy="1927225"/>
                  <wp:effectExtent l="0" t="0" r="4445" b="15875"/>
                  <wp:docPr id="76" name="图片 76" descr="6bbd054fd52106d99415d6fb5fd42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6bbd054fd52106d99415d6fb5fd42f6"/>
                          <pic:cNvPicPr>
                            <a:picLocks noChangeAspect="1"/>
                          </pic:cNvPicPr>
                        </pic:nvPicPr>
                        <pic:blipFill>
                          <a:blip r:embed="rId70"/>
                          <a:srcRect t="14938"/>
                          <a:stretch>
                            <a:fillRect/>
                          </a:stretch>
                        </pic:blipFill>
                        <pic:spPr>
                          <a:xfrm>
                            <a:off x="0" y="0"/>
                            <a:ext cx="2795905" cy="1927225"/>
                          </a:xfrm>
                          <a:prstGeom prst="rect">
                            <a:avLst/>
                          </a:prstGeom>
                        </pic:spPr>
                      </pic:pic>
                    </a:graphicData>
                  </a:graphic>
                </wp:inline>
              </w:drawing>
            </w:r>
          </w:p>
        </w:tc>
        <w:tc>
          <w:tcPr>
            <w:tcW w:w="4621" w:type="dxa"/>
            <w:shd w:val="clear" w:color="auto" w:fill="auto"/>
          </w:tcPr>
          <w:p w14:paraId="7A102875">
            <w:pPr>
              <w:outlineLvl w:val="9"/>
              <w:rPr>
                <w:b/>
                <w:bCs/>
                <w:szCs w:val="21"/>
              </w:rPr>
            </w:pPr>
            <w:r>
              <w:rPr>
                <w:rFonts w:hint="eastAsia"/>
                <w:b/>
                <w:bCs/>
                <w:szCs w:val="21"/>
              </w:rPr>
              <w:drawing>
                <wp:inline distT="0" distB="0" distL="114300" distR="114300">
                  <wp:extent cx="2760345" cy="2072640"/>
                  <wp:effectExtent l="0" t="0" r="1905" b="3810"/>
                  <wp:docPr id="77" name="图片 77" descr="IMG_20241010_16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241010_165437"/>
                          <pic:cNvPicPr>
                            <a:picLocks noChangeAspect="1"/>
                          </pic:cNvPicPr>
                        </pic:nvPicPr>
                        <pic:blipFill>
                          <a:blip r:embed="rId71"/>
                          <a:stretch>
                            <a:fillRect/>
                          </a:stretch>
                        </pic:blipFill>
                        <pic:spPr>
                          <a:xfrm>
                            <a:off x="0" y="0"/>
                            <a:ext cx="2760345" cy="2072640"/>
                          </a:xfrm>
                          <a:prstGeom prst="rect">
                            <a:avLst/>
                          </a:prstGeom>
                        </pic:spPr>
                      </pic:pic>
                    </a:graphicData>
                  </a:graphic>
                </wp:inline>
              </w:drawing>
            </w:r>
          </w:p>
        </w:tc>
      </w:tr>
      <w:tr w14:paraId="36C6C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shd w:val="clear" w:color="auto" w:fill="auto"/>
          </w:tcPr>
          <w:p w14:paraId="181FD317">
            <w:pPr>
              <w:outlineLvl w:val="0"/>
              <w:rPr>
                <w:b/>
                <w:bCs/>
                <w:szCs w:val="21"/>
              </w:rPr>
            </w:pPr>
            <w:bookmarkStart w:id="54" w:name="_Toc23471"/>
            <w:bookmarkStart w:id="55" w:name="_Toc19111"/>
            <w:r>
              <w:rPr>
                <w:rFonts w:hint="eastAsia"/>
                <w:b/>
                <w:bCs/>
                <w:szCs w:val="21"/>
              </w:rPr>
              <w:t>车间外预处理隔油池</w:t>
            </w:r>
            <w:bookmarkEnd w:id="54"/>
            <w:bookmarkEnd w:id="55"/>
          </w:p>
        </w:tc>
        <w:tc>
          <w:tcPr>
            <w:tcW w:w="4621" w:type="dxa"/>
            <w:shd w:val="clear" w:color="auto" w:fill="auto"/>
          </w:tcPr>
          <w:p w14:paraId="17F1EABB">
            <w:pPr>
              <w:outlineLvl w:val="0"/>
              <w:rPr>
                <w:b/>
                <w:bCs/>
                <w:szCs w:val="21"/>
              </w:rPr>
            </w:pPr>
            <w:bookmarkStart w:id="56" w:name="_Toc27701"/>
            <w:bookmarkStart w:id="57" w:name="_Toc648"/>
            <w:r>
              <w:rPr>
                <w:rFonts w:hint="eastAsia"/>
                <w:b/>
                <w:bCs/>
                <w:szCs w:val="21"/>
              </w:rPr>
              <w:t>废水处理站</w:t>
            </w:r>
            <w:bookmarkEnd w:id="56"/>
            <w:bookmarkEnd w:id="57"/>
          </w:p>
        </w:tc>
      </w:tr>
      <w:tr w14:paraId="47F5E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tcPr>
          <w:p w14:paraId="0291AB7E">
            <w:pPr>
              <w:outlineLvl w:val="9"/>
              <w:rPr>
                <w:b/>
                <w:bCs/>
                <w:szCs w:val="21"/>
              </w:rPr>
            </w:pPr>
            <w:r>
              <w:rPr>
                <w:rFonts w:hint="eastAsia"/>
                <w:b/>
                <w:bCs/>
                <w:szCs w:val="21"/>
              </w:rPr>
              <w:drawing>
                <wp:inline distT="0" distB="0" distL="114300" distR="114300">
                  <wp:extent cx="2791460" cy="1861820"/>
                  <wp:effectExtent l="0" t="0" r="8890" b="5080"/>
                  <wp:docPr id="58" name="图片 58" descr="dd81d68f8b7e44e41585ed9530fbb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dd81d68f8b7e44e41585ed9530fbbf9"/>
                          <pic:cNvPicPr>
                            <a:picLocks noChangeAspect="1"/>
                          </pic:cNvPicPr>
                        </pic:nvPicPr>
                        <pic:blipFill>
                          <a:blip r:embed="rId72"/>
                          <a:stretch>
                            <a:fillRect/>
                          </a:stretch>
                        </pic:blipFill>
                        <pic:spPr>
                          <a:xfrm>
                            <a:off x="0" y="0"/>
                            <a:ext cx="2791460" cy="1861820"/>
                          </a:xfrm>
                          <a:prstGeom prst="rect">
                            <a:avLst/>
                          </a:prstGeom>
                        </pic:spPr>
                      </pic:pic>
                    </a:graphicData>
                  </a:graphic>
                </wp:inline>
              </w:drawing>
            </w:r>
          </w:p>
        </w:tc>
        <w:tc>
          <w:tcPr>
            <w:tcW w:w="4621" w:type="dxa"/>
          </w:tcPr>
          <w:p w14:paraId="296CA4AA">
            <w:pPr>
              <w:outlineLvl w:val="9"/>
              <w:rPr>
                <w:b/>
                <w:bCs/>
                <w:szCs w:val="21"/>
              </w:rPr>
            </w:pPr>
            <w:r>
              <w:rPr>
                <w:rFonts w:hint="eastAsia"/>
                <w:b/>
                <w:bCs/>
                <w:szCs w:val="21"/>
              </w:rPr>
              <w:drawing>
                <wp:inline distT="0" distB="0" distL="114300" distR="114300">
                  <wp:extent cx="2792730" cy="1779905"/>
                  <wp:effectExtent l="0" t="0" r="7620" b="10795"/>
                  <wp:docPr id="34" name="图片 34" descr="8ea069b5c8d3a6fd11f67ef4205d6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8ea069b5c8d3a6fd11f67ef4205d6f1"/>
                          <pic:cNvPicPr>
                            <a:picLocks noChangeAspect="1"/>
                          </pic:cNvPicPr>
                        </pic:nvPicPr>
                        <pic:blipFill>
                          <a:blip r:embed="rId73"/>
                          <a:stretch>
                            <a:fillRect/>
                          </a:stretch>
                        </pic:blipFill>
                        <pic:spPr>
                          <a:xfrm>
                            <a:off x="0" y="0"/>
                            <a:ext cx="2792730" cy="1779905"/>
                          </a:xfrm>
                          <a:prstGeom prst="rect">
                            <a:avLst/>
                          </a:prstGeom>
                        </pic:spPr>
                      </pic:pic>
                    </a:graphicData>
                  </a:graphic>
                </wp:inline>
              </w:drawing>
            </w:r>
          </w:p>
        </w:tc>
      </w:tr>
      <w:tr w14:paraId="78500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Pr>
          <w:p w14:paraId="3FCB60DF">
            <w:pPr>
              <w:jc w:val="center"/>
              <w:outlineLvl w:val="0"/>
              <w:rPr>
                <w:b/>
                <w:bCs/>
                <w:szCs w:val="21"/>
              </w:rPr>
            </w:pPr>
            <w:bookmarkStart w:id="58" w:name="_Toc5822"/>
            <w:bookmarkStart w:id="59" w:name="_Toc21624"/>
            <w:r>
              <w:rPr>
                <w:rFonts w:hint="eastAsia"/>
                <w:b/>
                <w:bCs/>
                <w:szCs w:val="21"/>
              </w:rPr>
              <w:t>现有工程（餐具洗涤车间）</w:t>
            </w:r>
            <w:bookmarkEnd w:id="58"/>
            <w:bookmarkEnd w:id="59"/>
          </w:p>
        </w:tc>
      </w:tr>
      <w:tr w14:paraId="21308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1" w:type="dxa"/>
            <w:shd w:val="clear" w:color="auto" w:fill="auto"/>
          </w:tcPr>
          <w:p w14:paraId="325B36A2">
            <w:pPr>
              <w:outlineLvl w:val="9"/>
              <w:rPr>
                <w:b/>
                <w:bCs/>
                <w:szCs w:val="21"/>
              </w:rPr>
            </w:pPr>
            <w:r>
              <w:rPr>
                <w:rFonts w:hint="eastAsia"/>
                <w:b/>
                <w:bCs/>
                <w:szCs w:val="21"/>
              </w:rPr>
              <w:drawing>
                <wp:inline distT="0" distB="0" distL="114300" distR="114300">
                  <wp:extent cx="2778760" cy="2083435"/>
                  <wp:effectExtent l="0" t="0" r="2540" b="12065"/>
                  <wp:docPr id="78" name="图片 78" descr="583074dc454e49ce5298a0741e8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583074dc454e49ce5298a0741e80256"/>
                          <pic:cNvPicPr>
                            <a:picLocks noChangeAspect="1"/>
                          </pic:cNvPicPr>
                        </pic:nvPicPr>
                        <pic:blipFill>
                          <a:blip r:embed="rId74"/>
                          <a:stretch>
                            <a:fillRect/>
                          </a:stretch>
                        </pic:blipFill>
                        <pic:spPr>
                          <a:xfrm>
                            <a:off x="0" y="0"/>
                            <a:ext cx="2778760" cy="2083435"/>
                          </a:xfrm>
                          <a:prstGeom prst="rect">
                            <a:avLst/>
                          </a:prstGeom>
                        </pic:spPr>
                      </pic:pic>
                    </a:graphicData>
                  </a:graphic>
                </wp:inline>
              </w:drawing>
            </w:r>
          </w:p>
        </w:tc>
        <w:tc>
          <w:tcPr>
            <w:tcW w:w="4621" w:type="dxa"/>
            <w:shd w:val="clear" w:color="auto" w:fill="auto"/>
          </w:tcPr>
          <w:p w14:paraId="704BA61D">
            <w:pPr>
              <w:outlineLvl w:val="9"/>
              <w:rPr>
                <w:b/>
                <w:bCs/>
                <w:szCs w:val="21"/>
              </w:rPr>
            </w:pPr>
            <w:r>
              <w:rPr>
                <w:rFonts w:hint="eastAsia"/>
                <w:b/>
                <w:bCs/>
                <w:szCs w:val="21"/>
              </w:rPr>
              <w:drawing>
                <wp:inline distT="0" distB="0" distL="114300" distR="114300">
                  <wp:extent cx="2781300" cy="2058670"/>
                  <wp:effectExtent l="0" t="0" r="0" b="17780"/>
                  <wp:docPr id="79" name="图片 79" descr="dbe14d357a300cd6830f2870f4813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dbe14d357a300cd6830f2870f48132e"/>
                          <pic:cNvPicPr>
                            <a:picLocks noChangeAspect="1"/>
                          </pic:cNvPicPr>
                        </pic:nvPicPr>
                        <pic:blipFill>
                          <a:blip r:embed="rId75"/>
                          <a:stretch>
                            <a:fillRect/>
                          </a:stretch>
                        </pic:blipFill>
                        <pic:spPr>
                          <a:xfrm>
                            <a:off x="0" y="0"/>
                            <a:ext cx="2781300" cy="2058670"/>
                          </a:xfrm>
                          <a:prstGeom prst="rect">
                            <a:avLst/>
                          </a:prstGeom>
                        </pic:spPr>
                      </pic:pic>
                    </a:graphicData>
                  </a:graphic>
                </wp:inline>
              </w:drawing>
            </w:r>
          </w:p>
        </w:tc>
      </w:tr>
      <w:tr w14:paraId="72C43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42" w:type="dxa"/>
            <w:gridSpan w:val="2"/>
          </w:tcPr>
          <w:p w14:paraId="5DED46DB">
            <w:pPr>
              <w:jc w:val="center"/>
              <w:outlineLvl w:val="0"/>
              <w:rPr>
                <w:b/>
                <w:bCs/>
                <w:szCs w:val="21"/>
              </w:rPr>
            </w:pPr>
            <w:bookmarkStart w:id="60" w:name="_Toc27080"/>
            <w:bookmarkStart w:id="61" w:name="_Toc25821"/>
            <w:r>
              <w:rPr>
                <w:rFonts w:hint="eastAsia"/>
                <w:b/>
                <w:bCs/>
                <w:szCs w:val="21"/>
              </w:rPr>
              <w:t>水房</w:t>
            </w:r>
            <w:bookmarkEnd w:id="60"/>
            <w:bookmarkEnd w:id="61"/>
          </w:p>
        </w:tc>
      </w:tr>
    </w:tbl>
    <w:p w14:paraId="6CFD16F3">
      <w:pPr>
        <w:outlineLvl w:val="9"/>
        <w:rPr>
          <w:b/>
          <w:bCs/>
          <w:sz w:val="24"/>
        </w:rPr>
      </w:pPr>
    </w:p>
    <w:p w14:paraId="44666209">
      <w:pPr>
        <w:jc w:val="center"/>
        <w:outlineLvl w:val="9"/>
      </w:pPr>
    </w:p>
    <w:p w14:paraId="26CBD38E"/>
    <w:sectPr>
      <w:pgSz w:w="11906" w:h="16838"/>
      <w:pgMar w:top="1080" w:right="1440" w:bottom="1080" w:left="1440"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panose1 w:val="02000000000000000000"/>
    <w:charset w:val="86"/>
    <w:family w:val="script"/>
    <w:pitch w:val="default"/>
    <w:sig w:usb0="A00002BF" w:usb1="38CF7CFA" w:usb2="00082016" w:usb3="00000000" w:csb0="0004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DCE89">
    <w:pPr>
      <w:pStyle w:val="11"/>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1458C0">
    <w:pPr>
      <w:pStyle w:val="11"/>
      <w:framePr w:wrap="around" w:vAnchor="text" w:hAnchor="margin" w:xAlign="center" w:y="1"/>
      <w:rPr>
        <w:rStyle w:val="23"/>
      </w:rPr>
    </w:pPr>
    <w:r>
      <w:fldChar w:fldCharType="begin"/>
    </w:r>
    <w:r>
      <w:rPr>
        <w:rStyle w:val="23"/>
      </w:rPr>
      <w:instrText xml:space="preserve">PAGE  </w:instrText>
    </w:r>
    <w:r>
      <w:fldChar w:fldCharType="end"/>
    </w:r>
  </w:p>
  <w:p w14:paraId="1E9DAA06">
    <w:pPr>
      <w:pStyle w:val="11"/>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9C6BF">
    <w:pPr>
      <w:pStyle w:val="11"/>
      <w:jc w:val="center"/>
    </w:pPr>
    <w:r>
      <w:fldChar w:fldCharType="begin"/>
    </w:r>
    <w:r>
      <w:instrText xml:space="preserve">PAGE   \* MERGEFORMAT</w:instrText>
    </w:r>
    <w:r>
      <w:fldChar w:fldCharType="separate"/>
    </w:r>
    <w:r>
      <w:rPr>
        <w:lang w:val="zh-CN"/>
      </w:rPr>
      <w:t>34</w:t>
    </w:r>
    <w:r>
      <w:rPr>
        <w:lang w:val="zh-CN"/>
      </w:rPr>
      <w:fldChar w:fldCharType="end"/>
    </w:r>
  </w:p>
  <w:p w14:paraId="627A7AC8">
    <w:pPr>
      <w:pStyle w:val="11"/>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3560E1">
    <w:pPr>
      <w:pStyle w:val="11"/>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1F5F9C1"/>
    <w:multiLevelType w:val="singleLevel"/>
    <w:tmpl w:val="E1F5F9C1"/>
    <w:lvl w:ilvl="0" w:tentative="0">
      <w:start w:val="4"/>
      <w:numFmt w:val="decimal"/>
      <w:suff w:val="nothing"/>
      <w:lvlText w:val="%1、"/>
      <w:lvlJc w:val="left"/>
    </w:lvl>
  </w:abstractNum>
  <w:abstractNum w:abstractNumId="1">
    <w:nsid w:val="17E4F63B"/>
    <w:multiLevelType w:val="singleLevel"/>
    <w:tmpl w:val="17E4F63B"/>
    <w:lvl w:ilvl="0" w:tentative="0">
      <w:start w:val="1"/>
      <w:numFmt w:val="decimal"/>
      <w:suff w:val="nothing"/>
      <w:lvlText w:val="%1、"/>
      <w:lvlJc w:val="left"/>
    </w:lvl>
  </w:abstractNum>
  <w:abstractNum w:abstractNumId="2">
    <w:nsid w:val="209E69D2"/>
    <w:multiLevelType w:val="singleLevel"/>
    <w:tmpl w:val="209E69D2"/>
    <w:lvl w:ilvl="0" w:tentative="0">
      <w:start w:val="4"/>
      <w:numFmt w:val="decimal"/>
      <w:suff w:val="nothing"/>
      <w:lvlText w:val="%1、"/>
      <w:lvlJc w:val="left"/>
    </w:lvl>
  </w:abstractNum>
  <w:abstractNum w:abstractNumId="3">
    <w:nsid w:val="55E9D2BA"/>
    <w:multiLevelType w:val="multilevel"/>
    <w:tmpl w:val="55E9D2BA"/>
    <w:lvl w:ilvl="0" w:tentative="0">
      <w:start w:val="1"/>
      <w:numFmt w:val="decimal"/>
      <w:suff w:val="nothing"/>
      <w:lvlText w:val="（%1）"/>
      <w:lvlJc w:val="left"/>
      <w:pPr>
        <w:ind w:left="0" w:firstLine="0"/>
      </w:pPr>
      <w:rPr>
        <w:rFonts w:hint="default"/>
      </w:rPr>
    </w:lvl>
    <w:lvl w:ilvl="1" w:tentative="0">
      <w:start w:val="1"/>
      <w:numFmt w:val="decimal"/>
      <w:suff w:val="nothing"/>
      <w:lvlText w:val="（%1.%2）"/>
      <w:lvlJc w:val="left"/>
      <w:pPr>
        <w:ind w:left="0" w:firstLine="0"/>
      </w:pPr>
      <w:rPr>
        <w:rFonts w:hint="default"/>
      </w:rPr>
    </w:lvl>
    <w:lvl w:ilvl="2" w:tentative="0">
      <w:start w:val="1"/>
      <w:numFmt w:val="decimal"/>
      <w:suff w:val="nothing"/>
      <w:lvlText w:val="（%1.%2.%3）"/>
      <w:lvlJc w:val="left"/>
      <w:pPr>
        <w:ind w:left="0" w:firstLine="0"/>
      </w:pPr>
      <w:rPr>
        <w:rFonts w:hint="default"/>
      </w:rPr>
    </w:lvl>
    <w:lvl w:ilvl="3" w:tentative="0">
      <w:start w:val="1"/>
      <w:numFmt w:val="decimal"/>
      <w:suff w:val="nothing"/>
      <w:lvlText w:val="（%1.%2.%3.%4）"/>
      <w:lvlJc w:val="left"/>
      <w:pPr>
        <w:ind w:left="0" w:firstLine="0"/>
      </w:pPr>
      <w:rPr>
        <w:rFonts w:hint="default"/>
      </w:rPr>
    </w:lvl>
    <w:lvl w:ilvl="4" w:tentative="0">
      <w:start w:val="1"/>
      <w:numFmt w:val="decimal"/>
      <w:suff w:val="nothing"/>
      <w:lvlText w:val="（%1.%2.%3.%4.%5）"/>
      <w:lvlJc w:val="left"/>
      <w:pPr>
        <w:ind w:left="0" w:firstLine="0"/>
      </w:pPr>
      <w:rPr>
        <w:rFonts w:hint="default"/>
      </w:rPr>
    </w:lvl>
    <w:lvl w:ilvl="5" w:tentative="0">
      <w:start w:val="1"/>
      <w:numFmt w:val="decimal"/>
      <w:suff w:val="nothing"/>
      <w:lvlText w:val="（%1.%2.%3.%4.%5.%6）"/>
      <w:lvlJc w:val="left"/>
      <w:pPr>
        <w:ind w:left="0" w:firstLine="0"/>
      </w:pPr>
      <w:rPr>
        <w:rFonts w:hint="default"/>
      </w:rPr>
    </w:lvl>
    <w:lvl w:ilvl="6" w:tentative="0">
      <w:start w:val="1"/>
      <w:numFmt w:val="decimal"/>
      <w:suff w:val="nothing"/>
      <w:lvlText w:val="（%1.%2.%3.%4.%5.%6.%7）"/>
      <w:lvlJc w:val="left"/>
      <w:pPr>
        <w:ind w:left="0" w:firstLine="0"/>
      </w:pPr>
      <w:rPr>
        <w:rFonts w:hint="default"/>
      </w:rPr>
    </w:lvl>
    <w:lvl w:ilvl="7" w:tentative="0">
      <w:start w:val="1"/>
      <w:numFmt w:val="decimal"/>
      <w:suff w:val="nothing"/>
      <w:lvlText w:val="（%1.%2.%3.%4.%5.%6.%7.%8）"/>
      <w:lvlJc w:val="left"/>
      <w:pPr>
        <w:ind w:left="0" w:firstLine="0"/>
      </w:pPr>
      <w:rPr>
        <w:rFonts w:hint="default"/>
      </w:rPr>
    </w:lvl>
    <w:lvl w:ilvl="8" w:tentative="0">
      <w:start w:val="1"/>
      <w:numFmt w:val="decimal"/>
      <w:suff w:val="nothing"/>
      <w:lvlText w:val="（%1.%2.%3.%4.%5.%6.%7.%8.%9）"/>
      <w:lvlJc w:val="left"/>
      <w:pPr>
        <w:ind w:left="0" w:firstLine="0"/>
      </w:pPr>
      <w:rPr>
        <w:rFonts w:hint="default"/>
      </w:rPr>
    </w:lvl>
  </w:abstractNum>
  <w:abstractNum w:abstractNumId="4">
    <w:nsid w:val="5E272CB0"/>
    <w:multiLevelType w:val="singleLevel"/>
    <w:tmpl w:val="5E272CB0"/>
    <w:lvl w:ilvl="0" w:tentative="0">
      <w:start w:val="6"/>
      <w:numFmt w:val="decimal"/>
      <w:suff w:val="nothing"/>
      <w:lvlText w:val="（%1）"/>
      <w:lvlJc w:val="left"/>
    </w:lvl>
  </w:abstractNum>
  <w:abstractNum w:abstractNumId="5">
    <w:nsid w:val="60807BB7"/>
    <w:multiLevelType w:val="singleLevel"/>
    <w:tmpl w:val="60807BB7"/>
    <w:lvl w:ilvl="0" w:tentative="0">
      <w:start w:val="5"/>
      <w:numFmt w:val="decimal"/>
      <w:suff w:val="nothing"/>
      <w:lvlText w:val="%1、"/>
      <w:lvlJc w:val="left"/>
    </w:lvl>
  </w:abstractNum>
  <w:abstractNum w:abstractNumId="6">
    <w:nsid w:val="790B17F3"/>
    <w:multiLevelType w:val="singleLevel"/>
    <w:tmpl w:val="790B17F3"/>
    <w:lvl w:ilvl="0" w:tentative="0">
      <w:start w:val="4"/>
      <w:numFmt w:val="chineseCounting"/>
      <w:suff w:val="nothing"/>
      <w:lvlText w:val="%1、"/>
      <w:lvlJc w:val="left"/>
      <w:rPr>
        <w:rFonts w:hint="eastAsia"/>
      </w:rPr>
    </w:lvl>
  </w:abstractNum>
  <w:num w:numId="1">
    <w:abstractNumId w:val="1"/>
  </w:num>
  <w:num w:numId="2">
    <w:abstractNumId w:val="3"/>
  </w:num>
  <w:num w:numId="3">
    <w:abstractNumId w:val="5"/>
  </w:num>
  <w:num w:numId="4">
    <w:abstractNumId w:val="2"/>
  </w:num>
  <w:num w:numId="5">
    <w:abstractNumId w:val="6"/>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zM1NjcwNzYwNjM1MzJmNWJjOWRjZGUwMmM5NTA2MmYifQ=="/>
  </w:docVars>
  <w:rsids>
    <w:rsidRoot w:val="76501232"/>
    <w:rsid w:val="00106AB4"/>
    <w:rsid w:val="00285F82"/>
    <w:rsid w:val="003525FF"/>
    <w:rsid w:val="003E782B"/>
    <w:rsid w:val="004F3281"/>
    <w:rsid w:val="006D4FC9"/>
    <w:rsid w:val="007E69FC"/>
    <w:rsid w:val="009B2EC1"/>
    <w:rsid w:val="00CB4939"/>
    <w:rsid w:val="00E350F0"/>
    <w:rsid w:val="04CF01C5"/>
    <w:rsid w:val="0942321A"/>
    <w:rsid w:val="098868BD"/>
    <w:rsid w:val="0F9B2D55"/>
    <w:rsid w:val="14CF2D60"/>
    <w:rsid w:val="163D0CAC"/>
    <w:rsid w:val="1B6D2510"/>
    <w:rsid w:val="1B7E0E7F"/>
    <w:rsid w:val="1EE46209"/>
    <w:rsid w:val="205C4C2E"/>
    <w:rsid w:val="28F73631"/>
    <w:rsid w:val="329C029F"/>
    <w:rsid w:val="32BD2920"/>
    <w:rsid w:val="4061546E"/>
    <w:rsid w:val="468C6C84"/>
    <w:rsid w:val="47301BE7"/>
    <w:rsid w:val="494F7A86"/>
    <w:rsid w:val="523F6645"/>
    <w:rsid w:val="59835FCC"/>
    <w:rsid w:val="5F670075"/>
    <w:rsid w:val="636710DA"/>
    <w:rsid w:val="67B37AAD"/>
    <w:rsid w:val="6E8C503A"/>
    <w:rsid w:val="737C5C05"/>
    <w:rsid w:val="76501232"/>
    <w:rsid w:val="76FF2918"/>
    <w:rsid w:val="77212A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link w:val="26"/>
    <w:semiHidden/>
    <w:unhideWhenUsed/>
    <w:qFormat/>
    <w:uiPriority w:val="0"/>
    <w:pPr>
      <w:keepNext/>
      <w:keepLines/>
      <w:adjustRightInd w:val="0"/>
      <w:snapToGrid w:val="0"/>
      <w:spacing w:line="360" w:lineRule="auto"/>
      <w:outlineLvl w:val="1"/>
    </w:pPr>
    <w:rPr>
      <w:rFonts w:ascii="Arial" w:hAnsi="Arial"/>
      <w:b/>
      <w:bCs/>
      <w:sz w:val="24"/>
      <w:szCs w:val="32"/>
    </w:rPr>
  </w:style>
  <w:style w:type="paragraph" w:styleId="4">
    <w:name w:val="heading 3"/>
    <w:basedOn w:val="1"/>
    <w:next w:val="1"/>
    <w:unhideWhenUsed/>
    <w:qFormat/>
    <w:uiPriority w:val="0"/>
    <w:pPr>
      <w:keepNext/>
      <w:autoSpaceDE w:val="0"/>
      <w:autoSpaceDN w:val="0"/>
      <w:adjustRightInd w:val="0"/>
      <w:snapToGrid w:val="0"/>
      <w:spacing w:line="360" w:lineRule="auto"/>
      <w:jc w:val="left"/>
      <w:textAlignment w:val="baseline"/>
      <w:outlineLvl w:val="2"/>
    </w:pPr>
    <w:rPr>
      <w:rFonts w:cs="Arial"/>
      <w:b/>
      <w:snapToGrid w:val="0"/>
      <w:spacing w:val="4"/>
      <w:kern w:val="0"/>
      <w:sz w:val="24"/>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5">
    <w:name w:val="Normal Indent"/>
    <w:basedOn w:val="1"/>
    <w:qFormat/>
    <w:uiPriority w:val="0"/>
    <w:pPr>
      <w:ind w:firstLine="420" w:firstLineChars="200"/>
    </w:pPr>
  </w:style>
  <w:style w:type="paragraph" w:styleId="6">
    <w:name w:val="caption"/>
    <w:basedOn w:val="1"/>
    <w:next w:val="1"/>
    <w:qFormat/>
    <w:uiPriority w:val="0"/>
    <w:pPr>
      <w:adjustRightInd w:val="0"/>
      <w:snapToGrid w:val="0"/>
      <w:jc w:val="center"/>
    </w:pPr>
    <w:rPr>
      <w:rFonts w:ascii="Calibri" w:hAnsi="Calibri"/>
      <w:b/>
      <w:color w:val="000000"/>
      <w:sz w:val="24"/>
      <w:szCs w:val="21"/>
    </w:rPr>
  </w:style>
  <w:style w:type="paragraph" w:styleId="7">
    <w:name w:val="annotation text"/>
    <w:basedOn w:val="1"/>
    <w:link w:val="52"/>
    <w:unhideWhenUsed/>
    <w:qFormat/>
    <w:uiPriority w:val="0"/>
    <w:pPr>
      <w:jc w:val="left"/>
    </w:pPr>
    <w:rPr>
      <w:kern w:val="0"/>
      <w:sz w:val="24"/>
    </w:rPr>
  </w:style>
  <w:style w:type="paragraph" w:styleId="8">
    <w:name w:val="Body Text"/>
    <w:basedOn w:val="1"/>
    <w:next w:val="1"/>
    <w:qFormat/>
    <w:uiPriority w:val="0"/>
    <w:pPr>
      <w:widowControl/>
      <w:snapToGrid w:val="0"/>
      <w:spacing w:before="60" w:after="160" w:line="259" w:lineRule="auto"/>
      <w:ind w:right="113"/>
    </w:pPr>
    <w:rPr>
      <w:kern w:val="0"/>
      <w:sz w:val="18"/>
      <w:szCs w:val="20"/>
    </w:rPr>
  </w:style>
  <w:style w:type="paragraph" w:styleId="9">
    <w:name w:val="Body Text Indent"/>
    <w:basedOn w:val="1"/>
    <w:next w:val="10"/>
    <w:qFormat/>
    <w:uiPriority w:val="0"/>
    <w:pPr>
      <w:spacing w:after="120"/>
      <w:ind w:left="420" w:leftChars="200"/>
    </w:pPr>
  </w:style>
  <w:style w:type="paragraph" w:styleId="10">
    <w:name w:val="Body Text Indent 2"/>
    <w:basedOn w:val="1"/>
    <w:next w:val="1"/>
    <w:qFormat/>
    <w:uiPriority w:val="0"/>
    <w:pPr>
      <w:spacing w:before="60" w:beforeLines="0" w:after="120" w:afterLines="0" w:line="480" w:lineRule="auto"/>
      <w:ind w:left="420" w:firstLine="482"/>
    </w:pPr>
    <w:rPr>
      <w:kern w:val="0"/>
      <w:sz w:val="18"/>
    </w:rPr>
  </w:style>
  <w:style w:type="paragraph" w:styleId="11">
    <w:name w:val="footer"/>
    <w:basedOn w:val="1"/>
    <w:qFormat/>
    <w:uiPriority w:val="99"/>
    <w:pPr>
      <w:tabs>
        <w:tab w:val="center" w:pos="4153"/>
        <w:tab w:val="right" w:pos="8306"/>
      </w:tabs>
      <w:snapToGrid w:val="0"/>
      <w:jc w:val="left"/>
    </w:pPr>
    <w:rPr>
      <w:kern w:val="0"/>
      <w:sz w:val="18"/>
      <w:szCs w:val="20"/>
    </w:rPr>
  </w:style>
  <w:style w:type="paragraph" w:styleId="12">
    <w:name w:val="header"/>
    <w:basedOn w:val="1"/>
    <w:next w:val="13"/>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13">
    <w:name w:val="样式5"/>
    <w:basedOn w:val="1"/>
    <w:qFormat/>
    <w:uiPriority w:val="0"/>
    <w:pPr>
      <w:snapToGrid w:val="0"/>
      <w:spacing w:line="360" w:lineRule="auto"/>
      <w:ind w:firstLine="510"/>
    </w:pPr>
    <w:rPr>
      <w:sz w:val="24"/>
    </w:rPr>
  </w:style>
  <w:style w:type="paragraph" w:styleId="14">
    <w:name w:val="toc 1"/>
    <w:basedOn w:val="1"/>
    <w:next w:val="1"/>
    <w:qFormat/>
    <w:uiPriority w:val="0"/>
  </w:style>
  <w:style w:type="paragraph" w:styleId="15">
    <w:name w:val="List"/>
    <w:basedOn w:val="1"/>
    <w:next w:val="1"/>
    <w:qFormat/>
    <w:uiPriority w:val="0"/>
    <w:pPr>
      <w:ind w:left="200" w:hanging="200" w:hangingChars="200"/>
      <w:contextualSpacing/>
    </w:pPr>
  </w:style>
  <w:style w:type="paragraph" w:styleId="16">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7">
    <w:name w:val="annotation subject"/>
    <w:basedOn w:val="7"/>
    <w:next w:val="7"/>
    <w:link w:val="53"/>
    <w:qFormat/>
    <w:uiPriority w:val="0"/>
    <w:rPr>
      <w:b/>
      <w:bCs/>
      <w:kern w:val="2"/>
      <w:sz w:val="21"/>
    </w:rPr>
  </w:style>
  <w:style w:type="paragraph" w:styleId="18">
    <w:name w:val="Body Text First Indent"/>
    <w:basedOn w:val="8"/>
    <w:next w:val="19"/>
    <w:qFormat/>
    <w:uiPriority w:val="0"/>
    <w:pPr>
      <w:widowControl w:val="0"/>
      <w:snapToGrid/>
      <w:spacing w:before="0" w:after="120" w:line="240" w:lineRule="auto"/>
      <w:ind w:right="0" w:firstLine="420" w:firstLineChars="100"/>
    </w:pPr>
    <w:rPr>
      <w:rFonts w:ascii="Calibri" w:hAnsi="Calibri"/>
      <w:kern w:val="2"/>
      <w:sz w:val="21"/>
      <w:szCs w:val="24"/>
    </w:rPr>
  </w:style>
  <w:style w:type="paragraph" w:styleId="19">
    <w:name w:val="Body Text First Indent 2"/>
    <w:basedOn w:val="9"/>
    <w:next w:val="1"/>
    <w:unhideWhenUsed/>
    <w:qFormat/>
    <w:uiPriority w:val="99"/>
    <w:pPr>
      <w:ind w:firstLine="420" w:firstLineChars="200"/>
    </w:pPr>
    <w:rPr>
      <w:rFonts w:ascii="Calibri" w:hAnsi="Calibri"/>
      <w:szCs w:val="22"/>
    </w:rPr>
  </w:style>
  <w:style w:type="table" w:styleId="21">
    <w:name w:val="Table Grid"/>
    <w:basedOn w:val="20"/>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page number"/>
    <w:basedOn w:val="22"/>
    <w:qFormat/>
    <w:uiPriority w:val="0"/>
  </w:style>
  <w:style w:type="character" w:styleId="24">
    <w:name w:val="annotation reference"/>
    <w:basedOn w:val="22"/>
    <w:qFormat/>
    <w:uiPriority w:val="0"/>
    <w:rPr>
      <w:sz w:val="21"/>
      <w:szCs w:val="21"/>
    </w:rPr>
  </w:style>
  <w:style w:type="paragraph" w:customStyle="1" w:styleId="25">
    <w:name w:val="明显引用1"/>
    <w:next w:val="1"/>
    <w:qFormat/>
    <w:uiPriority w:val="0"/>
    <w:pPr>
      <w:wordWrap w:val="0"/>
      <w:spacing w:before="360" w:after="360"/>
      <w:ind w:left="950" w:right="950"/>
      <w:jc w:val="center"/>
    </w:pPr>
    <w:rPr>
      <w:rFonts w:ascii="Times New Roman" w:hAnsi="Times New Roman" w:eastAsia="宋体" w:cs="Times New Roman"/>
      <w:i/>
      <w:sz w:val="21"/>
      <w:lang w:val="en-US" w:eastAsia="zh-CN" w:bidi="ar-SA"/>
    </w:rPr>
  </w:style>
  <w:style w:type="character" w:customStyle="1" w:styleId="26">
    <w:name w:val="标题 2 字符"/>
    <w:link w:val="3"/>
    <w:qFormat/>
    <w:uiPriority w:val="9"/>
    <w:rPr>
      <w:rFonts w:ascii="Arial" w:hAnsi="Arial" w:eastAsia="宋体"/>
      <w:b/>
      <w:bCs/>
      <w:sz w:val="30"/>
      <w:szCs w:val="32"/>
    </w:rPr>
  </w:style>
  <w:style w:type="paragraph" w:customStyle="1" w:styleId="27">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sz w:val="24"/>
    </w:rPr>
  </w:style>
  <w:style w:type="paragraph" w:customStyle="1" w:styleId="28">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29">
    <w:name w:val="ENFI正文"/>
    <w:basedOn w:val="1"/>
    <w:qFormat/>
    <w:uiPriority w:val="0"/>
    <w:pPr>
      <w:adjustRightInd w:val="0"/>
      <w:snapToGrid w:val="0"/>
      <w:spacing w:line="400" w:lineRule="exact"/>
      <w:ind w:firstLine="567"/>
    </w:pPr>
    <w:rPr>
      <w:rFonts w:eastAsia="仿宋_GB2312"/>
      <w:color w:val="000000"/>
      <w:sz w:val="24"/>
      <w:szCs w:val="22"/>
    </w:rPr>
  </w:style>
  <w:style w:type="paragraph" w:customStyle="1" w:styleId="30">
    <w:name w:val="表头"/>
    <w:basedOn w:val="1"/>
    <w:next w:val="1"/>
    <w:qFormat/>
    <w:uiPriority w:val="0"/>
    <w:pPr>
      <w:snapToGrid w:val="0"/>
      <w:spacing w:before="50" w:beforeLines="50" w:after="50" w:afterLines="50"/>
      <w:jc w:val="center"/>
    </w:pPr>
    <w:rPr>
      <w:b/>
    </w:rPr>
  </w:style>
  <w:style w:type="paragraph" w:customStyle="1" w:styleId="31">
    <w:name w:val="报告正文"/>
    <w:basedOn w:val="1"/>
    <w:qFormat/>
    <w:uiPriority w:val="0"/>
    <w:pPr>
      <w:adjustRightInd w:val="0"/>
      <w:snapToGrid w:val="0"/>
      <w:spacing w:line="360" w:lineRule="auto"/>
      <w:ind w:firstLine="200" w:firstLineChars="200"/>
    </w:pPr>
    <w:rPr>
      <w:sz w:val="24"/>
    </w:rPr>
  </w:style>
  <w:style w:type="paragraph" w:customStyle="1" w:styleId="32">
    <w:name w:val="表格文字"/>
    <w:basedOn w:val="1"/>
    <w:qFormat/>
    <w:uiPriority w:val="0"/>
    <w:pPr>
      <w:widowControl/>
      <w:adjustRightInd w:val="0"/>
      <w:snapToGrid w:val="0"/>
      <w:jc w:val="center"/>
    </w:pPr>
    <w:rPr>
      <w:kern w:val="0"/>
      <w:sz w:val="20"/>
      <w:szCs w:val="20"/>
    </w:rPr>
  </w:style>
  <w:style w:type="paragraph" w:customStyle="1" w:styleId="33">
    <w:name w:val="Default"/>
    <w:basedOn w:val="34"/>
    <w:next w:val="15"/>
    <w:qFormat/>
    <w:uiPriority w:val="0"/>
    <w:pPr>
      <w:autoSpaceDE w:val="0"/>
      <w:autoSpaceDN w:val="0"/>
      <w:adjustRightInd w:val="0"/>
    </w:pPr>
    <w:rPr>
      <w:rFonts w:hAnsi="Times New Roman" w:cs="宋体"/>
      <w:color w:val="000000"/>
      <w:szCs w:val="24"/>
    </w:rPr>
  </w:style>
  <w:style w:type="paragraph" w:customStyle="1" w:styleId="34">
    <w:name w:val="纯文本1"/>
    <w:next w:val="1"/>
    <w:qFormat/>
    <w:uiPriority w:val="0"/>
    <w:pPr>
      <w:widowControl w:val="0"/>
      <w:jc w:val="both"/>
    </w:pPr>
    <w:rPr>
      <w:rFonts w:ascii="宋体" w:hAnsi="Courier New" w:eastAsia="宋体" w:cs="Times New Roman"/>
      <w:kern w:val="2"/>
      <w:sz w:val="24"/>
      <w:lang w:val="en-US" w:eastAsia="zh-CN" w:bidi="ar-SA"/>
    </w:rPr>
  </w:style>
  <w:style w:type="paragraph" w:customStyle="1" w:styleId="35">
    <w:name w:val="表中文字"/>
    <w:basedOn w:val="1"/>
    <w:qFormat/>
    <w:uiPriority w:val="0"/>
    <w:pPr>
      <w:adjustRightInd w:val="0"/>
      <w:snapToGrid w:val="0"/>
      <w:jc w:val="center"/>
    </w:pPr>
    <w:rPr>
      <w:szCs w:val="20"/>
    </w:rPr>
  </w:style>
  <w:style w:type="paragraph" w:customStyle="1" w:styleId="36">
    <w:name w:val="正文首行缩进 2 + Times New Roman"/>
    <w:basedOn w:val="1"/>
    <w:qFormat/>
    <w:uiPriority w:val="0"/>
    <w:pPr>
      <w:tabs>
        <w:tab w:val="left" w:pos="0"/>
        <w:tab w:val="left" w:pos="870"/>
        <w:tab w:val="left" w:pos="3150"/>
      </w:tabs>
      <w:autoSpaceDE w:val="0"/>
      <w:autoSpaceDN w:val="0"/>
      <w:spacing w:line="360" w:lineRule="auto"/>
      <w:ind w:firstLine="480" w:firstLineChars="200"/>
    </w:pPr>
    <w:rPr>
      <w:kern w:val="0"/>
      <w:sz w:val="24"/>
      <w:szCs w:val="20"/>
    </w:rPr>
  </w:style>
  <w:style w:type="paragraph" w:customStyle="1" w:styleId="37">
    <w:name w:val="特殊标题３"/>
    <w:basedOn w:val="1"/>
    <w:qFormat/>
    <w:uiPriority w:val="0"/>
    <w:pPr>
      <w:overflowPunct w:val="0"/>
      <w:autoSpaceDE w:val="0"/>
      <w:autoSpaceDN w:val="0"/>
      <w:spacing w:line="360" w:lineRule="auto"/>
    </w:pPr>
    <w:rPr>
      <w:rFonts w:eastAsia="仿宋_GB2312"/>
      <w:sz w:val="28"/>
    </w:rPr>
  </w:style>
  <w:style w:type="paragraph" w:customStyle="1" w:styleId="38">
    <w:name w:val="图表标题"/>
    <w:next w:val="1"/>
    <w:qFormat/>
    <w:uiPriority w:val="0"/>
    <w:pPr>
      <w:spacing w:line="360" w:lineRule="auto"/>
      <w:jc w:val="center"/>
    </w:pPr>
    <w:rPr>
      <w:rFonts w:ascii="Times New Roman" w:hAnsi="Times New Roman" w:eastAsia="黑体" w:cs="Times New Roman"/>
      <w:kern w:val="2"/>
      <w:sz w:val="24"/>
      <w:szCs w:val="22"/>
      <w:lang w:val="en-US" w:eastAsia="zh-CN" w:bidi="ar-SA"/>
    </w:rPr>
  </w:style>
  <w:style w:type="paragraph" w:customStyle="1" w:styleId="39">
    <w:name w:val="表文"/>
    <w:basedOn w:val="1"/>
    <w:qFormat/>
    <w:uiPriority w:val="0"/>
    <w:pPr>
      <w:tabs>
        <w:tab w:val="left" w:pos="1021"/>
      </w:tabs>
      <w:jc w:val="center"/>
    </w:pPr>
    <w:rPr>
      <w:kern w:val="0"/>
      <w:position w:val="-23"/>
      <w:szCs w:val="21"/>
    </w:rPr>
  </w:style>
  <w:style w:type="paragraph" w:customStyle="1" w:styleId="40">
    <w:name w:val="报告书正文"/>
    <w:basedOn w:val="1"/>
    <w:qFormat/>
    <w:uiPriority w:val="0"/>
    <w:pPr>
      <w:spacing w:line="360" w:lineRule="auto"/>
      <w:ind w:firstLine="200" w:firstLineChars="200"/>
    </w:pPr>
    <w:rPr>
      <w:kern w:val="0"/>
      <w:sz w:val="24"/>
    </w:rPr>
  </w:style>
  <w:style w:type="paragraph" w:customStyle="1" w:styleId="41">
    <w:name w:val="样式 样式 首行缩进:  2 字符 + 首行缩进:  2 字符"/>
    <w:basedOn w:val="1"/>
    <w:next w:val="14"/>
    <w:qFormat/>
    <w:uiPriority w:val="0"/>
    <w:pPr>
      <w:snapToGrid w:val="0"/>
      <w:spacing w:line="360" w:lineRule="auto"/>
      <w:ind w:firstLine="560" w:firstLineChars="200"/>
    </w:pPr>
    <w:rPr>
      <w:sz w:val="28"/>
    </w:rPr>
  </w:style>
  <w:style w:type="paragraph" w:customStyle="1" w:styleId="42">
    <w:name w:val="0正文唐"/>
    <w:basedOn w:val="1"/>
    <w:qFormat/>
    <w:uiPriority w:val="0"/>
    <w:pPr>
      <w:spacing w:line="360" w:lineRule="auto"/>
      <w:ind w:firstLine="720" w:firstLineChars="200"/>
      <w:jc w:val="left"/>
    </w:pPr>
    <w:rPr>
      <w:kern w:val="0"/>
      <w:sz w:val="24"/>
      <w:szCs w:val="20"/>
    </w:rPr>
  </w:style>
  <w:style w:type="paragraph" w:customStyle="1" w:styleId="43">
    <w:name w:val="主体"/>
    <w:qFormat/>
    <w:uiPriority w:val="0"/>
    <w:pPr>
      <w:widowControl w:val="0"/>
      <w:autoSpaceDE w:val="0"/>
      <w:autoSpaceDN w:val="0"/>
      <w:spacing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paragraph" w:customStyle="1" w:styleId="44">
    <w:name w:val="表内"/>
    <w:qFormat/>
    <w:uiPriority w:val="0"/>
    <w:pPr>
      <w:widowControl w:val="0"/>
      <w:jc w:val="center"/>
    </w:pPr>
    <w:rPr>
      <w:rFonts w:ascii="仿宋_GB2312" w:hAnsi="Times New Roman" w:eastAsia="仿宋_GB2312" w:cs="Times New Roman"/>
      <w:sz w:val="21"/>
      <w:szCs w:val="22"/>
      <w:lang w:val="en-US" w:eastAsia="zh-CN" w:bidi="ar-SA"/>
    </w:rPr>
  </w:style>
  <w:style w:type="paragraph" w:customStyle="1" w:styleId="45">
    <w:name w:val="00-表内格式"/>
    <w:basedOn w:val="1"/>
    <w:qFormat/>
    <w:uiPriority w:val="0"/>
    <w:pPr>
      <w:jc w:val="center"/>
    </w:pPr>
  </w:style>
  <w:style w:type="character" w:customStyle="1" w:styleId="46">
    <w:name w:val="font51"/>
    <w:basedOn w:val="22"/>
    <w:qFormat/>
    <w:uiPriority w:val="0"/>
    <w:rPr>
      <w:rFonts w:hint="default" w:ascii="Times New Roman" w:hAnsi="Times New Roman" w:cs="Times New Roman"/>
      <w:b/>
      <w:bCs/>
      <w:color w:val="FF0000"/>
      <w:sz w:val="21"/>
      <w:szCs w:val="21"/>
      <w:u w:val="none"/>
    </w:rPr>
  </w:style>
  <w:style w:type="character" w:customStyle="1" w:styleId="47">
    <w:name w:val="font31"/>
    <w:basedOn w:val="22"/>
    <w:qFormat/>
    <w:uiPriority w:val="0"/>
    <w:rPr>
      <w:rFonts w:hint="default" w:ascii="Times New Roman" w:hAnsi="Times New Roman" w:cs="Times New Roman"/>
      <w:color w:val="FF0000"/>
      <w:sz w:val="21"/>
      <w:szCs w:val="21"/>
      <w:u w:val="none"/>
    </w:rPr>
  </w:style>
  <w:style w:type="character" w:customStyle="1" w:styleId="48">
    <w:name w:val="font21"/>
    <w:basedOn w:val="22"/>
    <w:qFormat/>
    <w:uiPriority w:val="0"/>
    <w:rPr>
      <w:rFonts w:hint="eastAsia" w:ascii="宋体" w:hAnsi="宋体" w:eastAsia="宋体" w:cs="宋体"/>
      <w:color w:val="FF0000"/>
      <w:sz w:val="21"/>
      <w:szCs w:val="21"/>
      <w:u w:val="none"/>
    </w:rPr>
  </w:style>
  <w:style w:type="character" w:customStyle="1" w:styleId="49">
    <w:name w:val="font61"/>
    <w:basedOn w:val="22"/>
    <w:qFormat/>
    <w:uiPriority w:val="0"/>
    <w:rPr>
      <w:rFonts w:hint="default" w:ascii="Times New Roman" w:hAnsi="Times New Roman" w:cs="Times New Roman"/>
      <w:color w:val="FF0000"/>
      <w:sz w:val="21"/>
      <w:szCs w:val="21"/>
      <w:u w:val="none"/>
      <w:vertAlign w:val="subscript"/>
    </w:rPr>
  </w:style>
  <w:style w:type="character" w:customStyle="1" w:styleId="50">
    <w:name w:val="font81"/>
    <w:basedOn w:val="22"/>
    <w:qFormat/>
    <w:uiPriority w:val="0"/>
    <w:rPr>
      <w:rFonts w:hint="default" w:ascii="Times New Roman" w:hAnsi="Times New Roman" w:cs="Times New Roman"/>
      <w:color w:val="000000"/>
      <w:sz w:val="21"/>
      <w:szCs w:val="21"/>
      <w:u w:val="none"/>
      <w:vertAlign w:val="subscript"/>
    </w:rPr>
  </w:style>
  <w:style w:type="character" w:customStyle="1" w:styleId="51">
    <w:name w:val="font41"/>
    <w:basedOn w:val="22"/>
    <w:qFormat/>
    <w:uiPriority w:val="0"/>
    <w:rPr>
      <w:rFonts w:hint="eastAsia" w:ascii="宋体" w:hAnsi="宋体" w:eastAsia="宋体" w:cs="宋体"/>
      <w:color w:val="000000"/>
      <w:sz w:val="21"/>
      <w:szCs w:val="21"/>
      <w:u w:val="none"/>
    </w:rPr>
  </w:style>
  <w:style w:type="character" w:customStyle="1" w:styleId="52">
    <w:name w:val="批注文字 字符"/>
    <w:basedOn w:val="22"/>
    <w:link w:val="7"/>
    <w:qFormat/>
    <w:uiPriority w:val="0"/>
    <w:rPr>
      <w:sz w:val="24"/>
      <w:szCs w:val="24"/>
    </w:rPr>
  </w:style>
  <w:style w:type="character" w:customStyle="1" w:styleId="53">
    <w:name w:val="批注主题 字符"/>
    <w:basedOn w:val="52"/>
    <w:link w:val="17"/>
    <w:qFormat/>
    <w:uiPriority w:val="0"/>
    <w:rPr>
      <w:b/>
      <w:bCs/>
      <w:kern w:val="2"/>
      <w:sz w:val="21"/>
      <w:szCs w:val="24"/>
    </w:rPr>
  </w:style>
  <w:style w:type="paragraph" w:customStyle="1" w:styleId="54">
    <w:name w:val="至科表头"/>
    <w:basedOn w:val="1"/>
    <w:qFormat/>
    <w:uiPriority w:val="0"/>
    <w:pPr>
      <w:spacing w:line="240" w:lineRule="auto"/>
      <w:ind w:firstLine="0" w:firstLineChars="0"/>
      <w:jc w:val="center"/>
    </w:pPr>
    <w:rPr>
      <w:rFonts w:ascii="宋体" w:hAnsi="宋体" w:eastAsia="宋体" w:cs="宋体"/>
      <w:b/>
      <w:bCs/>
      <w:szCs w:val="21"/>
    </w:rPr>
  </w:style>
  <w:style w:type="paragraph" w:customStyle="1" w:styleId="55">
    <w:name w:val="表内字体"/>
    <w:basedOn w:val="1"/>
    <w:qFormat/>
    <w:uiPriority w:val="0"/>
    <w:pPr>
      <w:adjustRightInd w:val="0"/>
      <w:snapToGrid w:val="0"/>
      <w:jc w:val="center"/>
      <w:textAlignment w:val="baseline"/>
    </w:pPr>
    <w:rPr>
      <w:kern w:val="0"/>
      <w:sz w:val="18"/>
      <w:szCs w:val="18"/>
    </w:rPr>
  </w:style>
  <w:style w:type="paragraph" w:customStyle="1" w:styleId="56">
    <w:name w:val="WPSOffice手动目录 1"/>
    <w:qFormat/>
    <w:uiPriority w:val="0"/>
    <w:pPr>
      <w:ind w:leftChars="0"/>
    </w:pPr>
    <w:rPr>
      <w:rFonts w:ascii="Times New Roman" w:hAnsi="Times New Roman" w:eastAsia="宋体" w:cs="Times New Roman"/>
      <w:sz w:val="20"/>
      <w:szCs w:val="20"/>
    </w:rPr>
  </w:style>
  <w:style w:type="paragraph" w:customStyle="1" w:styleId="57">
    <w:name w:val="环评正文文字"/>
    <w:basedOn w:val="18"/>
    <w:next w:val="8"/>
    <w:qFormat/>
    <w:uiPriority w:val="0"/>
    <w:pPr>
      <w:ind w:firstLine="480" w:firstLineChars="200"/>
    </w:pPr>
    <w:rPr>
      <w:kern w:val="0"/>
    </w:rPr>
  </w:style>
</w:styles>
</file>

<file path=word/_rels/document.xml.rels><?xml version="1.0" encoding="UTF-8" standalone="yes"?>
<Relationships xmlns="http://schemas.openxmlformats.org/package/2006/relationships"><Relationship Id="rId9" Type="http://schemas.openxmlformats.org/officeDocument/2006/relationships/image" Target="media/image1.emf"/><Relationship Id="rId8" Type="http://schemas.openxmlformats.org/officeDocument/2006/relationships/oleObject" Target="embeddings/oleObject1.bin"/><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jpeg"/><Relationship Id="rId70" Type="http://schemas.openxmlformats.org/officeDocument/2006/relationships/image" Target="media/image56.jpeg"/><Relationship Id="rId7" Type="http://schemas.openxmlformats.org/officeDocument/2006/relationships/theme" Target="theme/theme1.xml"/><Relationship Id="rId69" Type="http://schemas.openxmlformats.org/officeDocument/2006/relationships/image" Target="media/image55.jpeg"/><Relationship Id="rId68" Type="http://schemas.openxmlformats.org/officeDocument/2006/relationships/image" Target="media/image54.jpeg"/><Relationship Id="rId67" Type="http://schemas.openxmlformats.org/officeDocument/2006/relationships/image" Target="media/image53.jpeg"/><Relationship Id="rId66" Type="http://schemas.openxmlformats.org/officeDocument/2006/relationships/image" Target="media/image52.jpeg"/><Relationship Id="rId65" Type="http://schemas.openxmlformats.org/officeDocument/2006/relationships/image" Target="media/image51.jpeg"/><Relationship Id="rId64" Type="http://schemas.openxmlformats.org/officeDocument/2006/relationships/image" Target="media/image50.jpe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4.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3.xml"/><Relationship Id="rId49" Type="http://schemas.openxmlformats.org/officeDocument/2006/relationships/image" Target="media/image35.jpe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jpe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er" Target="foot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emf"/><Relationship Id="rId22" Type="http://schemas.openxmlformats.org/officeDocument/2006/relationships/oleObject" Target="embeddings/oleObject7.bin"/><Relationship Id="rId21" Type="http://schemas.openxmlformats.org/officeDocument/2006/relationships/image" Target="media/image8.pn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emf"/><Relationship Id="rId18" Type="http://schemas.openxmlformats.org/officeDocument/2006/relationships/oleObject" Target="embeddings/oleObject6.bin"/><Relationship Id="rId17" Type="http://schemas.openxmlformats.org/officeDocument/2006/relationships/image" Target="media/image5.emf"/><Relationship Id="rId16" Type="http://schemas.openxmlformats.org/officeDocument/2006/relationships/oleObject" Target="embeddings/oleObject5.bin"/><Relationship Id="rId15" Type="http://schemas.openxmlformats.org/officeDocument/2006/relationships/image" Target="media/image4.emf"/><Relationship Id="rId14" Type="http://schemas.openxmlformats.org/officeDocument/2006/relationships/oleObject" Target="embeddings/oleObject4.bin"/><Relationship Id="rId13" Type="http://schemas.openxmlformats.org/officeDocument/2006/relationships/image" Target="media/image3.emf"/><Relationship Id="rId12" Type="http://schemas.openxmlformats.org/officeDocument/2006/relationships/oleObject" Target="embeddings/oleObject3.bin"/><Relationship Id="rId11" Type="http://schemas.openxmlformats.org/officeDocument/2006/relationships/image" Target="media/image2.emf"/><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110</Pages>
  <Words>7341</Words>
  <Characters>7661</Characters>
  <Lines>392</Lines>
  <Paragraphs>110</Paragraphs>
  <TotalTime>1</TotalTime>
  <ScaleCrop>false</ScaleCrop>
  <LinksUpToDate>false</LinksUpToDate>
  <CharactersWithSpaces>7860</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2024-12-02T15:27:00Z</dcterms:created>
  <dc:creator>Administrator</dc:creator>
  <cp:lastModifiedBy>痞子阿诺88</cp:lastModifiedBy>
  <dcterms:modified xsi:type="dcterms:W3CDTF">2025-08-05T08:09:32Z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F53AD4CAA3A344CC8268C83EF9318006_13</vt:lpwstr>
  </property>
</Properties>
</file>